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5D16" w14:textId="14E6FAC4" w:rsidR="000D572B" w:rsidRPr="003F67D9" w:rsidRDefault="0079475D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3F67D9">
        <w:rPr>
          <w:rFonts w:ascii="Verdana" w:hAnsi="Verdana" w:cs="Arial"/>
          <w:sz w:val="18"/>
          <w:szCs w:val="18"/>
          <w:lang w:val="el-GR"/>
        </w:rPr>
        <w:t>2</w:t>
      </w:r>
      <w:r w:rsidR="009D1D9A" w:rsidRPr="00C82981">
        <w:rPr>
          <w:rFonts w:ascii="Verdana" w:hAnsi="Verdana" w:cs="Arial"/>
          <w:sz w:val="18"/>
          <w:szCs w:val="18"/>
          <w:lang w:val="el-GR"/>
        </w:rPr>
        <w:t>0</w:t>
      </w:r>
      <w:r w:rsidR="00591C79" w:rsidRPr="005F27E8">
        <w:rPr>
          <w:rFonts w:ascii="Verdana" w:hAnsi="Verdana" w:cs="Arial"/>
          <w:sz w:val="18"/>
          <w:szCs w:val="18"/>
          <w:lang w:val="el-GR"/>
        </w:rPr>
        <w:t xml:space="preserve"> </w:t>
      </w:r>
      <w:r w:rsidR="009D1D9A">
        <w:rPr>
          <w:rFonts w:ascii="Verdana" w:hAnsi="Verdana" w:cs="Arial"/>
          <w:sz w:val="18"/>
          <w:szCs w:val="18"/>
          <w:lang w:val="el-GR"/>
        </w:rPr>
        <w:t>Απριλ</w:t>
      </w:r>
      <w:r>
        <w:rPr>
          <w:rFonts w:ascii="Verdana" w:hAnsi="Verdana" w:cs="Arial"/>
          <w:sz w:val="18"/>
          <w:szCs w:val="18"/>
          <w:lang w:val="el-GR"/>
        </w:rPr>
        <w:t>ί</w:t>
      </w:r>
      <w:r w:rsidR="00591C79">
        <w:rPr>
          <w:rFonts w:ascii="Verdana" w:hAnsi="Verdana" w:cs="Arial"/>
          <w:sz w:val="18"/>
          <w:szCs w:val="18"/>
          <w:lang w:val="el-GR"/>
        </w:rPr>
        <w:t>ου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>, 202</w:t>
      </w:r>
      <w:r w:rsidR="003F67D9" w:rsidRPr="003F67D9">
        <w:rPr>
          <w:rFonts w:ascii="Verdana" w:hAnsi="Verdana" w:cs="Arial"/>
          <w:sz w:val="18"/>
          <w:szCs w:val="18"/>
          <w:lang w:val="el-GR"/>
        </w:rPr>
        <w:t>6</w:t>
      </w:r>
    </w:p>
    <w:p w14:paraId="0013940E" w14:textId="77777777" w:rsidR="002131E5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96E772" w14:textId="77777777" w:rsidR="001E740E" w:rsidRPr="000D572B" w:rsidRDefault="001E740E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0584C" w14:textId="51A59454" w:rsidR="000D572B" w:rsidRPr="000D572B" w:rsidRDefault="000D572B" w:rsidP="000D572B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C2CBE7A" w14:textId="77777777" w:rsidR="000D572B" w:rsidRPr="003F67D9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6A135C" w14:textId="5D6B8FB0" w:rsidR="000D572B" w:rsidRPr="00FB3983" w:rsidRDefault="001E740E" w:rsidP="001E740E">
      <w:pPr>
        <w:jc w:val="center"/>
        <w:rPr>
          <w:rFonts w:ascii="Verdana" w:hAnsi="Verdana" w:cs="Arial"/>
          <w:u w:val="single"/>
          <w:lang w:val="el-GR"/>
        </w:rPr>
      </w:pPr>
      <w:r w:rsidRPr="001E740E">
        <w:rPr>
          <w:rFonts w:ascii="Verdana" w:hAnsi="Verdana" w:cs="Arial"/>
          <w:b/>
          <w:bCs/>
          <w:u w:val="single"/>
          <w:lang w:val="el-GR"/>
        </w:rPr>
        <w:t>Ε</w:t>
      </w:r>
      <w:r w:rsidRPr="001E740E">
        <w:rPr>
          <w:rFonts w:ascii="Verdana" w:hAnsi="Verdana" w:cs="Arial"/>
          <w:b/>
          <w:u w:val="single"/>
          <w:lang w:val="el-GR"/>
        </w:rPr>
        <w:t>ΠΙΚΑΙΡΟΠΟΙΗΣΗ ΣΤΟΙΧΕΙΩΝ ΤΡΙΜΗΝΙΑΙΩΝ ΕΘΝΙΚΩΝ ΛΟΓΑΡΙΑΣΜΩΝ</w:t>
      </w:r>
    </w:p>
    <w:p w14:paraId="5C7A441B" w14:textId="77777777" w:rsidR="00B90040" w:rsidRDefault="00B90040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DA7271" w14:textId="77777777" w:rsidR="001E740E" w:rsidRPr="000D572B" w:rsidRDefault="001E740E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92CCE6" w14:textId="091BB795" w:rsidR="000D0E43" w:rsidRPr="0099318F" w:rsidRDefault="000D0E43" w:rsidP="000D0E43">
      <w:pPr>
        <w:jc w:val="center"/>
        <w:rPr>
          <w:rFonts w:ascii="Verdana" w:hAnsi="Verdana" w:cs="Arial"/>
          <w:b/>
          <w:bCs/>
          <w:lang w:val="el-GR"/>
        </w:rPr>
      </w:pPr>
      <w:r w:rsidRPr="000D572B">
        <w:rPr>
          <w:rFonts w:ascii="Verdana" w:hAnsi="Verdana" w:cs="Arial"/>
          <w:b/>
          <w:bCs/>
          <w:lang w:val="el-GR"/>
        </w:rPr>
        <w:t>Ρυθμός Ανάπτυξης</w:t>
      </w:r>
      <w:r w:rsidR="001E740E" w:rsidRPr="001E740E">
        <w:rPr>
          <w:rFonts w:ascii="Verdana" w:hAnsi="Verdana" w:cs="Arial"/>
          <w:b/>
          <w:bCs/>
          <w:lang w:val="el-GR"/>
        </w:rPr>
        <w:t xml:space="preserve"> </w:t>
      </w:r>
      <w:r w:rsidR="001E740E">
        <w:rPr>
          <w:rFonts w:ascii="Verdana" w:hAnsi="Verdana" w:cs="Arial"/>
          <w:b/>
          <w:bCs/>
        </w:rPr>
        <w:t>T</w:t>
      </w:r>
      <w:r w:rsidR="001E740E" w:rsidRPr="001E740E">
        <w:rPr>
          <w:rFonts w:ascii="Verdana" w:hAnsi="Verdana" w:cs="Arial"/>
          <w:b/>
          <w:bCs/>
          <w:lang w:val="el-GR"/>
        </w:rPr>
        <w:t>4 2025</w:t>
      </w:r>
      <w:r w:rsidRPr="000D572B">
        <w:rPr>
          <w:rFonts w:ascii="Verdana" w:hAnsi="Verdana" w:cs="Arial"/>
          <w:b/>
          <w:bCs/>
          <w:lang w:val="el-GR"/>
        </w:rPr>
        <w:t xml:space="preserve"> </w:t>
      </w:r>
      <w:r w:rsidR="001E740E">
        <w:rPr>
          <w:rFonts w:ascii="Verdana" w:hAnsi="Verdana" w:cs="Arial"/>
          <w:b/>
          <w:bCs/>
          <w:lang w:val="el-GR"/>
        </w:rPr>
        <w:t xml:space="preserve">στο </w:t>
      </w:r>
      <w:r w:rsidR="001E5998">
        <w:rPr>
          <w:rFonts w:ascii="Verdana" w:hAnsi="Verdana" w:cs="Arial"/>
          <w:b/>
          <w:bCs/>
          <w:lang w:val="el-GR"/>
        </w:rPr>
        <w:t>4</w:t>
      </w:r>
      <w:r w:rsidR="00170C90" w:rsidRPr="00170C90">
        <w:rPr>
          <w:rFonts w:ascii="Verdana" w:hAnsi="Verdana" w:cs="Arial"/>
          <w:b/>
          <w:bCs/>
          <w:lang w:val="el-GR"/>
        </w:rPr>
        <w:t>,</w:t>
      </w:r>
      <w:r w:rsidR="001E5998">
        <w:rPr>
          <w:rFonts w:ascii="Verdana" w:hAnsi="Verdana" w:cs="Arial"/>
          <w:b/>
          <w:bCs/>
          <w:lang w:val="el-GR"/>
        </w:rPr>
        <w:t>5</w:t>
      </w:r>
      <w:r w:rsidRPr="000D572B">
        <w:rPr>
          <w:rFonts w:ascii="Verdana" w:hAnsi="Verdana" w:cs="Arial"/>
          <w:b/>
          <w:bCs/>
          <w:lang w:val="el-GR"/>
        </w:rPr>
        <w:t>%</w:t>
      </w:r>
      <w:r w:rsidRPr="0022364E">
        <w:rPr>
          <w:rFonts w:ascii="Verdana" w:hAnsi="Verdana" w:cs="Arial"/>
          <w:b/>
          <w:bCs/>
          <w:lang w:val="el-GR"/>
        </w:rPr>
        <w:t xml:space="preserve"> (</w:t>
      </w:r>
      <w:r>
        <w:rPr>
          <w:rFonts w:ascii="Verdana" w:hAnsi="Verdana" w:cs="Arial"/>
          <w:b/>
          <w:bCs/>
          <w:lang w:val="el-GR"/>
        </w:rPr>
        <w:t>εποχικά προσαρμοσμένος)</w:t>
      </w:r>
    </w:p>
    <w:p w14:paraId="28F093F5" w14:textId="77777777" w:rsidR="000D572B" w:rsidRPr="00FD4722" w:rsidRDefault="000D572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AAD303" w14:textId="1E5DF1F6" w:rsidR="005639FC" w:rsidRPr="00673F40" w:rsidRDefault="005639FC" w:rsidP="005639F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673F40">
        <w:rPr>
          <w:rFonts w:ascii="Verdana" w:hAnsi="Verdana" w:cs="Arial"/>
          <w:sz w:val="18"/>
          <w:szCs w:val="18"/>
          <w:lang w:val="el-GR"/>
        </w:rPr>
        <w:t>Τα</w:t>
      </w:r>
      <w:r w:rsidRPr="005639FC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 xml:space="preserve">τριμηνιαία </w:t>
      </w:r>
      <w:r w:rsidRPr="00673F40">
        <w:rPr>
          <w:rFonts w:ascii="Verdana" w:hAnsi="Verdana" w:cs="Arial"/>
          <w:sz w:val="18"/>
          <w:szCs w:val="18"/>
          <w:lang w:val="el-GR"/>
        </w:rPr>
        <w:t>στοιχεία</w:t>
      </w:r>
      <w:r>
        <w:rPr>
          <w:rFonts w:ascii="Verdana" w:hAnsi="Verdana" w:cs="Arial"/>
          <w:sz w:val="18"/>
          <w:szCs w:val="18"/>
          <w:lang w:val="el-GR"/>
        </w:rPr>
        <w:t xml:space="preserve"> Εθνικών Λογαριασμών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 σε τρέχουσες τιμές για το έτος 2025 έχουν </w:t>
      </w:r>
      <w:r>
        <w:rPr>
          <w:rFonts w:ascii="Verdana" w:hAnsi="Verdana" w:cs="Arial"/>
          <w:sz w:val="18"/>
          <w:szCs w:val="18"/>
          <w:lang w:val="el-GR"/>
        </w:rPr>
        <w:t>επικαιροποιηθεί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 λόγω αλλαγών στα </w:t>
      </w:r>
      <w:r>
        <w:rPr>
          <w:rFonts w:ascii="Verdana" w:hAnsi="Verdana" w:cs="Arial"/>
          <w:sz w:val="18"/>
          <w:szCs w:val="18"/>
          <w:lang w:val="el-GR"/>
        </w:rPr>
        <w:t>Δ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ημόσια </w:t>
      </w:r>
      <w:r>
        <w:rPr>
          <w:rFonts w:ascii="Verdana" w:hAnsi="Verdana" w:cs="Arial"/>
          <w:sz w:val="18"/>
          <w:szCs w:val="18"/>
          <w:lang w:val="el-GR"/>
        </w:rPr>
        <w:t>Ο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ικονομικά και στα στοιχεία του </w:t>
      </w:r>
      <w:r>
        <w:rPr>
          <w:rFonts w:ascii="Verdana" w:hAnsi="Verdana" w:cs="Arial"/>
          <w:sz w:val="18"/>
          <w:szCs w:val="18"/>
          <w:lang w:val="el-GR"/>
        </w:rPr>
        <w:t>Ι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σοζυγίου </w:t>
      </w:r>
      <w:r>
        <w:rPr>
          <w:rFonts w:ascii="Verdana" w:hAnsi="Verdana" w:cs="Arial"/>
          <w:sz w:val="18"/>
          <w:szCs w:val="18"/>
          <w:lang w:val="el-GR"/>
        </w:rPr>
        <w:t>Π</w:t>
      </w:r>
      <w:r w:rsidRPr="00673F40">
        <w:rPr>
          <w:rFonts w:ascii="Verdana" w:hAnsi="Verdana" w:cs="Arial"/>
          <w:sz w:val="18"/>
          <w:szCs w:val="18"/>
          <w:lang w:val="el-GR"/>
        </w:rPr>
        <w:t xml:space="preserve">ληρωμών. Οι αλλαγές στα στοιχεία σε πραγματικούς όρους οφείλονται στην ενσωμάτωση των ισοσκελισμένων </w:t>
      </w:r>
      <w:r>
        <w:rPr>
          <w:rFonts w:ascii="Verdana" w:hAnsi="Verdana" w:cs="Arial"/>
          <w:sz w:val="18"/>
          <w:szCs w:val="18"/>
          <w:lang w:val="el-GR"/>
        </w:rPr>
        <w:t>Π</w:t>
      </w:r>
      <w:r w:rsidRPr="00673F40">
        <w:rPr>
          <w:rFonts w:ascii="Verdana" w:hAnsi="Verdana" w:cs="Arial"/>
          <w:sz w:val="18"/>
          <w:szCs w:val="18"/>
          <w:lang w:val="el-GR"/>
        </w:rPr>
        <w:t>ινάκων Προσφοράς και Χρήσεων 2022.</w:t>
      </w:r>
    </w:p>
    <w:p w14:paraId="6F0E521A" w14:textId="6262C217" w:rsidR="001712CF" w:rsidRDefault="00F1425D" w:rsidP="00FA4473">
      <w:pPr>
        <w:spacing w:before="240"/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</w:rPr>
        <w:t>O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 xml:space="preserve"> ρυθμός ανάπτυξης του ΑΕΠ σε πραγματικούς όρους (εποχικά προσαρμοσμένος), κατά το </w:t>
      </w:r>
      <w:r w:rsidR="005F022E">
        <w:rPr>
          <w:rFonts w:ascii="Verdana" w:hAnsi="Verdana" w:cs="Arial"/>
          <w:sz w:val="18"/>
          <w:szCs w:val="18"/>
          <w:lang w:val="el-GR"/>
        </w:rPr>
        <w:t>τέταρτο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 xml:space="preserve"> τρίμηνο του 2025 </w:t>
      </w:r>
      <w:r w:rsidR="005639FC">
        <w:rPr>
          <w:rFonts w:ascii="Verdana" w:hAnsi="Verdana" w:cs="Arial"/>
          <w:sz w:val="18"/>
          <w:szCs w:val="18"/>
          <w:lang w:val="el-GR"/>
        </w:rPr>
        <w:t>παραμένει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 xml:space="preserve"> θετικός </w:t>
      </w:r>
      <w:r w:rsidR="005639FC">
        <w:rPr>
          <w:rFonts w:ascii="Verdana" w:hAnsi="Verdana" w:cs="Arial"/>
          <w:sz w:val="18"/>
          <w:szCs w:val="18"/>
          <w:lang w:val="el-GR"/>
        </w:rPr>
        <w:t>στο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E5998">
        <w:rPr>
          <w:rFonts w:ascii="Verdana" w:hAnsi="Verdana" w:cs="Arial"/>
          <w:sz w:val="18"/>
          <w:szCs w:val="18"/>
          <w:lang w:val="el-GR"/>
        </w:rPr>
        <w:t>4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>,</w:t>
      </w:r>
      <w:r w:rsidR="001E5998">
        <w:rPr>
          <w:rFonts w:ascii="Verdana" w:hAnsi="Verdana" w:cs="Arial"/>
          <w:sz w:val="18"/>
          <w:szCs w:val="18"/>
          <w:lang w:val="el-GR"/>
        </w:rPr>
        <w:t>5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>% σε σύγκριση με το αντίστοιχο τρίμηνο του 2024.</w:t>
      </w:r>
    </w:p>
    <w:p w14:paraId="5C26C8C7" w14:textId="77777777" w:rsidR="002131E5" w:rsidRPr="00FD4722" w:rsidRDefault="002131E5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067E77" w14:textId="3FCDCABE" w:rsidR="00110D15" w:rsidRPr="005F18DC" w:rsidRDefault="001E740E" w:rsidP="00FD4722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414674F3" wp14:editId="00FB3285">
            <wp:extent cx="6090285" cy="4395470"/>
            <wp:effectExtent l="0" t="0" r="5715" b="5080"/>
            <wp:docPr id="13523272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E0C0D" w14:textId="6D1142DC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80AEC1" w14:textId="0C9DAA6B" w:rsidR="002758BE" w:rsidRDefault="00170C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>Όσον αφορά την προσέγγιση παραγωγής για τον υπολογισμό του ΑΕΠ, ο θετικός ρυθμός ανάπτυξης οφείλεται κυρίως στους τομείς: «Χονδρικό και Λιανικό Εμπόριο, Επισκευή μηχανοκινήτων οχημάτων», «Ενημέρωση και Επικοινωνίες», «Ξενοδοχεία και Εστιατόρια»</w:t>
      </w:r>
      <w:r w:rsidR="009D1D9A" w:rsidRPr="009D1D9A">
        <w:rPr>
          <w:rFonts w:ascii="Verdana" w:hAnsi="Verdana" w:cs="Arial"/>
          <w:sz w:val="18"/>
          <w:szCs w:val="18"/>
          <w:lang w:val="el-GR"/>
        </w:rPr>
        <w:t xml:space="preserve">, </w:t>
      </w:r>
      <w:r w:rsidR="009D1D9A">
        <w:rPr>
          <w:rFonts w:ascii="Verdana" w:hAnsi="Verdana" w:cs="Arial"/>
          <w:sz w:val="18"/>
          <w:szCs w:val="18"/>
          <w:lang w:val="el-GR"/>
        </w:rPr>
        <w:t>«Κατασκευές»</w:t>
      </w:r>
      <w:r w:rsidRPr="00170C90">
        <w:rPr>
          <w:rFonts w:ascii="Verdana" w:hAnsi="Verdana" w:cs="Arial"/>
          <w:sz w:val="18"/>
          <w:szCs w:val="18"/>
          <w:lang w:val="el-GR"/>
        </w:rPr>
        <w:t>.  (Πίνακας 1)</w:t>
      </w:r>
    </w:p>
    <w:p w14:paraId="7BF6146F" w14:textId="77777777" w:rsidR="001E740E" w:rsidRDefault="001E740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1E740E" w:rsidRPr="001E740E" w14:paraId="3DFEDDD7" w14:textId="77777777" w:rsidTr="0013667D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3B9132" w14:textId="4CDCC5BD" w:rsidR="00FD4722" w:rsidRPr="001E740E" w:rsidRDefault="00FD4722" w:rsidP="00FD4722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3E1BB4" w14:textId="77777777" w:rsidR="00FD4722" w:rsidRPr="001E740E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B9C200" w14:textId="77777777" w:rsidR="00FD4722" w:rsidRPr="001E740E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544C45" w14:textId="77777777" w:rsidR="00FD4722" w:rsidRPr="001E740E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E740E" w:rsidRPr="001E740E" w14:paraId="60F047B1" w14:textId="77777777" w:rsidTr="0013667D">
        <w:trPr>
          <w:trHeight w:val="510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6F5BFE" w14:textId="2F5678C6" w:rsidR="00736686" w:rsidRPr="001E740E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0" w:name="_Hlk135216527"/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4E56F6C" w14:textId="3B8E6C94" w:rsidR="00736686" w:rsidRPr="001E740E" w:rsidRDefault="00736686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Πραγματικούς Όρους</w:t>
            </w:r>
            <w:r w:rsidR="00B65961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 Μέρες</w:t>
            </w:r>
          </w:p>
        </w:tc>
      </w:tr>
      <w:tr w:rsidR="001E740E" w:rsidRPr="001E740E" w14:paraId="59C310CB" w14:textId="77777777" w:rsidTr="0013667D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90879F0" w14:textId="77777777" w:rsidR="00736686" w:rsidRPr="001E740E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53A9C4B" w14:textId="548E7D6A" w:rsidR="00736686" w:rsidRPr="001E740E" w:rsidRDefault="00736686" w:rsidP="00653C89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831CE45" w14:textId="5AFA2DDC" w:rsidR="00736686" w:rsidRPr="001E740E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1E740E" w:rsidRPr="001E740E" w14:paraId="6DBFE2B5" w14:textId="77777777" w:rsidTr="0013667D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663970" w14:textId="77777777" w:rsidR="00736686" w:rsidRPr="001E740E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134AD59" w14:textId="592D7AF8" w:rsidR="00C0058A" w:rsidRPr="001E740E" w:rsidRDefault="00C0058A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52B6494A" w14:textId="739893C6" w:rsidR="00736686" w:rsidRPr="001E740E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46C944" w14:textId="07B3F691" w:rsidR="00C0058A" w:rsidRPr="001E740E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3626804A" w14:textId="4E5ADDC9" w:rsidR="00736686" w:rsidRPr="001E740E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113892" w14:textId="073CF58C" w:rsidR="00C0058A" w:rsidRPr="001E740E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736686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7E1459A4" w14:textId="738229E8" w:rsidR="00736686" w:rsidRPr="001E740E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736686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3773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1E740E" w:rsidRPr="001E740E" w14:paraId="503DA313" w14:textId="77777777" w:rsidTr="00170C90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68C221" w14:textId="77777777" w:rsidR="009D1D9A" w:rsidRPr="001E740E" w:rsidRDefault="009D1D9A" w:rsidP="009D1D9A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3C75B9B6" w14:textId="0883BC96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7.795,3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56C0E868" w14:textId="62864BEC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1A0C8A1" w14:textId="1CC592DE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1E740E" w:rsidRPr="001E740E" w14:paraId="09DC7839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39A8" w14:textId="4B7FAD1F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5E985CF" w14:textId="2EFA1D3F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84,3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BF240E" w14:textId="6D9FDCE5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5FF" w14:textId="3C6D6702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1E740E" w:rsidRPr="001E740E" w14:paraId="2C9B2CD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ED91" w14:textId="0693D0B3" w:rsidR="009D1D9A" w:rsidRPr="001E740E" w:rsidRDefault="009D1D9A" w:rsidP="009D1D9A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16C79ED" w14:textId="732D9175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459,1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8E3EB6" w14:textId="3C0477F4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75C7" w14:textId="02B2F952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1E740E" w:rsidRPr="001E740E" w14:paraId="39FD0FF3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C38A" w14:textId="3C9C6484" w:rsidR="009D1D9A" w:rsidRPr="001E740E" w:rsidRDefault="009D1D9A" w:rsidP="009D1D9A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E4C6C74" w14:textId="311EC05A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335,4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4E977FB" w14:textId="5F0B3215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A9DB" w14:textId="02292A83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1,5</w:t>
            </w:r>
          </w:p>
        </w:tc>
      </w:tr>
      <w:tr w:rsidR="001E740E" w:rsidRPr="001E740E" w14:paraId="54F99004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5B10" w14:textId="3001F432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526F583" w14:textId="2C1F971D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377,7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1195FD7" w14:textId="1C796929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9A7D" w14:textId="15FDC798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</w:tr>
      <w:tr w:rsidR="001E740E" w:rsidRPr="001E740E" w14:paraId="1D49DF5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D150" w14:textId="5EC92F8C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35A69C5" w14:textId="56F970D0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1.589,2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8D4FF6" w14:textId="080A17EF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5AEC" w14:textId="1B0960B7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1E740E" w:rsidRPr="001E740E" w14:paraId="54903CCE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DDBA" w14:textId="2A828957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58B7DC9" w14:textId="37ABBCDC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923,8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3D8218D" w14:textId="0C0D0CCA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F058" w14:textId="690472F3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1E740E" w:rsidRPr="001E740E" w14:paraId="3280087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7B25" w14:textId="29AC75BE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1DDB119" w14:textId="1BA74DAB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617,8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C883C0" w14:textId="59BDEB67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4DE5" w14:textId="2A342D9D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1E740E" w:rsidRPr="001E740E" w14:paraId="6314CE01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C710" w14:textId="2458A5D3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CD2C059" w14:textId="16ECEE09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685,9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C7A417D" w14:textId="04389A82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3519" w14:textId="3E2E1B49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</w:tr>
      <w:tr w:rsidR="001E740E" w:rsidRPr="001E740E" w14:paraId="0410C26B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9F44" w14:textId="7D087BD1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B1B18D9" w14:textId="7B30B7DA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675,2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6FE1CE2" w14:textId="782E4E4E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D39A" w14:textId="57453AAE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</w:tr>
      <w:tr w:rsidR="001E740E" w:rsidRPr="001E740E" w14:paraId="3B74FEA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591" w14:textId="28916D4B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48C8C31" w14:textId="281175F0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1.206,5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0F205F" w14:textId="5BF1AA3A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E362" w14:textId="1720E869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1E740E" w:rsidRPr="001E740E" w14:paraId="7EA4E01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7A7D" w14:textId="45FAD488" w:rsidR="009D1D9A" w:rsidRPr="001E740E" w:rsidRDefault="009D1D9A" w:rsidP="009D1D9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0D089C7" w14:textId="3D864D17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243,6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FCCCD95" w14:textId="458A6A34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AC96" w14:textId="6306790F" w:rsidR="009D1D9A" w:rsidRPr="001E740E" w:rsidRDefault="009D1D9A" w:rsidP="009D1D9A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1E740E" w:rsidRPr="001E740E" w14:paraId="18C51B47" w14:textId="77777777" w:rsidTr="0013667D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2D8CC2" w14:textId="77777777" w:rsidR="00CE6185" w:rsidRPr="001E740E" w:rsidRDefault="00CE6185" w:rsidP="00CE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D71FD7D" w14:textId="075F9848" w:rsidR="00CE6185" w:rsidRPr="001E740E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AFF7C93" w14:textId="34F71EA6" w:rsidR="00CE6185" w:rsidRPr="001E740E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5AE9B7" w14:textId="2E3150D7" w:rsidR="00CE6185" w:rsidRPr="001E740E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0"/>
    <w:p w14:paraId="66F6E282" w14:textId="6B6D3641" w:rsidR="00CA0FD5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Οικονομικές δραστηριότητες:</w:t>
      </w:r>
    </w:p>
    <w:p w14:paraId="3FC06B27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Α: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Γεωργία, Δασοκομία Και Αλιεία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2910C43" w14:textId="4E053256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E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Ορυχεία και Λατομεία; Μεταποίηση; Παροχή Ηλεκτρικού Ρεύματος, Φυσικού Αερίου, Ατμού και Κλιματισμού; Παροχή Νερού, Επεξεργασία Λυμάτων, Διαχείριση Αποβλήτων και Δραστηριότητες Εξυγίανσης</w:t>
      </w:r>
    </w:p>
    <w:p w14:paraId="61901E4F" w14:textId="730463C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C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Μεταποίηση</w:t>
      </w:r>
    </w:p>
    <w:p w14:paraId="70E7B0D6" w14:textId="284EADFF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F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Κατασκευές</w:t>
      </w:r>
    </w:p>
    <w:p w14:paraId="550557D0" w14:textId="1FB64334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I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Χονδρικό και Λιανικό Εμπόριο˙ Επισκευή Μηχανοκίνητων Οχημάτων και Μοτοσικλετών; Μεταφορά και Αποθήκευση; Δραστηριότητες Υπηρεσιών Παροχής Καταλύματος και Υπηρεσιών Εστίασης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2B4ED0ED" w14:textId="39A425B4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J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Ενημέρωση και Επικοινωνία</w:t>
      </w:r>
    </w:p>
    <w:p w14:paraId="3BE2E720" w14:textId="0AC97CE9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K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 xml:space="preserve">Χρηματοπιστωτικές και Ασφαλιστικές Δραστηριότητες </w:t>
      </w:r>
    </w:p>
    <w:p w14:paraId="06056FC6" w14:textId="77ADE09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L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Διαχείριση Ακίνητης Περιουσίας</w:t>
      </w:r>
    </w:p>
    <w:p w14:paraId="33D9E794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&amp;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N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Επαγγελματικές, Επιστημονικές Και Τεχνικές Δραστηριότητες; Διοικητικές και Υποστηρικτικές Δραστηριότητες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71E109D" w14:textId="117FC9DF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Q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Δημόσια Διοίκηση και Άμυνα· Υποχρεωτική Κοινωνική Ασφάλιση; Εκπαίδευση Δραστηριότητες Σχετικές με την Ανθρώπινη Υγεία και την Κοινωνική Μέριμνα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4165B9F" w14:textId="3BA206FA" w:rsidR="001B5AE2" w:rsidRPr="00A955B9" w:rsidRDefault="001B5AE2" w:rsidP="00FD4722">
      <w:pPr>
        <w:jc w:val="both"/>
        <w:rPr>
          <w:rFonts w:ascii="Verdana" w:hAnsi="Verdana" w:cs="Arial"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U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Τέχνες, Διασκέδαση και Ψυχαγωγία, Επιδιόρθωση Αγαθών Νοικοκυριών και Άλλες Δραστηριότητες</w:t>
      </w:r>
    </w:p>
    <w:p w14:paraId="0EAD45BE" w14:textId="77777777" w:rsidR="002758BE" w:rsidRPr="00A955B9" w:rsidRDefault="002758BE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p w14:paraId="57FC06D7" w14:textId="77777777" w:rsidR="00666D80" w:rsidRPr="00A955B9" w:rsidRDefault="00666D80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1E740E" w:rsidRPr="001E740E" w14:paraId="6EB54E80" w14:textId="77777777" w:rsidTr="0013667D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06B8278" w14:textId="503ABB17" w:rsidR="00591E14" w:rsidRPr="001E740E" w:rsidRDefault="000971D3" w:rsidP="00E5185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1" w:name="_Hlk135921969"/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7902C6" w14:textId="77777777" w:rsidR="00591E14" w:rsidRPr="001E740E" w:rsidRDefault="00591E14" w:rsidP="00E51854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86C1CDA" w14:textId="77777777" w:rsidR="00591E14" w:rsidRPr="001E740E" w:rsidRDefault="00591E14" w:rsidP="00E51854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9BB682" w14:textId="77777777" w:rsidR="00591E14" w:rsidRPr="001E740E" w:rsidRDefault="00591E14" w:rsidP="00E51854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E740E" w:rsidRPr="001E740E" w14:paraId="149BB167" w14:textId="77777777" w:rsidTr="0013667D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BCFA33" w14:textId="1F245511" w:rsidR="000419EF" w:rsidRPr="001E740E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Είδος Δαπάνης</w:t>
            </w:r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F3F8C6" w14:textId="116736CC" w:rsidR="000419EF" w:rsidRPr="001E740E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Πραγματικούς Όρους </w:t>
            </w: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</w:t>
            </w:r>
            <w:r w:rsidR="00B65961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Μέρες</w:t>
            </w:r>
          </w:p>
        </w:tc>
      </w:tr>
      <w:tr w:rsidR="001E740E" w:rsidRPr="001E740E" w14:paraId="3AC34909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013D5F" w14:textId="77777777" w:rsidR="000419EF" w:rsidRPr="001E740E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39C5F6B" w14:textId="41062926" w:rsidR="000419EF" w:rsidRPr="001E740E" w:rsidRDefault="000419EF" w:rsidP="000419EF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A29A59D" w14:textId="39C2BBE9" w:rsidR="000419EF" w:rsidRPr="001E740E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1E740E" w:rsidRPr="001E740E" w14:paraId="3A3114C2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8D2206" w14:textId="77777777" w:rsidR="000419EF" w:rsidRPr="001E740E" w:rsidRDefault="000419EF" w:rsidP="000971D3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5D83699" w14:textId="736A8765" w:rsidR="000419EF" w:rsidRPr="001E740E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  <w:p w14:paraId="2E5F3153" w14:textId="5FC39C14" w:rsidR="000419EF" w:rsidRPr="001E740E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A31A852" w14:textId="1BFC7BCF" w:rsidR="00C0058A" w:rsidRPr="001E740E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0419EF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4F3FB45" w14:textId="1D1027DB" w:rsidR="000419EF" w:rsidRPr="001E740E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4546E67" w14:textId="1F63A6FE" w:rsidR="00C0058A" w:rsidRPr="001E740E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0419EF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1E740E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0419EF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6EFB4FCB" w14:textId="181B101F" w:rsidR="000419EF" w:rsidRPr="001E740E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0419EF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A552A5"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5</w:t>
            </w:r>
          </w:p>
        </w:tc>
      </w:tr>
      <w:tr w:rsidR="001E740E" w:rsidRPr="001E740E" w14:paraId="5CD1E8C1" w14:textId="77777777" w:rsidTr="00170C90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12293" w14:textId="6B5463AF" w:rsidR="009D1D9A" w:rsidRPr="001E740E" w:rsidRDefault="009D1D9A" w:rsidP="009D1D9A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51CB9EC" w14:textId="26060697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7.795,3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434C3111" w14:textId="01836F86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0325E7" w14:textId="5B9A58AE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1E740E" w:rsidRPr="001E740E" w14:paraId="379CFAB1" w14:textId="77777777" w:rsidTr="00170C90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2C25" w14:textId="7F03D8C1" w:rsidR="009D1D9A" w:rsidRPr="001E740E" w:rsidRDefault="009D1D9A" w:rsidP="009D1D9A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Συνολική Δαπάνη Τελικής Κατανάλωσης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4045778" w14:textId="491E878C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5.865,5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6C1527F" w14:textId="2855DEA6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B365" w14:textId="40A6604A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-0,1</w:t>
            </w:r>
          </w:p>
        </w:tc>
      </w:tr>
      <w:tr w:rsidR="001E740E" w:rsidRPr="001E740E" w14:paraId="50AEBAA3" w14:textId="77777777" w:rsidTr="00170C90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B8ED" w14:textId="2039DA27" w:rsidR="009D1D9A" w:rsidRPr="001E740E" w:rsidRDefault="009D1D9A" w:rsidP="009D1D9A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  <w:t>Εκ της οποίας:</w:t>
            </w:r>
          </w:p>
          <w:p w14:paraId="1C4A1957" w14:textId="23387CAE" w:rsidR="009D1D9A" w:rsidRPr="001E740E" w:rsidRDefault="009D1D9A" w:rsidP="009D1D9A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Νοικοκυριών και ΜΚΙΕΝ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AEB9554" w14:textId="392CD8A3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4.571,0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79D42F4" w14:textId="245355FB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4E4D" w14:textId="6CC377D0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-0,5</w:t>
            </w:r>
          </w:p>
        </w:tc>
      </w:tr>
      <w:tr w:rsidR="001E740E" w:rsidRPr="001E740E" w14:paraId="31D5DD68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D0CF" w14:textId="6D73C9AE" w:rsidR="009D1D9A" w:rsidRPr="001E740E" w:rsidRDefault="009D1D9A" w:rsidP="009D1D9A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Γενικής κυβέρνησης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78CEE4" w14:textId="0136D511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1.298,3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579AB1" w14:textId="0D551879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2F00" w14:textId="3DBCC2CF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</w:tr>
      <w:tr w:rsidR="001E740E" w:rsidRPr="001E740E" w14:paraId="24485234" w14:textId="77777777" w:rsidTr="00170C90">
        <w:trPr>
          <w:trHeight w:val="56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A12E" w14:textId="4D43E646" w:rsidR="009D1D9A" w:rsidRPr="001E740E" w:rsidRDefault="009D1D9A" w:rsidP="009D1D9A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Ακαθάριστος Σχηματισμός Πάγιου Κεφαλαίου (ΑΣΠΚ)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5A376E" w14:textId="0E0127CB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1.570,3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20D4901" w14:textId="54A72060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A798" w14:textId="392EE5C2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13,9</w:t>
            </w:r>
          </w:p>
        </w:tc>
      </w:tr>
      <w:tr w:rsidR="001E740E" w:rsidRPr="001E740E" w14:paraId="6F16A540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A06A" w14:textId="78EFA1DE" w:rsidR="009D1D9A" w:rsidRPr="001E740E" w:rsidRDefault="009D1D9A" w:rsidP="009D1D9A">
            <w:pPr>
              <w:ind w:left="113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ΑΣΠΚ ε</w:t>
            </w:r>
            <w:r w:rsidRPr="001E740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ξαιρουμένων πλοίων και αεροσκαφών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22F4A1C" w14:textId="0E6D2A12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1.485,3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74AF36" w14:textId="7D72913D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89A1" w14:textId="7D98B8E0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color w:val="366092"/>
                <w:sz w:val="18"/>
                <w:szCs w:val="18"/>
              </w:rPr>
              <w:t>-1,3</w:t>
            </w:r>
          </w:p>
        </w:tc>
      </w:tr>
      <w:tr w:rsidR="001E740E" w:rsidRPr="001E740E" w14:paraId="3D99361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6720" w14:textId="39B86010" w:rsidR="009D1D9A" w:rsidRPr="001E740E" w:rsidRDefault="009D1D9A" w:rsidP="009D1D9A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Εισαγωγές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9C790A7" w14:textId="07F8543D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7.603,4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D3C1934" w14:textId="75FED6BC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-4,2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C6C4" w14:textId="074F7215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-0,3</w:t>
            </w:r>
          </w:p>
        </w:tc>
      </w:tr>
      <w:tr w:rsidR="001E740E" w:rsidRPr="001E740E" w14:paraId="625B8BD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68AD" w14:textId="310A5E53" w:rsidR="009D1D9A" w:rsidRPr="001E740E" w:rsidRDefault="009D1D9A" w:rsidP="009D1D9A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Εξαγωγές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9A78F91" w14:textId="3DBB4729" w:rsidR="009D1D9A" w:rsidRPr="001E740E" w:rsidRDefault="009D1D9A" w:rsidP="009D1D9A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7.980,8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95B663" w14:textId="76C8E802" w:rsidR="009D1D9A" w:rsidRPr="001E740E" w:rsidRDefault="009D1D9A" w:rsidP="009D1D9A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A75D" w14:textId="1858D484" w:rsidR="009D1D9A" w:rsidRPr="001E740E" w:rsidRDefault="009D1D9A" w:rsidP="009D1D9A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E740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-1,5</w:t>
            </w:r>
          </w:p>
        </w:tc>
      </w:tr>
      <w:tr w:rsidR="001E740E" w:rsidRPr="001E740E" w14:paraId="0450426E" w14:textId="77777777" w:rsidTr="0013667D">
        <w:trPr>
          <w:trHeight w:val="113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A57F47" w14:textId="77777777" w:rsidR="00A62F95" w:rsidRPr="001E740E" w:rsidRDefault="00A62F95" w:rsidP="00E5185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3147FD7F" w14:textId="77777777" w:rsidR="00A62F95" w:rsidRPr="001E740E" w:rsidRDefault="00A62F95" w:rsidP="000419EF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8D26924" w14:textId="77777777" w:rsidR="00A62F95" w:rsidRPr="001E740E" w:rsidRDefault="00A62F95" w:rsidP="000419EF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187513" w14:textId="77777777" w:rsidR="00A62F95" w:rsidRPr="001E740E" w:rsidRDefault="00A62F95" w:rsidP="000419EF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1"/>
    <w:p w14:paraId="2186290B" w14:textId="77777777" w:rsidR="00B90040" w:rsidRPr="00A955B9" w:rsidRDefault="00E51854">
      <w:pPr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ΜΚΙΕΝ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: Μη Κερδοσκοπικά </w:t>
      </w:r>
      <w:r w:rsidRPr="004A2B16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>Ιδρύματα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που Εξυπηρετούν Νοικοκυριά</w:t>
      </w:r>
    </w:p>
    <w:p w14:paraId="22DC7F6D" w14:textId="77777777" w:rsidR="0013667D" w:rsidRPr="003510E9" w:rsidRDefault="0013667D" w:rsidP="001366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AB09FF9" w14:textId="207425D7" w:rsidR="00761E3A" w:rsidRPr="002758BE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2758BE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44F47C1A" w14:textId="7249D3E6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396342" w14:textId="77777777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Σκοπός</w:t>
      </w:r>
    </w:p>
    <w:p w14:paraId="5AA1BD82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EFF899" w14:textId="327919F3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 σκοπός της εκτίμησης του ΑΕΠ </w:t>
      </w:r>
      <w:r w:rsidR="005C282A" w:rsidRPr="005C282A">
        <w:rPr>
          <w:rFonts w:ascii="Verdana" w:hAnsi="Verdana" w:cs="Arial"/>
          <w:sz w:val="18"/>
          <w:szCs w:val="18"/>
          <w:lang w:val="el-GR"/>
        </w:rPr>
        <w:t xml:space="preserve">110 </w:t>
      </w:r>
      <w:r w:rsidR="005C282A">
        <w:rPr>
          <w:rFonts w:ascii="Verdana" w:hAnsi="Verdana" w:cs="Arial"/>
          <w:sz w:val="18"/>
          <w:szCs w:val="18"/>
          <w:lang w:val="el-GR"/>
        </w:rPr>
        <w:t xml:space="preserve">μέρες </w:t>
      </w:r>
      <w:r w:rsidR="004C59F4">
        <w:rPr>
          <w:rFonts w:ascii="Verdana" w:hAnsi="Verdana" w:cs="Arial"/>
          <w:sz w:val="18"/>
          <w:szCs w:val="18"/>
          <w:lang w:val="el-GR"/>
        </w:rPr>
        <w:t>μετά το τέλος του τριμήνου αναφοράς</w:t>
      </w:r>
      <w:r w:rsidR="005C282A">
        <w:rPr>
          <w:rFonts w:ascii="Verdana" w:hAnsi="Verdana" w:cs="Arial"/>
          <w:sz w:val="18"/>
          <w:szCs w:val="18"/>
          <w:lang w:val="el-GR"/>
        </w:rPr>
        <w:t>,</w:t>
      </w:r>
      <w:r w:rsidR="004C59F4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είναι να </w:t>
      </w:r>
      <w:r w:rsidR="005C282A">
        <w:rPr>
          <w:rFonts w:ascii="Verdana" w:hAnsi="Verdana" w:cs="Arial"/>
          <w:sz w:val="18"/>
          <w:szCs w:val="18"/>
          <w:lang w:val="el-GR"/>
        </w:rPr>
        <w:t>ενσωματώσει τυχόν αλλαγές από τις πηγές στους τριμηνιαίους εθνικούς λογαριασμούς.</w:t>
      </w:r>
    </w:p>
    <w:p w14:paraId="5620CD4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3706334" w14:textId="7FA96C9A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Υπολογισμός και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Μ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εθοδολογία</w:t>
      </w:r>
    </w:p>
    <w:p w14:paraId="499A9B21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3E27A4" w14:textId="60092D24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παράγονται με τη χρήση έμμεσης προσέγγισης, η οποία βασίζεται σε βραχυπρόθεσμους δείκτες που παρέχουν πληροφορίες για την εξέλιξη των υπό μελέτη φαινομένων. Επιπλέον, η τεχνική προσέγγισης “Chow-Lin” χρησιμοποιείται για τη χρονική διάσπαση των στοιχείων.</w:t>
      </w:r>
    </w:p>
    <w:p w14:paraId="2A839293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9ADCA2" w14:textId="5366E296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Το επίπεδο του ΑΕΠ στην Κύπρο καθορίζεται από τις προσεγγίσεις παραγωγής και δαπανών</w:t>
      </w:r>
      <w:r w:rsidR="00C742C8">
        <w:rPr>
          <w:rFonts w:ascii="Verdana" w:hAnsi="Verdana" w:cs="Arial"/>
          <w:sz w:val="18"/>
          <w:szCs w:val="18"/>
          <w:lang w:val="el-GR"/>
        </w:rPr>
        <w:t xml:space="preserve">, </w:t>
      </w:r>
      <w:r w:rsidRPr="008A036B">
        <w:rPr>
          <w:rFonts w:ascii="Verdana" w:hAnsi="Verdana" w:cs="Arial"/>
          <w:sz w:val="18"/>
          <w:szCs w:val="18"/>
          <w:lang w:val="el-GR"/>
        </w:rPr>
        <w:t>ενώ για την προσέγγιση εισοδήματος πραγματοποιείται έμμεσος υπολογισμός.</w:t>
      </w:r>
    </w:p>
    <w:p w14:paraId="140EF46B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C35DE0" w14:textId="126521D1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Οι Τριμηνιαίοι Εθνικοί Λογαριασμοί παράγονται σε τρέχουσες τιμές, </w:t>
      </w:r>
      <w:r w:rsidR="00856055">
        <w:rPr>
          <w:rFonts w:ascii="Verdana" w:hAnsi="Verdana" w:cs="Arial"/>
          <w:sz w:val="18"/>
          <w:szCs w:val="18"/>
          <w:lang w:val="el-GR"/>
        </w:rPr>
        <w:t>σε πραγματικούς όρους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και τιμές προηγούμενου έτους, δημοσιεύονται και διαβιβάζονται στη Eurostat </w:t>
      </w:r>
      <w:r w:rsidR="000A351B">
        <w:rPr>
          <w:rFonts w:ascii="Verdana" w:hAnsi="Verdana" w:cs="Arial"/>
          <w:sz w:val="18"/>
          <w:szCs w:val="18"/>
          <w:lang w:val="el-GR"/>
        </w:rPr>
        <w:t>δυο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μήνες μετά το τέλος του τριμήνου αναφοράς (t+2)</w:t>
      </w:r>
      <w:r w:rsidR="000A351B">
        <w:rPr>
          <w:rFonts w:ascii="Verdana" w:hAnsi="Verdana" w:cs="Arial"/>
          <w:sz w:val="18"/>
          <w:szCs w:val="18"/>
          <w:lang w:val="el-GR"/>
        </w:rPr>
        <w:t xml:space="preserve">.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Η προκαταρκτική εκτίμηση λαμβάνεται εκτελώντας την ίδια διαδικασία εκτίμησης με αυτή που εφαρμόζεται για τον υπολογισμό στους t+2 μήνες, ωστόσο, με λιγότερες διαθέσιμες πηγές πληροφόρησης. Υπολογίζεται σε </w:t>
      </w:r>
      <w:r w:rsidR="00856055">
        <w:rPr>
          <w:rFonts w:ascii="Verdana" w:hAnsi="Verdana" w:cs="Arial"/>
          <w:sz w:val="18"/>
          <w:szCs w:val="18"/>
          <w:lang w:val="el-GR"/>
        </w:rPr>
        <w:t>πραγματικούς όρους</w:t>
      </w:r>
      <w:r w:rsidR="00856055"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>45 ημέρες μετά το τέλος του τριμήνου αναφοράς, δημοσιεύεται και διαβιβάζεται επίσης στη Eurostat.</w:t>
      </w:r>
    </w:p>
    <w:p w14:paraId="0DF52C4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1B0415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καταρτίζονται σύμφωνα με το Ευρωπαϊκό Σύστημα Λογαριασμών (ΕΣΛ 2010) όπως ορίζεται στον κανονισμό (ΕΕ) αριθ. 549/2013 του Ευρωπαϊκού Κοινοβουλίου και του Συμβουλίου της 21ης Μαΐου 2013.</w:t>
      </w:r>
    </w:p>
    <w:p w14:paraId="31C84EA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7E032E" w14:textId="456F244E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Πηγή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τοιχείων</w:t>
      </w:r>
    </w:p>
    <w:p w14:paraId="394CE37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BFFBE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Για την παραγωγή εκτιμήσεων των Τριμηνιαίων Εθνικών Λογαριασμών, τα ακόλουθα δεδομένα εισάγονται στο σύστημα υπολογισμού:</w:t>
      </w:r>
    </w:p>
    <w:p w14:paraId="4130211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βραχυπρόθεσμοι οικονομικοί δείκτες κατά οικονομική δραστηριότητα,</w:t>
      </w:r>
    </w:p>
    <w:p w14:paraId="6E733EF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διοικητικά δεδομένα,</w:t>
      </w:r>
    </w:p>
    <w:p w14:paraId="56432CA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τριμηνιαία στοιχεία απασχόλησης,</w:t>
      </w:r>
    </w:p>
    <w:p w14:paraId="15531252" w14:textId="6A14A8A8" w:rsidR="00761E3A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δείκτες τιμών.</w:t>
      </w:r>
    </w:p>
    <w:p w14:paraId="2CE52337" w14:textId="6D84CD9E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73023DBA" w14:textId="77777777" w:rsidR="008A036B" w:rsidRPr="00573F8E" w:rsidRDefault="008A036B" w:rsidP="008A036B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38070A46" w14:textId="6BA3A09C" w:rsidR="008A036B" w:rsidRDefault="008A036B" w:rsidP="008A036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27998F1" w14:textId="61080B70" w:rsidR="00B90040" w:rsidRPr="00573F8E" w:rsidRDefault="00B90040" w:rsidP="008A036B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220DC4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 w:rsidR="00335C01" w:rsidRPr="00220DC4"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Pr="00220DC4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6DFAC988" w14:textId="77777777" w:rsidR="008A036B" w:rsidRPr="00573F8E" w:rsidRDefault="008A036B" w:rsidP="008A036B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49124AA9" w14:textId="77777777" w:rsidR="008A036B" w:rsidRPr="00573F8E" w:rsidRDefault="008A036B" w:rsidP="008A036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5DC710BB" w14:textId="77777777" w:rsidR="008A036B" w:rsidRPr="00573F8E" w:rsidRDefault="008A036B" w:rsidP="008A036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Κωνσταντίνου Μαρία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Τηλ:+357226022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26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Ταχ.: </w:t>
      </w:r>
      <w:hyperlink r:id="rId12" w:history="1">
        <w:r w:rsidRPr="005E1F3C">
          <w:rPr>
            <w:rStyle w:val="Hyperlink"/>
            <w:rFonts w:ascii="Verdana" w:hAnsi="Verdana"/>
            <w:sz w:val="18"/>
            <w:szCs w:val="18"/>
          </w:rPr>
          <w:t>mconstantinou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@cystat.mof.gov.cy</w:t>
        </w:r>
      </w:hyperlink>
    </w:p>
    <w:p w14:paraId="38D9BFE2" w14:textId="77777777" w:rsidR="008A036B" w:rsidRPr="00573F8E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B41036" w14:textId="77777777" w:rsidR="008A036B" w:rsidRDefault="008A036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ECBB" w14:textId="77777777" w:rsidR="00171F93" w:rsidRDefault="00171F93" w:rsidP="00FB398F">
      <w:r>
        <w:separator/>
      </w:r>
    </w:p>
  </w:endnote>
  <w:endnote w:type="continuationSeparator" w:id="0">
    <w:p w14:paraId="7A3D4C06" w14:textId="77777777" w:rsidR="00171F93" w:rsidRDefault="00171F9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6B49FB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1F00CE" w:rsidRPr="00A955B9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A955B9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701EBEC3" w14:textId="0190648F" w:rsidR="001F00CE" w:rsidRPr="00A955B9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r w:rsidRPr="00A955B9">
      <w:rPr>
        <w:rFonts w:ascii="Verdana" w:hAnsi="Verdana" w:cs="Arial"/>
        <w:iCs/>
        <w:sz w:val="16"/>
        <w:szCs w:val="16"/>
        <w:lang w:val="el-GR"/>
      </w:rPr>
      <w:t>Τηλ</w:t>
    </w:r>
    <w:r w:rsidR="00A955B9" w:rsidRPr="00A955B9">
      <w:rPr>
        <w:rFonts w:ascii="Verdana" w:hAnsi="Verdana" w:cs="Arial"/>
        <w:iCs/>
        <w:sz w:val="16"/>
        <w:szCs w:val="16"/>
        <w:lang w:val="el-GR"/>
      </w:rPr>
      <w:t>.: 22 602129</w:t>
    </w:r>
    <w:r w:rsidR="00A955B9">
      <w:rPr>
        <w:rFonts w:ascii="Verdana" w:hAnsi="Verdana" w:cs="Arial"/>
        <w:iCs/>
        <w:sz w:val="16"/>
        <w:szCs w:val="16"/>
        <w:lang w:val="de-DE"/>
      </w:rPr>
      <w:t xml:space="preserve">, </w:t>
    </w:r>
    <w:r w:rsidR="00A955B9">
      <w:rPr>
        <w:rFonts w:ascii="Verdana" w:hAnsi="Verdana" w:cs="Arial"/>
        <w:iCs/>
        <w:sz w:val="16"/>
        <w:szCs w:val="16"/>
        <w:lang w:val="el-GR"/>
      </w:rPr>
      <w:t>Ηλ. Ταχ.</w:t>
    </w:r>
    <w:r w:rsidRPr="00A955B9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A955B9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A955B9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66893A8B" w14:textId="50457EE8" w:rsidR="001F00CE" w:rsidRPr="00A955B9" w:rsidRDefault="00A955B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2" w:history="1"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cystat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B8FD" w14:textId="77777777" w:rsidR="00171F93" w:rsidRDefault="00171F93" w:rsidP="00FB398F">
      <w:r>
        <w:separator/>
      </w:r>
    </w:p>
  </w:footnote>
  <w:footnote w:type="continuationSeparator" w:id="0">
    <w:p w14:paraId="6B07A0EE" w14:textId="77777777" w:rsidR="00171F93" w:rsidRDefault="00171F9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ZAJQIAAFAEAAAOAAAAZHJzL2Uyb0RvYy54bWysVNuO2yAQfa/Uf0C8N7bTpMlacVbbbFNV&#10;2l6k3X4AxthGBQYBiZ1+fQecTaPt26p+QAwDZ2bOmfHmdtSKHIXzEkxFi1lOiTAcGmm6iv582r9b&#10;U+IDMw1TYERFT8LT2+3bN5vBlmIOPahGOIIgxpeDrWgfgi2zzPNeaOZnYIVBZwtOs4Cm67LGsQHR&#10;tcrmef4hG8A11gEX3uPp/eSk24TftoKH723rRSCqophbSKtLax3XbLthZeeY7SU/p8FekYVm0mDQ&#10;C9Q9C4wcnPwHSkvuwEMbZhx0Bm0ruUg1YDVF/qKax55ZkWpBcry90OT/Hyz/dvzhiGwq+p4SwzRK&#10;9CTGQD7CSIpFpGewvsRbjxbvhRHPUeZUqrcPwH95YmDXM9OJO+dg6AVrML0ivsyunk44PoLUw1do&#10;MA47BEhAY+t05A7ZIIiOMp0u0sRceAw5X69Wa3Rx9BX5YrVaJvEyVj4/t86HzwI0iZuKOtQ+wbPj&#10;gw8xHVY+X4nRPCjZ7KVSyXBdvVOOHBn2yT59qYIX15QhQ0VvlvPlxMArILQM2PBK6oqu8/hNLRh5&#10;+2Sa1I6BSTXtMWVlzkRG7iYWw1iPZ2FqaE5IqYOpsXEQcdOD+03JgE1dUYNTR4n6YlCUm2KxiDOQ&#10;jMVyNUfDXXvqaw8zHIEqGiiZtrswzc3BOtn1GGdqAwN3KGQrE8VR8Smnc9bYton584jFubi2062/&#10;P4LtHwAAAP//AwBQSwMEFAAGAAgAAAAhAFPvxpPhAAAACwEAAA8AAABkcnMvZG93bnJldi54bWxM&#10;j8tOwzAQRfdI/IM1SOxaJ8gpNI1TVRXsALWBRZduPCRR/Uhjtwl/z7CC5ege3XumWE/WsCsOofNO&#10;QjpPgKGrve5cI+Hz42X2BCxE5bQy3qGEbwywLm9vCpVrP7o9XqvYMCpxIVcS2hj7nPNQt2hVmPse&#10;HWVffrAq0jk0XA9qpHJr+EOSLLhVnaOFVvW4bbE+VRcr4fmkdu/deH47+PPmdb/bClEZL+X93bRZ&#10;AYs4xT8YfvVJHUpyOvqL04EZCY9ZuiBUwixNlsCIWGZCADsSmokUeFnw/z+UPwAAAP//AwBQSwEC&#10;LQAUAAYACAAAACEAtoM4kv4AAADhAQAAEwAAAAAAAAAAAAAAAAAAAAAAW0NvbnRlbnRfVHlwZXNd&#10;LnhtbFBLAQItABQABgAIAAAAIQA4/SH/1gAAAJQBAAALAAAAAAAAAAAAAAAAAC8BAABfcmVscy8u&#10;cmVsc1BLAQItABQABgAIAAAAIQDxwGZAJQIAAFAEAAAOAAAAAAAAAAAAAAAAAC4CAABkcnMvZTJv&#10;RG9jLnhtbFBLAQItABQABgAIAAAAIQBT78aT4QAAAAsBAAAPAAAAAAAAAAAAAAAAAH8EAABkcnMv&#10;ZG93bnJldi54bWxQSwUGAAAAAAQABADzAAAAjQ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UmJgIAAFcEAAAOAAAAZHJzL2Uyb0RvYy54bWysVFFv2yAQfp+0/4B4XxxHcZtacaouXaZJ&#10;XTep3Q/AGNtowCEgsbNfvwOnadS9VfMD4jj47u777ry+HbUiB+G8BFPRfDanRBgOjTRdRX897z6t&#10;KPGBmYYpMKKiR+Hp7ebjh/VgS7GAHlQjHEEQ48vBVrQPwZZZ5nkvNPMzsMKgswWnWUDTdVnj2IDo&#10;WmWL+fwqG8A11gEX3uPp/eSkm4TftoKHH23rRSCqophbSKtLax3XbLNmZeeY7SU/pcHekYVm0mDQ&#10;M9Q9C4zsnfwHSkvuwEMbZhx0Bm0ruUg1YDX5/E01Tz2zItWC5Hh7psn/P1j+ePjpiGwquqDEMI0S&#10;PYsxkM8wkryI9AzWl3jryeK9MOI5ypxK9fYB+G9PDGx7Zjpx5xwMvWANppfHl9nF0wnHR5B6+A4N&#10;xmH7AAlobJ2O3CEbBNFRpuNZmpgLjyGXV6vroqCEoy9H5fMiiZex8uW5dT58FaBJ3FTUofYJnh0e&#10;fIjpsPLlSozmQclmJ5VKhuvqrXLkwLBPdulLFby5pgwZKnpTLIqJgXdAaBmw4ZXUFV3N4ze1YOTt&#10;i2lSOwYm1bTHlJU5ERm5m1gMYz0myRLLkeQamiMy62Dqb5xH3PTg/lAyYG9X1ODwUaK+GdTmJl8u&#10;4ygkY1lcL9Bwl5760sMMR6CKBkqm7TZM47O3TnY9xpm6wcAd6tnKxPRrTqfksXuTAKdJi+Nxaadb&#10;r/+DzV8AAAD//wMAUEsDBBQABgAIAAAAIQCXchYf4AAAAAsBAAAPAAAAZHJzL2Rvd25yZXYueG1s&#10;TI/BTsMwDIbvSLxDZCRuW7pRNihNp2mCG0xb4cDRa0JbLXG6JlvL22NOcLP1f/r9OV+NzoqL6UPr&#10;ScFsmoAwVHndUq3g4/1l8gAiRCSN1pNR8G0CrIrrqxwz7Qfam0sZa8ElFDJU0MTYZVKGqjEOw9R3&#10;hjj78r3DyGtfS93jwOXOynmSLKTDlvhCg53ZNKY6lmen4PmIu207nN4+/Wn9ut9t0rS0Xqnbm3H9&#10;BCKaMf7B8KvP6lCw08GfSQdhFdynswWjCiZ36SMIJpbLOQ8HRjkDWeTy/w/FDwAAAP//AwBQSwEC&#10;LQAUAAYACAAAACEAtoM4kv4AAADhAQAAEwAAAAAAAAAAAAAAAAAAAAAAW0NvbnRlbnRfVHlwZXNd&#10;LnhtbFBLAQItABQABgAIAAAAIQA4/SH/1gAAAJQBAAALAAAAAAAAAAAAAAAAAC8BAABfcmVscy8u&#10;cmVsc1BLAQItABQABgAIAAAAIQCGOBUmJgIAAFcEAAAOAAAAAAAAAAAAAAAAAC4CAABkcnMvZTJv&#10;RG9jLnhtbFBLAQItABQABgAIAAAAIQCXchYf4AAAAAsBAAAPAAAAAAAAAAAAAAAAAIAEAABkcnMv&#10;ZG93bnJldi54bWxQSwUGAAAAAAQABADzAAAAjQUAAAAA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660836A">
              <wp:simplePos x="0" y="0"/>
              <wp:positionH relativeFrom="column">
                <wp:posOffset>4080510</wp:posOffset>
              </wp:positionH>
              <wp:positionV relativeFrom="paragraph">
                <wp:posOffset>102870</wp:posOffset>
              </wp:positionV>
              <wp:extent cx="19050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4A2B1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1.3pt;margin-top:8.1pt;width:1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eGiwIAABcFAAAOAAAAZHJzL2Uyb0RvYy54bWysVNuO2yAQfa/Uf0C8Z32pk42tOKu9NFWl&#10;7UXa7QcQwDGqDRRI7O2q/94BktTbvlRV8+CAZzicmXPGq6ux79CBGyuUrHF2kWLEJVVMyF2Nvzxu&#10;ZkuMrCOSkU5JXuMnbvHV+vWr1aArnqtWdYwbBCDSVoOuceucrpLE0pb3xF4ozSUEG2V64mBrdgkz&#10;ZAD0vkvyNF0kgzJMG0W5tfD2LgbxOuA3DafuU9NY7lBXY+DmwtOE59Y/k/WKVDtDdCvokQb5BxY9&#10;ERIuPUPdEUfQ3og/oHpBjbKqcRdU9YlqGkF5qAGqydLfqnloieahFmiO1ec22f8HSz8ePhskGGiH&#10;kSQ9SPTIR4du1IiyhW/PoG0FWQ8a8twI732qL9Xqe0W/WiTVbUvkjl8bo4aWEwb0Mn8ymRyNONaD&#10;bIcPisE9ZO9UABob03tA6AYCdJDp6SyN50L9lWU6T1MIUYgVb5bZPGiXkOp0Whvr3nHVI7+osQHp&#10;Azo53Fvn2ZDqlBLYq06wjei6sDG77W1n0IGATTbhFwqAIqdpnfTJUvljETG+AZJwh495ukH25zLL&#10;i/QmL2ebxfJyVmyK+ay8TJezNCtvykValMXd5ocnmBVVKxjj8l5IfrJgVvydxMdhiOYJJkRDjct5&#10;Po8STdnbaZHQS9/OWMWLInvhYCI70dd4eU4ilRf2rWRwgFSOiC6uk5f0Q5ehB6f/0JVgA6989IAb&#10;t2MwXH5y11axJ/CFUSAbKAxfE1i0ynzHaIDJrLH9tieGY9S9l+CtMisKP8phU8wvc9iYaWQ7jRBJ&#10;AarGDqO4vHVx/PfaiF0LN0U3S3UNfmxEsIo3bmR1dDFMX6jp+KXw4z3dh6xf37P1TwAAAP//AwBQ&#10;SwMEFAAGAAgAAAAhACFl0W/dAAAACQEAAA8AAABkcnMvZG93bnJldi54bWxMj8FOwzAMhu9IvENk&#10;JC6IpVRbtnVNJ0ACcd3YA7hN1lZrnKrJ1u7tMVzY0f4//f6cbyfXiYsdQutJw8ssAWGp8qalWsPh&#10;++N5BSJEJIOdJ6vhagNsi/u7HDPjR9rZyz7WgksoZKihibHPpAxVYx2Gme8tcXb0g8PI41BLM+DI&#10;5a6TaZIo6bAlvtBgb98bW532Z6fh+DU+LdZj+RkPy91cvWG7LP1V68eH6XUDItop/sPwq8/qULBT&#10;6c9kgug0qHmqGOVApSAYWP8tSg2rRQqyyOXtB8UPAAAA//8DAFBLAQItABQABgAIAAAAIQC2gziS&#10;/gAAAOEBAAATAAAAAAAAAAAAAAAAAAAAAABbQ29udGVudF9UeXBlc10ueG1sUEsBAi0AFAAGAAgA&#10;AAAhADj9If/WAAAAlAEAAAsAAAAAAAAAAAAAAAAALwEAAF9yZWxzLy5yZWxzUEsBAi0AFAAGAAgA&#10;AAAhAPNVV4aLAgAAFwUAAA4AAAAAAAAAAAAAAAAALgIAAGRycy9lMm9Eb2MueG1sUEsBAi0AFAAG&#10;AAgAAAAhACFl0W/dAAAACQEAAA8AAAAAAAAAAAAAAAAA5QQAAGRycy9kb3ducmV2LnhtbFBLBQYA&#10;AAAABAAEAPMAAADvBQAAAAA=&#10;" stroked="f">
              <v:textbox>
                <w:txbxContent>
                  <w:p w14:paraId="505F9DD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4A2B1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25CBEEE" w:rsidR="001F00CE" w:rsidRPr="004A2B16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4A2B16">
      <w:rPr>
        <w:rFonts w:ascii="Verdana" w:hAnsi="Verdana" w:cs="Arial"/>
        <w:bCs/>
        <w:sz w:val="20"/>
        <w:szCs w:val="20"/>
      </w:rPr>
      <w:t>ΚΥΠΡΙΑΚΗ ΔΗΜΟΚΡΑΤΙΑ</w:t>
    </w:r>
    <w:r w:rsidRPr="004A2B1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4A2B1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0231312">
    <w:abstractNumId w:val="4"/>
  </w:num>
  <w:num w:numId="2" w16cid:durableId="691423268">
    <w:abstractNumId w:val="1"/>
  </w:num>
  <w:num w:numId="3" w16cid:durableId="1340085581">
    <w:abstractNumId w:val="2"/>
  </w:num>
  <w:num w:numId="4" w16cid:durableId="1302348709">
    <w:abstractNumId w:val="3"/>
  </w:num>
  <w:num w:numId="5" w16cid:durableId="1173646492">
    <w:abstractNumId w:val="0"/>
  </w:num>
  <w:num w:numId="6" w16cid:durableId="645550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36B"/>
    <w:rsid w:val="0000542E"/>
    <w:rsid w:val="000133B9"/>
    <w:rsid w:val="00013E40"/>
    <w:rsid w:val="00014203"/>
    <w:rsid w:val="000161B1"/>
    <w:rsid w:val="00020D24"/>
    <w:rsid w:val="00025A39"/>
    <w:rsid w:val="0002619C"/>
    <w:rsid w:val="00027853"/>
    <w:rsid w:val="00030E18"/>
    <w:rsid w:val="00031D32"/>
    <w:rsid w:val="0003603D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C0BEF"/>
    <w:rsid w:val="000C1070"/>
    <w:rsid w:val="000C4E72"/>
    <w:rsid w:val="000D0E43"/>
    <w:rsid w:val="000D1E7A"/>
    <w:rsid w:val="000D29C5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3467"/>
    <w:rsid w:val="000F38DE"/>
    <w:rsid w:val="000F532A"/>
    <w:rsid w:val="000F5D6C"/>
    <w:rsid w:val="00106852"/>
    <w:rsid w:val="00107E95"/>
    <w:rsid w:val="00110D15"/>
    <w:rsid w:val="00110F9D"/>
    <w:rsid w:val="00114A67"/>
    <w:rsid w:val="001253B6"/>
    <w:rsid w:val="001262C3"/>
    <w:rsid w:val="00127320"/>
    <w:rsid w:val="00127456"/>
    <w:rsid w:val="001312D8"/>
    <w:rsid w:val="0013137B"/>
    <w:rsid w:val="0013667D"/>
    <w:rsid w:val="00140FC4"/>
    <w:rsid w:val="00145B3C"/>
    <w:rsid w:val="00150E3F"/>
    <w:rsid w:val="00150FFC"/>
    <w:rsid w:val="0015118B"/>
    <w:rsid w:val="001519CE"/>
    <w:rsid w:val="00161CF3"/>
    <w:rsid w:val="00162C00"/>
    <w:rsid w:val="001639EF"/>
    <w:rsid w:val="0016589F"/>
    <w:rsid w:val="00167A5D"/>
    <w:rsid w:val="00170C90"/>
    <w:rsid w:val="001712CF"/>
    <w:rsid w:val="00171F93"/>
    <w:rsid w:val="001763B8"/>
    <w:rsid w:val="00176F5C"/>
    <w:rsid w:val="0017769A"/>
    <w:rsid w:val="00183DFC"/>
    <w:rsid w:val="001841B4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14CA"/>
    <w:rsid w:val="001B2C39"/>
    <w:rsid w:val="001B2EC2"/>
    <w:rsid w:val="001B3675"/>
    <w:rsid w:val="001B40EE"/>
    <w:rsid w:val="001B5AE2"/>
    <w:rsid w:val="001B5E10"/>
    <w:rsid w:val="001B6AB3"/>
    <w:rsid w:val="001B73D5"/>
    <w:rsid w:val="001C0681"/>
    <w:rsid w:val="001C0FD6"/>
    <w:rsid w:val="001C1517"/>
    <w:rsid w:val="001C62B3"/>
    <w:rsid w:val="001C7C8C"/>
    <w:rsid w:val="001D0D6A"/>
    <w:rsid w:val="001D20A4"/>
    <w:rsid w:val="001E00D1"/>
    <w:rsid w:val="001E0E58"/>
    <w:rsid w:val="001E0F49"/>
    <w:rsid w:val="001E14F3"/>
    <w:rsid w:val="001E15ED"/>
    <w:rsid w:val="001E5998"/>
    <w:rsid w:val="001E61AA"/>
    <w:rsid w:val="001E740E"/>
    <w:rsid w:val="001F00CE"/>
    <w:rsid w:val="0020309E"/>
    <w:rsid w:val="00210B58"/>
    <w:rsid w:val="00211489"/>
    <w:rsid w:val="002131E5"/>
    <w:rsid w:val="002158F6"/>
    <w:rsid w:val="00220DC4"/>
    <w:rsid w:val="00222423"/>
    <w:rsid w:val="002230AA"/>
    <w:rsid w:val="0022360E"/>
    <w:rsid w:val="00224125"/>
    <w:rsid w:val="00225B28"/>
    <w:rsid w:val="00226891"/>
    <w:rsid w:val="00230D9B"/>
    <w:rsid w:val="002313AC"/>
    <w:rsid w:val="00235FB2"/>
    <w:rsid w:val="00237BC1"/>
    <w:rsid w:val="002430B4"/>
    <w:rsid w:val="002447D0"/>
    <w:rsid w:val="00244E9A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8F0"/>
    <w:rsid w:val="00264F04"/>
    <w:rsid w:val="00267554"/>
    <w:rsid w:val="00267B8B"/>
    <w:rsid w:val="00270BEE"/>
    <w:rsid w:val="002758BE"/>
    <w:rsid w:val="002769F4"/>
    <w:rsid w:val="0028338F"/>
    <w:rsid w:val="002915C4"/>
    <w:rsid w:val="00297E6B"/>
    <w:rsid w:val="002A004A"/>
    <w:rsid w:val="002A1D1C"/>
    <w:rsid w:val="002A34DC"/>
    <w:rsid w:val="002A4D64"/>
    <w:rsid w:val="002B4969"/>
    <w:rsid w:val="002B6554"/>
    <w:rsid w:val="002C20A0"/>
    <w:rsid w:val="002C307C"/>
    <w:rsid w:val="002D05F0"/>
    <w:rsid w:val="002D2829"/>
    <w:rsid w:val="002D7D4A"/>
    <w:rsid w:val="002E331C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314"/>
    <w:rsid w:val="00322FBE"/>
    <w:rsid w:val="00325632"/>
    <w:rsid w:val="00327549"/>
    <w:rsid w:val="003342A5"/>
    <w:rsid w:val="00334616"/>
    <w:rsid w:val="00334758"/>
    <w:rsid w:val="00335C01"/>
    <w:rsid w:val="00336C36"/>
    <w:rsid w:val="0033721F"/>
    <w:rsid w:val="00343815"/>
    <w:rsid w:val="00350FC8"/>
    <w:rsid w:val="003510E9"/>
    <w:rsid w:val="003522BB"/>
    <w:rsid w:val="00352F6C"/>
    <w:rsid w:val="003556EA"/>
    <w:rsid w:val="00381512"/>
    <w:rsid w:val="003820E2"/>
    <w:rsid w:val="003864BE"/>
    <w:rsid w:val="00386FC7"/>
    <w:rsid w:val="00390A32"/>
    <w:rsid w:val="003A1E91"/>
    <w:rsid w:val="003A1F32"/>
    <w:rsid w:val="003A40F2"/>
    <w:rsid w:val="003A50D1"/>
    <w:rsid w:val="003B0BAC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67D9"/>
    <w:rsid w:val="003F75F6"/>
    <w:rsid w:val="00404670"/>
    <w:rsid w:val="00414CA0"/>
    <w:rsid w:val="0042141A"/>
    <w:rsid w:val="00422F54"/>
    <w:rsid w:val="00430704"/>
    <w:rsid w:val="00431516"/>
    <w:rsid w:val="004361B3"/>
    <w:rsid w:val="0044183E"/>
    <w:rsid w:val="0044249D"/>
    <w:rsid w:val="0044379F"/>
    <w:rsid w:val="004440ED"/>
    <w:rsid w:val="00444FCC"/>
    <w:rsid w:val="00445EFC"/>
    <w:rsid w:val="00446FB1"/>
    <w:rsid w:val="00452753"/>
    <w:rsid w:val="0046078F"/>
    <w:rsid w:val="00463214"/>
    <w:rsid w:val="0046434D"/>
    <w:rsid w:val="004652B4"/>
    <w:rsid w:val="004656FA"/>
    <w:rsid w:val="00471D77"/>
    <w:rsid w:val="00475587"/>
    <w:rsid w:val="00480BC2"/>
    <w:rsid w:val="00482BC9"/>
    <w:rsid w:val="004845C3"/>
    <w:rsid w:val="004910FC"/>
    <w:rsid w:val="004929C2"/>
    <w:rsid w:val="00493DB9"/>
    <w:rsid w:val="00493FDD"/>
    <w:rsid w:val="0049586B"/>
    <w:rsid w:val="004A2B16"/>
    <w:rsid w:val="004A3E44"/>
    <w:rsid w:val="004B2018"/>
    <w:rsid w:val="004B2896"/>
    <w:rsid w:val="004B38E9"/>
    <w:rsid w:val="004B3FBA"/>
    <w:rsid w:val="004B6599"/>
    <w:rsid w:val="004C4C37"/>
    <w:rsid w:val="004C59F4"/>
    <w:rsid w:val="004C6A35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42E5"/>
    <w:rsid w:val="004F52F0"/>
    <w:rsid w:val="004F5403"/>
    <w:rsid w:val="004F6176"/>
    <w:rsid w:val="004F621D"/>
    <w:rsid w:val="004F6250"/>
    <w:rsid w:val="004F677C"/>
    <w:rsid w:val="004F6D8F"/>
    <w:rsid w:val="00505503"/>
    <w:rsid w:val="0051107B"/>
    <w:rsid w:val="00512F9C"/>
    <w:rsid w:val="0052111E"/>
    <w:rsid w:val="00527CDB"/>
    <w:rsid w:val="005341C9"/>
    <w:rsid w:val="005369CA"/>
    <w:rsid w:val="00536DE9"/>
    <w:rsid w:val="00540971"/>
    <w:rsid w:val="00541E08"/>
    <w:rsid w:val="00554FE0"/>
    <w:rsid w:val="0055789A"/>
    <w:rsid w:val="00560952"/>
    <w:rsid w:val="005639FC"/>
    <w:rsid w:val="005652D1"/>
    <w:rsid w:val="005660A0"/>
    <w:rsid w:val="00566A4F"/>
    <w:rsid w:val="00567D64"/>
    <w:rsid w:val="005747D9"/>
    <w:rsid w:val="00591C79"/>
    <w:rsid w:val="00591E14"/>
    <w:rsid w:val="005978D4"/>
    <w:rsid w:val="005A23FA"/>
    <w:rsid w:val="005B2A67"/>
    <w:rsid w:val="005B3DCD"/>
    <w:rsid w:val="005B4AD4"/>
    <w:rsid w:val="005C2798"/>
    <w:rsid w:val="005C282A"/>
    <w:rsid w:val="005C36C3"/>
    <w:rsid w:val="005C56EE"/>
    <w:rsid w:val="005D1714"/>
    <w:rsid w:val="005D7638"/>
    <w:rsid w:val="005E0189"/>
    <w:rsid w:val="005F022E"/>
    <w:rsid w:val="005F12F5"/>
    <w:rsid w:val="005F18DC"/>
    <w:rsid w:val="005F27E8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27D1"/>
    <w:rsid w:val="00633750"/>
    <w:rsid w:val="00634491"/>
    <w:rsid w:val="0063679C"/>
    <w:rsid w:val="00636D90"/>
    <w:rsid w:val="00637055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3005"/>
    <w:rsid w:val="006804BE"/>
    <w:rsid w:val="0068434A"/>
    <w:rsid w:val="0069008E"/>
    <w:rsid w:val="0069087E"/>
    <w:rsid w:val="006925C4"/>
    <w:rsid w:val="006A02A1"/>
    <w:rsid w:val="006A02B7"/>
    <w:rsid w:val="006A7019"/>
    <w:rsid w:val="006B46D5"/>
    <w:rsid w:val="006B46F4"/>
    <w:rsid w:val="006B49FB"/>
    <w:rsid w:val="006C026F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ECB"/>
    <w:rsid w:val="00702F26"/>
    <w:rsid w:val="0070313E"/>
    <w:rsid w:val="00703799"/>
    <w:rsid w:val="00705C5C"/>
    <w:rsid w:val="00711475"/>
    <w:rsid w:val="0071371E"/>
    <w:rsid w:val="00716718"/>
    <w:rsid w:val="007215CD"/>
    <w:rsid w:val="0072548A"/>
    <w:rsid w:val="007277A6"/>
    <w:rsid w:val="00733CC4"/>
    <w:rsid w:val="00736686"/>
    <w:rsid w:val="007437AB"/>
    <w:rsid w:val="00745425"/>
    <w:rsid w:val="00745978"/>
    <w:rsid w:val="007534F8"/>
    <w:rsid w:val="007545AD"/>
    <w:rsid w:val="00761E3A"/>
    <w:rsid w:val="00763294"/>
    <w:rsid w:val="00763722"/>
    <w:rsid w:val="00764BC1"/>
    <w:rsid w:val="00770869"/>
    <w:rsid w:val="0077130E"/>
    <w:rsid w:val="007738AA"/>
    <w:rsid w:val="00780A62"/>
    <w:rsid w:val="00783241"/>
    <w:rsid w:val="00784BDC"/>
    <w:rsid w:val="00787911"/>
    <w:rsid w:val="00792F28"/>
    <w:rsid w:val="007935CA"/>
    <w:rsid w:val="0079475D"/>
    <w:rsid w:val="0079543F"/>
    <w:rsid w:val="00795880"/>
    <w:rsid w:val="007A0020"/>
    <w:rsid w:val="007A4367"/>
    <w:rsid w:val="007B0867"/>
    <w:rsid w:val="007B1AC1"/>
    <w:rsid w:val="007B5A08"/>
    <w:rsid w:val="007B693D"/>
    <w:rsid w:val="007B7C02"/>
    <w:rsid w:val="007C1C77"/>
    <w:rsid w:val="007C4CDC"/>
    <w:rsid w:val="007C7630"/>
    <w:rsid w:val="007D1ED2"/>
    <w:rsid w:val="007E041B"/>
    <w:rsid w:val="007E199A"/>
    <w:rsid w:val="007E1AED"/>
    <w:rsid w:val="007E2415"/>
    <w:rsid w:val="007E312F"/>
    <w:rsid w:val="007E39F3"/>
    <w:rsid w:val="007E405E"/>
    <w:rsid w:val="007E68F4"/>
    <w:rsid w:val="007E6DE2"/>
    <w:rsid w:val="007F0CAC"/>
    <w:rsid w:val="007F31BA"/>
    <w:rsid w:val="007F4078"/>
    <w:rsid w:val="0080014B"/>
    <w:rsid w:val="0080066A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16A3"/>
    <w:rsid w:val="00842BFB"/>
    <w:rsid w:val="008460C7"/>
    <w:rsid w:val="00846B85"/>
    <w:rsid w:val="00847DC3"/>
    <w:rsid w:val="00847F49"/>
    <w:rsid w:val="008535C5"/>
    <w:rsid w:val="00853765"/>
    <w:rsid w:val="0085516F"/>
    <w:rsid w:val="0085605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5C5"/>
    <w:rsid w:val="0088779E"/>
    <w:rsid w:val="008912AF"/>
    <w:rsid w:val="00892114"/>
    <w:rsid w:val="00892CB9"/>
    <w:rsid w:val="008935CB"/>
    <w:rsid w:val="00893A45"/>
    <w:rsid w:val="008A036B"/>
    <w:rsid w:val="008B0E7E"/>
    <w:rsid w:val="008B65BD"/>
    <w:rsid w:val="008B7900"/>
    <w:rsid w:val="008C4711"/>
    <w:rsid w:val="008C71BF"/>
    <w:rsid w:val="008C7FE0"/>
    <w:rsid w:val="008D5717"/>
    <w:rsid w:val="008E223D"/>
    <w:rsid w:val="008E44A9"/>
    <w:rsid w:val="008E6B4D"/>
    <w:rsid w:val="008E6BFF"/>
    <w:rsid w:val="008F21AF"/>
    <w:rsid w:val="008F2400"/>
    <w:rsid w:val="008F47AD"/>
    <w:rsid w:val="008F61BA"/>
    <w:rsid w:val="008F6E3C"/>
    <w:rsid w:val="008F7C55"/>
    <w:rsid w:val="0090733B"/>
    <w:rsid w:val="00911FC9"/>
    <w:rsid w:val="00914A23"/>
    <w:rsid w:val="00930754"/>
    <w:rsid w:val="00933635"/>
    <w:rsid w:val="00934F68"/>
    <w:rsid w:val="009355AC"/>
    <w:rsid w:val="00935F38"/>
    <w:rsid w:val="00937586"/>
    <w:rsid w:val="00947889"/>
    <w:rsid w:val="009478BD"/>
    <w:rsid w:val="00960E98"/>
    <w:rsid w:val="009625C7"/>
    <w:rsid w:val="00963A82"/>
    <w:rsid w:val="00972912"/>
    <w:rsid w:val="00973BFC"/>
    <w:rsid w:val="00976D1F"/>
    <w:rsid w:val="00981C81"/>
    <w:rsid w:val="00991115"/>
    <w:rsid w:val="009A2D24"/>
    <w:rsid w:val="009A44C9"/>
    <w:rsid w:val="009A456C"/>
    <w:rsid w:val="009B00E0"/>
    <w:rsid w:val="009B292A"/>
    <w:rsid w:val="009B6FD3"/>
    <w:rsid w:val="009B76D5"/>
    <w:rsid w:val="009C165D"/>
    <w:rsid w:val="009C3CEA"/>
    <w:rsid w:val="009C583D"/>
    <w:rsid w:val="009D1D9A"/>
    <w:rsid w:val="009D2611"/>
    <w:rsid w:val="009D3A96"/>
    <w:rsid w:val="009D79D2"/>
    <w:rsid w:val="009E247C"/>
    <w:rsid w:val="009E31BA"/>
    <w:rsid w:val="009F0528"/>
    <w:rsid w:val="009F0806"/>
    <w:rsid w:val="009F233B"/>
    <w:rsid w:val="00A05D16"/>
    <w:rsid w:val="00A0659F"/>
    <w:rsid w:val="00A068F7"/>
    <w:rsid w:val="00A079BA"/>
    <w:rsid w:val="00A14CBD"/>
    <w:rsid w:val="00A14E8C"/>
    <w:rsid w:val="00A20C70"/>
    <w:rsid w:val="00A320F2"/>
    <w:rsid w:val="00A33875"/>
    <w:rsid w:val="00A360A1"/>
    <w:rsid w:val="00A402B3"/>
    <w:rsid w:val="00A40A64"/>
    <w:rsid w:val="00A5249A"/>
    <w:rsid w:val="00A544B7"/>
    <w:rsid w:val="00A552A5"/>
    <w:rsid w:val="00A618CF"/>
    <w:rsid w:val="00A62770"/>
    <w:rsid w:val="00A62EEB"/>
    <w:rsid w:val="00A62F95"/>
    <w:rsid w:val="00A660FF"/>
    <w:rsid w:val="00A70D1D"/>
    <w:rsid w:val="00A73395"/>
    <w:rsid w:val="00A74FFC"/>
    <w:rsid w:val="00A771E3"/>
    <w:rsid w:val="00A82B4C"/>
    <w:rsid w:val="00A93A4C"/>
    <w:rsid w:val="00A94D5D"/>
    <w:rsid w:val="00A955B9"/>
    <w:rsid w:val="00AA1D9B"/>
    <w:rsid w:val="00AA2543"/>
    <w:rsid w:val="00AA3804"/>
    <w:rsid w:val="00AA55C2"/>
    <w:rsid w:val="00AB0ACA"/>
    <w:rsid w:val="00AB1D41"/>
    <w:rsid w:val="00AC4505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4AF4"/>
    <w:rsid w:val="00B05214"/>
    <w:rsid w:val="00B252D2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618C3"/>
    <w:rsid w:val="00B63652"/>
    <w:rsid w:val="00B65961"/>
    <w:rsid w:val="00B668B0"/>
    <w:rsid w:val="00B70F5C"/>
    <w:rsid w:val="00B71873"/>
    <w:rsid w:val="00B747CD"/>
    <w:rsid w:val="00B75AE5"/>
    <w:rsid w:val="00B800C0"/>
    <w:rsid w:val="00B8132B"/>
    <w:rsid w:val="00B84C5A"/>
    <w:rsid w:val="00B858F5"/>
    <w:rsid w:val="00B90040"/>
    <w:rsid w:val="00B92576"/>
    <w:rsid w:val="00B93668"/>
    <w:rsid w:val="00BA68C6"/>
    <w:rsid w:val="00BB12F1"/>
    <w:rsid w:val="00BB276E"/>
    <w:rsid w:val="00BB3FEE"/>
    <w:rsid w:val="00BB4CAF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3249"/>
    <w:rsid w:val="00BE3509"/>
    <w:rsid w:val="00BE54D3"/>
    <w:rsid w:val="00BE5CDA"/>
    <w:rsid w:val="00BE608F"/>
    <w:rsid w:val="00BF11B8"/>
    <w:rsid w:val="00BF23BB"/>
    <w:rsid w:val="00BF33DD"/>
    <w:rsid w:val="00BF5755"/>
    <w:rsid w:val="00BF684B"/>
    <w:rsid w:val="00C0058A"/>
    <w:rsid w:val="00C016F3"/>
    <w:rsid w:val="00C01F87"/>
    <w:rsid w:val="00C14C40"/>
    <w:rsid w:val="00C15193"/>
    <w:rsid w:val="00C15609"/>
    <w:rsid w:val="00C15F6A"/>
    <w:rsid w:val="00C171C9"/>
    <w:rsid w:val="00C23EA7"/>
    <w:rsid w:val="00C256F3"/>
    <w:rsid w:val="00C270A2"/>
    <w:rsid w:val="00C315B5"/>
    <w:rsid w:val="00C33970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42C8"/>
    <w:rsid w:val="00C74A87"/>
    <w:rsid w:val="00C81814"/>
    <w:rsid w:val="00C82981"/>
    <w:rsid w:val="00C83027"/>
    <w:rsid w:val="00C84B8A"/>
    <w:rsid w:val="00C85E65"/>
    <w:rsid w:val="00C87CA1"/>
    <w:rsid w:val="00C911B4"/>
    <w:rsid w:val="00C91B3B"/>
    <w:rsid w:val="00C94262"/>
    <w:rsid w:val="00C96EBE"/>
    <w:rsid w:val="00C976E1"/>
    <w:rsid w:val="00CA0FD5"/>
    <w:rsid w:val="00CA148E"/>
    <w:rsid w:val="00CA1860"/>
    <w:rsid w:val="00CA3A9A"/>
    <w:rsid w:val="00CA777D"/>
    <w:rsid w:val="00CB6BC1"/>
    <w:rsid w:val="00CB7021"/>
    <w:rsid w:val="00CC6323"/>
    <w:rsid w:val="00CD3294"/>
    <w:rsid w:val="00CD4524"/>
    <w:rsid w:val="00CD784D"/>
    <w:rsid w:val="00CE087B"/>
    <w:rsid w:val="00CE2801"/>
    <w:rsid w:val="00CE6185"/>
    <w:rsid w:val="00CF3A1C"/>
    <w:rsid w:val="00CF40F8"/>
    <w:rsid w:val="00D008DA"/>
    <w:rsid w:val="00D013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53D1"/>
    <w:rsid w:val="00D367DB"/>
    <w:rsid w:val="00D36E05"/>
    <w:rsid w:val="00D41CA5"/>
    <w:rsid w:val="00D44F27"/>
    <w:rsid w:val="00D45304"/>
    <w:rsid w:val="00D46165"/>
    <w:rsid w:val="00D461C7"/>
    <w:rsid w:val="00D50424"/>
    <w:rsid w:val="00D525C9"/>
    <w:rsid w:val="00D57D3E"/>
    <w:rsid w:val="00D72869"/>
    <w:rsid w:val="00D76249"/>
    <w:rsid w:val="00D90149"/>
    <w:rsid w:val="00D960AC"/>
    <w:rsid w:val="00DA7D12"/>
    <w:rsid w:val="00DC23CF"/>
    <w:rsid w:val="00DC6562"/>
    <w:rsid w:val="00DD0BD3"/>
    <w:rsid w:val="00DE130D"/>
    <w:rsid w:val="00DE24CF"/>
    <w:rsid w:val="00DE407C"/>
    <w:rsid w:val="00DE5032"/>
    <w:rsid w:val="00DE67CB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53F3D"/>
    <w:rsid w:val="00E63F34"/>
    <w:rsid w:val="00E63F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7136"/>
    <w:rsid w:val="00EB325A"/>
    <w:rsid w:val="00EB48D7"/>
    <w:rsid w:val="00EC02A5"/>
    <w:rsid w:val="00EC176B"/>
    <w:rsid w:val="00EC33CD"/>
    <w:rsid w:val="00EC5BE5"/>
    <w:rsid w:val="00ED2650"/>
    <w:rsid w:val="00ED721A"/>
    <w:rsid w:val="00EE393D"/>
    <w:rsid w:val="00EE6550"/>
    <w:rsid w:val="00EF01CF"/>
    <w:rsid w:val="00EF1CD6"/>
    <w:rsid w:val="00EF5D08"/>
    <w:rsid w:val="00EF6A47"/>
    <w:rsid w:val="00EF7AF9"/>
    <w:rsid w:val="00F00952"/>
    <w:rsid w:val="00F01495"/>
    <w:rsid w:val="00F10138"/>
    <w:rsid w:val="00F13F92"/>
    <w:rsid w:val="00F1425D"/>
    <w:rsid w:val="00F22ECA"/>
    <w:rsid w:val="00F240E8"/>
    <w:rsid w:val="00F244FA"/>
    <w:rsid w:val="00F366A2"/>
    <w:rsid w:val="00F4473B"/>
    <w:rsid w:val="00F44D09"/>
    <w:rsid w:val="00F44F43"/>
    <w:rsid w:val="00F450E1"/>
    <w:rsid w:val="00F50DF4"/>
    <w:rsid w:val="00F54804"/>
    <w:rsid w:val="00F57AFE"/>
    <w:rsid w:val="00F6278E"/>
    <w:rsid w:val="00F63C41"/>
    <w:rsid w:val="00F63E96"/>
    <w:rsid w:val="00F701E3"/>
    <w:rsid w:val="00F71008"/>
    <w:rsid w:val="00F71F8C"/>
    <w:rsid w:val="00F73FE7"/>
    <w:rsid w:val="00F8314A"/>
    <w:rsid w:val="00F86AD4"/>
    <w:rsid w:val="00F918D0"/>
    <w:rsid w:val="00FA0113"/>
    <w:rsid w:val="00FA12B2"/>
    <w:rsid w:val="00FA4473"/>
    <w:rsid w:val="00FA7610"/>
    <w:rsid w:val="00FB02BD"/>
    <w:rsid w:val="00FB3983"/>
    <w:rsid w:val="00FB398F"/>
    <w:rsid w:val="00FB4EF8"/>
    <w:rsid w:val="00FB54AE"/>
    <w:rsid w:val="00FB709A"/>
    <w:rsid w:val="00FB78DD"/>
    <w:rsid w:val="00FC3EF3"/>
    <w:rsid w:val="00FC5D35"/>
    <w:rsid w:val="00FD0AFF"/>
    <w:rsid w:val="00FD1EEE"/>
    <w:rsid w:val="00FD2049"/>
    <w:rsid w:val="00FD2140"/>
    <w:rsid w:val="00FD4722"/>
    <w:rsid w:val="00FD5B5F"/>
    <w:rsid w:val="00FD5BDE"/>
    <w:rsid w:val="00FD68EC"/>
    <w:rsid w:val="00FE24A5"/>
    <w:rsid w:val="00FE31E5"/>
    <w:rsid w:val="00FE6906"/>
    <w:rsid w:val="00FF19AD"/>
    <w:rsid w:val="00FF1EB5"/>
    <w:rsid w:val="00FF1FE0"/>
    <w:rsid w:val="00FF292D"/>
    <w:rsid w:val="00FF298D"/>
    <w:rsid w:val="00FF377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8FAF4FFA-B3C9-472A-B9AB-5AD718F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59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Y" w:eastAsia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National%20Accounts__Supply,%20Use%20and%20Input-Output%20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209C-7F10-40CF-818B-9F563161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11</cp:revision>
  <cp:lastPrinted>2025-09-02T10:28:00Z</cp:lastPrinted>
  <dcterms:created xsi:type="dcterms:W3CDTF">2026-04-17T05:09:00Z</dcterms:created>
  <dcterms:modified xsi:type="dcterms:W3CDTF">2026-04-20T08:04:00Z</dcterms:modified>
</cp:coreProperties>
</file>