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A932" w14:textId="598BA289" w:rsidR="00073F3B" w:rsidRDefault="00B123B3" w:rsidP="00D3245D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E525D16" w14:textId="16E7EE4A" w:rsidR="000D572B" w:rsidRPr="000D572B" w:rsidRDefault="008A4B5B" w:rsidP="00D3245D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C21002">
        <w:rPr>
          <w:rFonts w:ascii="Verdana" w:hAnsi="Verdana" w:cs="Arial"/>
          <w:sz w:val="18"/>
          <w:szCs w:val="18"/>
          <w:lang w:val="el-GR"/>
        </w:rPr>
        <w:t>4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Νοεμ</w:t>
      </w:r>
      <w:r w:rsidR="00EE0F0C">
        <w:rPr>
          <w:rFonts w:ascii="Verdana" w:hAnsi="Verdana" w:cs="Arial"/>
          <w:sz w:val="18"/>
          <w:szCs w:val="18"/>
          <w:lang w:val="el-GR"/>
        </w:rPr>
        <w:t>βρίου</w:t>
      </w:r>
      <w:r w:rsidR="00FD09FE" w:rsidRPr="00007C1E">
        <w:rPr>
          <w:rFonts w:ascii="Verdana" w:hAnsi="Verdana" w:cs="Arial"/>
          <w:sz w:val="18"/>
          <w:szCs w:val="18"/>
          <w:lang w:val="el-GR"/>
        </w:rPr>
        <w:t>,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EE0F0C">
        <w:rPr>
          <w:rFonts w:ascii="Verdana" w:hAnsi="Verdana" w:cs="Arial"/>
          <w:sz w:val="18"/>
          <w:szCs w:val="18"/>
          <w:lang w:val="el-GR"/>
        </w:rPr>
        <w:t>4</w:t>
      </w:r>
    </w:p>
    <w:p w14:paraId="0013940E" w14:textId="77777777" w:rsidR="002131E5" w:rsidRDefault="002131E5" w:rsidP="00D3245D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81B283" w14:textId="77777777" w:rsidR="00073F3B" w:rsidRPr="000D572B" w:rsidRDefault="00073F3B" w:rsidP="00D3245D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A0584C" w14:textId="77777777" w:rsidR="000D572B" w:rsidRDefault="000D572B" w:rsidP="00D3245D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0D572B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30D403C4" w14:textId="77777777" w:rsidR="00D3245D" w:rsidRDefault="00D3245D" w:rsidP="00D3245D">
      <w:pPr>
        <w:jc w:val="center"/>
        <w:rPr>
          <w:rFonts w:ascii="Verdana" w:hAnsi="Verdana" w:cs="Arial"/>
          <w:b/>
          <w:bCs/>
          <w:sz w:val="18"/>
          <w:szCs w:val="18"/>
          <w:lang w:val="el-GR"/>
        </w:rPr>
      </w:pPr>
    </w:p>
    <w:p w14:paraId="567C54E0" w14:textId="77777777" w:rsidR="00073F3B" w:rsidRPr="00F933E1" w:rsidRDefault="00073F3B" w:rsidP="00D3245D">
      <w:pPr>
        <w:jc w:val="center"/>
        <w:rPr>
          <w:rFonts w:ascii="Verdana" w:hAnsi="Verdana" w:cs="Arial"/>
          <w:b/>
          <w:bCs/>
          <w:sz w:val="18"/>
          <w:szCs w:val="18"/>
          <w:lang w:val="el-GR"/>
        </w:rPr>
      </w:pPr>
    </w:p>
    <w:p w14:paraId="746A135C" w14:textId="0EB0CA72" w:rsidR="000D572B" w:rsidRPr="00493DB9" w:rsidRDefault="00C8734D" w:rsidP="000B3052">
      <w:pPr>
        <w:rPr>
          <w:rFonts w:ascii="Verdana" w:hAnsi="Verdana" w:cs="Arial"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>ΕΤΗΣΙΟΙ</w:t>
      </w:r>
      <w:r w:rsidR="00B90040" w:rsidRPr="002131E5">
        <w:rPr>
          <w:rFonts w:ascii="Verdana" w:hAnsi="Verdana" w:cs="Arial"/>
          <w:u w:val="single"/>
          <w:lang w:val="el-GR"/>
        </w:rPr>
        <w:t xml:space="preserve"> </w:t>
      </w:r>
      <w:r w:rsidR="00040CB8" w:rsidRPr="00040CB8">
        <w:rPr>
          <w:rFonts w:ascii="Verdana" w:hAnsi="Verdana" w:cs="Arial"/>
          <w:u w:val="single"/>
          <w:lang w:val="el-GR"/>
        </w:rPr>
        <w:t>ΜΗ-ΧΡΗΜΑΤΟΟΙΚΟΝΟΜΙΚΟΙ ΛΟΓΑΡΙΑΣΜΟΙ ΘΕΣΜΙΚΩΝ ΤΟΜΕΩΝ</w:t>
      </w:r>
      <w:r w:rsidR="000B3052">
        <w:rPr>
          <w:rFonts w:ascii="Verdana" w:hAnsi="Verdana" w:cs="Arial"/>
          <w:u w:val="single"/>
          <w:lang w:val="el-GR"/>
        </w:rPr>
        <w:t xml:space="preserve">: </w:t>
      </w:r>
      <w:r w:rsidR="000B3052" w:rsidRPr="000B3052">
        <w:rPr>
          <w:rFonts w:ascii="Verdana" w:hAnsi="Verdana" w:cs="Arial"/>
          <w:b/>
          <w:bCs/>
          <w:u w:val="single"/>
          <w:lang w:val="el-GR"/>
        </w:rPr>
        <w:t>202</w:t>
      </w:r>
      <w:r w:rsidR="00EE0F0C">
        <w:rPr>
          <w:rFonts w:ascii="Verdana" w:hAnsi="Verdana" w:cs="Arial"/>
          <w:b/>
          <w:bCs/>
          <w:u w:val="single"/>
          <w:lang w:val="el-GR"/>
        </w:rPr>
        <w:t>3</w:t>
      </w:r>
    </w:p>
    <w:p w14:paraId="56AB31A0" w14:textId="77777777" w:rsidR="00D3245D" w:rsidRDefault="00D3245D" w:rsidP="00D3245D">
      <w:pPr>
        <w:jc w:val="center"/>
        <w:rPr>
          <w:rFonts w:ascii="Verdana" w:hAnsi="Verdana" w:cs="Arial"/>
          <w:b/>
          <w:bCs/>
          <w:sz w:val="18"/>
          <w:szCs w:val="18"/>
          <w:lang w:val="el-GR"/>
        </w:rPr>
      </w:pPr>
    </w:p>
    <w:p w14:paraId="3F2203E0" w14:textId="77777777" w:rsidR="00073F3B" w:rsidRPr="00FD09FE" w:rsidRDefault="00073F3B" w:rsidP="00D3245D">
      <w:pPr>
        <w:jc w:val="center"/>
        <w:rPr>
          <w:rFonts w:ascii="Verdana" w:hAnsi="Verdana" w:cs="Arial"/>
          <w:b/>
          <w:bCs/>
          <w:sz w:val="18"/>
          <w:szCs w:val="18"/>
          <w:lang w:val="el-GR"/>
        </w:rPr>
      </w:pPr>
    </w:p>
    <w:p w14:paraId="457A7A40" w14:textId="4E076C44" w:rsidR="000B3052" w:rsidRPr="00FD09FE" w:rsidRDefault="000B3052" w:rsidP="00D3245D">
      <w:pPr>
        <w:jc w:val="center"/>
        <w:rPr>
          <w:rFonts w:ascii="Verdana" w:hAnsi="Verdana" w:cs="Arial"/>
          <w:b/>
          <w:bCs/>
          <w:lang w:val="el-GR"/>
        </w:rPr>
      </w:pPr>
      <w:r w:rsidRPr="00FD09FE">
        <w:rPr>
          <w:rFonts w:ascii="Verdana" w:hAnsi="Verdana" w:cs="Arial"/>
          <w:b/>
          <w:bCs/>
          <w:lang w:val="el-GR"/>
        </w:rPr>
        <w:t xml:space="preserve">Ετήσια Αύξηση </w:t>
      </w:r>
      <w:r w:rsidR="006A0CAB">
        <w:rPr>
          <w:rFonts w:ascii="Verdana" w:hAnsi="Verdana" w:cs="Arial"/>
          <w:b/>
          <w:bCs/>
          <w:lang w:val="el-GR"/>
        </w:rPr>
        <w:t>4</w:t>
      </w:r>
      <w:r w:rsidR="009C680A" w:rsidRPr="00FD09FE">
        <w:rPr>
          <w:rFonts w:ascii="Verdana" w:hAnsi="Verdana" w:cs="Arial"/>
          <w:b/>
          <w:bCs/>
          <w:lang w:val="el-GR"/>
        </w:rPr>
        <w:t>,</w:t>
      </w:r>
      <w:r w:rsidR="006A0CAB">
        <w:rPr>
          <w:rFonts w:ascii="Verdana" w:hAnsi="Verdana" w:cs="Arial"/>
          <w:b/>
          <w:bCs/>
          <w:lang w:val="el-GR"/>
        </w:rPr>
        <w:t>9</w:t>
      </w:r>
      <w:r w:rsidRPr="00FD09FE">
        <w:rPr>
          <w:rFonts w:ascii="Verdana" w:hAnsi="Verdana" w:cs="Arial"/>
          <w:b/>
          <w:bCs/>
          <w:lang w:val="el-GR"/>
        </w:rPr>
        <w:t>% στο Διαθέσιμο Εισόδημα</w:t>
      </w:r>
      <w:r w:rsidR="009C680A" w:rsidRPr="00FD09FE">
        <w:rPr>
          <w:rFonts w:ascii="Verdana" w:hAnsi="Verdana" w:cs="Arial"/>
          <w:b/>
          <w:bCs/>
          <w:lang w:val="el-GR"/>
        </w:rPr>
        <w:t xml:space="preserve"> των Νοικοκυριών και </w:t>
      </w:r>
      <w:r w:rsidR="004C18AE" w:rsidRPr="00FD09FE">
        <w:rPr>
          <w:rFonts w:ascii="Verdana" w:hAnsi="Verdana" w:cs="Arial"/>
          <w:b/>
          <w:bCs/>
          <w:lang w:val="el-GR"/>
        </w:rPr>
        <w:t xml:space="preserve">των </w:t>
      </w:r>
      <w:r w:rsidR="00413481" w:rsidRPr="00FD09FE">
        <w:rPr>
          <w:rFonts w:ascii="Verdana" w:hAnsi="Verdana" w:cs="Arial"/>
          <w:b/>
          <w:bCs/>
          <w:lang w:val="el-GR"/>
        </w:rPr>
        <w:t>Μη Κερδοσκοπικών Ιδρυμάτων που Εξυπηρετούν Νοικοκυριά</w:t>
      </w:r>
    </w:p>
    <w:p w14:paraId="6EF94433" w14:textId="77777777" w:rsidR="00D3245D" w:rsidRDefault="00D3245D" w:rsidP="00D3245D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6C6FEF" w14:textId="77777777" w:rsidR="00073F3B" w:rsidRDefault="00073F3B" w:rsidP="00D3245D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74F9F3F" w14:textId="18C6827B" w:rsidR="00FB3416" w:rsidRPr="005970DD" w:rsidRDefault="002A7E3D" w:rsidP="002A5579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9C680A">
        <w:rPr>
          <w:rFonts w:ascii="Verdana" w:hAnsi="Verdana" w:cs="Arial"/>
          <w:sz w:val="18"/>
          <w:szCs w:val="18"/>
          <w:lang w:val="el-GR"/>
        </w:rPr>
        <w:t>Με βάση τις</w:t>
      </w:r>
      <w:r w:rsidR="00FB3416" w:rsidRPr="009C680A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55F0" w:rsidRPr="009C680A">
        <w:rPr>
          <w:rFonts w:ascii="Verdana" w:hAnsi="Verdana" w:cs="Arial"/>
          <w:sz w:val="18"/>
          <w:szCs w:val="18"/>
          <w:lang w:val="el-GR"/>
        </w:rPr>
        <w:t>προκαταρκτικές εκτιμήσεις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55F0" w:rsidRPr="009C680A">
        <w:rPr>
          <w:rFonts w:ascii="Verdana" w:hAnsi="Verdana" w:cs="Arial"/>
          <w:sz w:val="18"/>
          <w:szCs w:val="18"/>
          <w:lang w:val="el-GR"/>
        </w:rPr>
        <w:t xml:space="preserve">των κυριότερων </w:t>
      </w:r>
      <w:r w:rsidR="00FB3416" w:rsidRPr="009C680A">
        <w:rPr>
          <w:rFonts w:ascii="Verdana" w:hAnsi="Verdana" w:cs="Arial"/>
          <w:sz w:val="18"/>
          <w:szCs w:val="18"/>
          <w:lang w:val="el-GR"/>
        </w:rPr>
        <w:t xml:space="preserve">μακροοικονομικών </w:t>
      </w:r>
      <w:r w:rsidR="001165EE" w:rsidRPr="009C680A">
        <w:rPr>
          <w:rFonts w:ascii="Verdana" w:hAnsi="Verdana" w:cs="Arial"/>
          <w:sz w:val="18"/>
          <w:szCs w:val="18"/>
          <w:lang w:val="el-GR"/>
        </w:rPr>
        <w:t>μεγεθών</w:t>
      </w:r>
      <w:r w:rsidR="00F555F0" w:rsidRPr="009C680A">
        <w:rPr>
          <w:rFonts w:ascii="Verdana" w:hAnsi="Verdana" w:cs="Arial"/>
          <w:sz w:val="18"/>
          <w:szCs w:val="18"/>
          <w:lang w:val="el-GR"/>
        </w:rPr>
        <w:t xml:space="preserve"> των Εθνικών Λογαριασμών κατά θεσμικό τομέα</w:t>
      </w:r>
      <w:r w:rsidR="00FE4E02" w:rsidRPr="009C680A">
        <w:rPr>
          <w:rFonts w:ascii="Verdana" w:hAnsi="Verdana" w:cs="Arial"/>
          <w:sz w:val="18"/>
          <w:szCs w:val="18"/>
          <w:lang w:val="el-GR"/>
        </w:rPr>
        <w:t xml:space="preserve"> για το έτος 202</w:t>
      </w:r>
      <w:r w:rsidR="006A0CAB">
        <w:rPr>
          <w:rFonts w:ascii="Verdana" w:hAnsi="Verdana" w:cs="Arial"/>
          <w:sz w:val="18"/>
          <w:szCs w:val="18"/>
          <w:lang w:val="el-GR"/>
        </w:rPr>
        <w:t>3</w:t>
      </w:r>
      <w:r w:rsidR="001165EE" w:rsidRPr="009C680A">
        <w:rPr>
          <w:rFonts w:ascii="Verdana" w:hAnsi="Verdana" w:cs="Arial"/>
          <w:sz w:val="18"/>
          <w:szCs w:val="18"/>
          <w:lang w:val="el-GR"/>
        </w:rPr>
        <w:t>,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 xml:space="preserve"> το ακαθάριστο διαθέσιμο εισόδημα </w:t>
      </w:r>
      <w:r w:rsidR="008B6546" w:rsidRPr="009C680A">
        <w:rPr>
          <w:rFonts w:ascii="Verdana" w:hAnsi="Verdana" w:cs="Arial"/>
          <w:sz w:val="18"/>
          <w:szCs w:val="18"/>
          <w:lang w:val="el-GR"/>
        </w:rPr>
        <w:t xml:space="preserve">για το σύνολο της οικονομίας 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>ανήλθε σε €2</w:t>
      </w:r>
      <w:r w:rsidR="006A0CAB" w:rsidRPr="006A0CAB">
        <w:rPr>
          <w:rFonts w:ascii="Verdana" w:hAnsi="Verdana" w:cs="Arial"/>
          <w:sz w:val="18"/>
          <w:szCs w:val="18"/>
          <w:lang w:val="el-GR"/>
        </w:rPr>
        <w:t>7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>.</w:t>
      </w:r>
      <w:r w:rsidR="006A0CAB" w:rsidRPr="006A0CAB">
        <w:rPr>
          <w:rFonts w:ascii="Verdana" w:hAnsi="Verdana" w:cs="Arial"/>
          <w:sz w:val="18"/>
          <w:szCs w:val="18"/>
          <w:lang w:val="el-GR"/>
        </w:rPr>
        <w:t>981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>,</w:t>
      </w:r>
      <w:r w:rsidR="006A0CAB" w:rsidRPr="006A0CAB">
        <w:rPr>
          <w:rFonts w:ascii="Verdana" w:hAnsi="Verdana" w:cs="Arial"/>
          <w:sz w:val="18"/>
          <w:szCs w:val="18"/>
          <w:lang w:val="el-GR"/>
        </w:rPr>
        <w:t>9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 xml:space="preserve"> εκ., η ακαθάριστη αποταμίευση ανήλθε σε €3.</w:t>
      </w:r>
      <w:r w:rsidR="006A0CAB" w:rsidRPr="006A0CAB">
        <w:rPr>
          <w:rFonts w:ascii="Verdana" w:hAnsi="Verdana" w:cs="Arial"/>
          <w:sz w:val="18"/>
          <w:szCs w:val="18"/>
          <w:lang w:val="el-GR"/>
        </w:rPr>
        <w:t>463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>,</w:t>
      </w:r>
      <w:r w:rsidR="006A0CAB" w:rsidRPr="006A0CAB">
        <w:rPr>
          <w:rFonts w:ascii="Verdana" w:hAnsi="Verdana" w:cs="Arial"/>
          <w:sz w:val="18"/>
          <w:szCs w:val="18"/>
          <w:lang w:val="el-GR"/>
        </w:rPr>
        <w:t>0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 xml:space="preserve"> εκ. και η καθαρή ανάγκη χρηματοδότησης </w:t>
      </w:r>
      <w:r w:rsidR="003E2257" w:rsidRPr="009C680A">
        <w:rPr>
          <w:rFonts w:ascii="Verdana" w:hAnsi="Verdana" w:cs="Arial"/>
          <w:sz w:val="18"/>
          <w:szCs w:val="18"/>
          <w:lang w:val="el-GR"/>
        </w:rPr>
        <w:t>(-)</w:t>
      </w:r>
      <w:r w:rsidR="008B6546" w:rsidRPr="009C680A">
        <w:rPr>
          <w:rFonts w:ascii="Verdana" w:hAnsi="Verdana" w:cs="Arial"/>
          <w:sz w:val="18"/>
          <w:szCs w:val="18"/>
          <w:lang w:val="el-GR"/>
        </w:rPr>
        <w:t xml:space="preserve"> διαμορφώθηκε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 xml:space="preserve"> σε €2.</w:t>
      </w:r>
      <w:r w:rsidR="006A0CAB" w:rsidRPr="006A0CAB">
        <w:rPr>
          <w:rFonts w:ascii="Verdana" w:hAnsi="Verdana" w:cs="Arial"/>
          <w:sz w:val="18"/>
          <w:szCs w:val="18"/>
          <w:lang w:val="el-GR"/>
        </w:rPr>
        <w:t>998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>,</w:t>
      </w:r>
      <w:r w:rsidR="006A0CAB" w:rsidRPr="006A0CAB">
        <w:rPr>
          <w:rFonts w:ascii="Verdana" w:hAnsi="Verdana" w:cs="Arial"/>
          <w:sz w:val="18"/>
          <w:szCs w:val="18"/>
          <w:lang w:val="el-GR"/>
        </w:rPr>
        <w:t>7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1432E9" w:rsidRPr="009C680A">
        <w:rPr>
          <w:rFonts w:ascii="Verdana" w:hAnsi="Verdana" w:cs="Arial"/>
          <w:sz w:val="18"/>
          <w:szCs w:val="18"/>
          <w:lang w:val="el-GR"/>
        </w:rPr>
        <w:t xml:space="preserve">. </w:t>
      </w:r>
      <w:r w:rsidR="001432E9" w:rsidRPr="005970DD">
        <w:rPr>
          <w:rFonts w:ascii="Verdana" w:hAnsi="Verdana" w:cs="Arial"/>
          <w:sz w:val="18"/>
          <w:szCs w:val="18"/>
          <w:lang w:val="el-GR"/>
        </w:rPr>
        <w:t>(</w:t>
      </w:r>
      <w:r w:rsidR="001432E9" w:rsidRPr="009C680A">
        <w:rPr>
          <w:rFonts w:ascii="Verdana" w:hAnsi="Verdana" w:cs="Arial"/>
          <w:sz w:val="18"/>
          <w:szCs w:val="18"/>
          <w:lang w:val="el-GR"/>
        </w:rPr>
        <w:t>Πίνακας</w:t>
      </w:r>
      <w:r w:rsidR="001432E9" w:rsidRPr="005970DD">
        <w:rPr>
          <w:rFonts w:ascii="Verdana" w:hAnsi="Verdana" w:cs="Arial"/>
          <w:sz w:val="18"/>
          <w:szCs w:val="18"/>
          <w:lang w:val="el-GR"/>
        </w:rPr>
        <w:t>)</w:t>
      </w:r>
    </w:p>
    <w:p w14:paraId="7326D819" w14:textId="77777777" w:rsidR="00F666E2" w:rsidRPr="009C680A" w:rsidRDefault="00F666E2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9DBDA1" w14:textId="57205AFB" w:rsidR="004D79B4" w:rsidRPr="009C680A" w:rsidRDefault="00B00579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9C680A">
        <w:rPr>
          <w:rFonts w:ascii="Verdana" w:hAnsi="Verdana" w:cs="Arial"/>
          <w:sz w:val="18"/>
          <w:szCs w:val="18"/>
          <w:lang w:val="el-GR"/>
        </w:rPr>
        <w:t>Τ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ο διαθέσιμο εισόδημα</w:t>
      </w:r>
      <w:r w:rsidR="007268C5" w:rsidRPr="009C680A">
        <w:rPr>
          <w:rFonts w:ascii="Verdana" w:hAnsi="Verdana" w:cs="Arial"/>
          <w:sz w:val="18"/>
          <w:szCs w:val="18"/>
          <w:lang w:val="el-GR"/>
        </w:rPr>
        <w:t xml:space="preserve"> των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 xml:space="preserve"> </w:t>
      </w:r>
      <w:r w:rsidR="007268C5" w:rsidRPr="009C680A">
        <w:rPr>
          <w:rFonts w:ascii="Verdana" w:hAnsi="Verdana" w:cs="Arial"/>
          <w:sz w:val="18"/>
          <w:szCs w:val="18"/>
          <w:lang w:val="el-GR"/>
        </w:rPr>
        <w:t>ν</w:t>
      </w:r>
      <w:r w:rsidR="008A7B9D" w:rsidRPr="009C680A">
        <w:rPr>
          <w:rFonts w:ascii="Verdana" w:hAnsi="Verdana" w:cs="Arial"/>
          <w:sz w:val="18"/>
          <w:szCs w:val="18"/>
          <w:lang w:val="el-GR"/>
        </w:rPr>
        <w:t xml:space="preserve">οικοκυριών και </w:t>
      </w:r>
      <w:r w:rsidR="007268C5" w:rsidRPr="009C680A">
        <w:rPr>
          <w:rFonts w:ascii="Verdana" w:hAnsi="Verdana" w:cs="Arial"/>
          <w:sz w:val="18"/>
          <w:szCs w:val="18"/>
          <w:lang w:val="el-GR"/>
        </w:rPr>
        <w:t>των μη κερδοσκοπικών ιδρυμάτων που εξυπηρετούν νοικοκυριά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 xml:space="preserve"> </w:t>
      </w:r>
      <w:r w:rsidR="007268C5" w:rsidRPr="009C680A">
        <w:rPr>
          <w:rFonts w:ascii="Verdana" w:hAnsi="Verdana" w:cs="Arial"/>
          <w:sz w:val="18"/>
          <w:szCs w:val="18"/>
          <w:lang w:val="el-GR"/>
        </w:rPr>
        <w:t xml:space="preserve">(ΜΚΙΕΝ) 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 xml:space="preserve">αυξήθηκε κατά </w:t>
      </w:r>
      <w:r w:rsidR="00783CB9">
        <w:rPr>
          <w:rFonts w:ascii="Verdana" w:hAnsi="Verdana" w:cs="Arial"/>
          <w:sz w:val="18"/>
          <w:szCs w:val="18"/>
          <w:lang w:val="el-GR"/>
        </w:rPr>
        <w:t>4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,</w:t>
      </w:r>
      <w:r w:rsidR="00783CB9">
        <w:rPr>
          <w:rFonts w:ascii="Verdana" w:hAnsi="Verdana" w:cs="Arial"/>
          <w:sz w:val="18"/>
          <w:szCs w:val="18"/>
          <w:lang w:val="el-GR"/>
        </w:rPr>
        <w:t>9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% σε σύγκριση με το 202</w:t>
      </w:r>
      <w:r w:rsidR="00783CB9">
        <w:rPr>
          <w:rFonts w:ascii="Verdana" w:hAnsi="Verdana" w:cs="Arial"/>
          <w:sz w:val="18"/>
          <w:szCs w:val="18"/>
          <w:lang w:val="el-GR"/>
        </w:rPr>
        <w:t>2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, από €</w:t>
      </w:r>
      <w:r w:rsidR="00783CB9">
        <w:rPr>
          <w:rFonts w:ascii="Verdana" w:hAnsi="Verdana" w:cs="Arial"/>
          <w:sz w:val="18"/>
          <w:szCs w:val="18"/>
          <w:lang w:val="el-GR"/>
        </w:rPr>
        <w:t>19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.</w:t>
      </w:r>
      <w:r w:rsidR="00783CB9">
        <w:rPr>
          <w:rFonts w:ascii="Verdana" w:hAnsi="Verdana" w:cs="Arial"/>
          <w:sz w:val="18"/>
          <w:szCs w:val="18"/>
          <w:lang w:val="el-GR"/>
        </w:rPr>
        <w:t>743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,</w:t>
      </w:r>
      <w:r w:rsidR="00783CB9">
        <w:rPr>
          <w:rFonts w:ascii="Verdana" w:hAnsi="Verdana" w:cs="Arial"/>
          <w:sz w:val="18"/>
          <w:szCs w:val="18"/>
          <w:lang w:val="el-GR"/>
        </w:rPr>
        <w:t>7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 xml:space="preserve"> εκ. σε €</w:t>
      </w:r>
      <w:r w:rsidR="00783CB9">
        <w:rPr>
          <w:rFonts w:ascii="Verdana" w:hAnsi="Verdana" w:cs="Arial"/>
          <w:sz w:val="18"/>
          <w:szCs w:val="18"/>
          <w:lang w:val="el-GR"/>
        </w:rPr>
        <w:t>20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.</w:t>
      </w:r>
      <w:r w:rsidR="00783CB9">
        <w:rPr>
          <w:rFonts w:ascii="Verdana" w:hAnsi="Verdana" w:cs="Arial"/>
          <w:sz w:val="18"/>
          <w:szCs w:val="18"/>
          <w:lang w:val="el-GR"/>
        </w:rPr>
        <w:t>713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,</w:t>
      </w:r>
      <w:r w:rsidR="00783CB9">
        <w:rPr>
          <w:rFonts w:ascii="Verdana" w:hAnsi="Verdana" w:cs="Arial"/>
          <w:sz w:val="18"/>
          <w:szCs w:val="18"/>
          <w:lang w:val="el-GR"/>
        </w:rPr>
        <w:t>2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7268C5" w:rsidRPr="009C680A">
        <w:rPr>
          <w:rFonts w:ascii="Verdana" w:hAnsi="Verdana" w:cs="Arial"/>
          <w:sz w:val="18"/>
          <w:szCs w:val="18"/>
          <w:lang w:val="el-GR"/>
        </w:rPr>
        <w:t>, ενώ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 xml:space="preserve"> </w:t>
      </w:r>
      <w:r w:rsidR="007268C5" w:rsidRPr="009C680A">
        <w:rPr>
          <w:rFonts w:ascii="Verdana" w:hAnsi="Verdana" w:cs="Arial"/>
          <w:sz w:val="18"/>
          <w:szCs w:val="18"/>
          <w:lang w:val="el-GR"/>
        </w:rPr>
        <w:t>η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 xml:space="preserve"> τελική καταναλωτική δαπάνη </w:t>
      </w:r>
      <w:r w:rsidR="007268C5" w:rsidRPr="009C680A">
        <w:rPr>
          <w:rFonts w:ascii="Verdana" w:hAnsi="Verdana" w:cs="Arial"/>
          <w:sz w:val="18"/>
          <w:szCs w:val="18"/>
          <w:lang w:val="el-GR"/>
        </w:rPr>
        <w:t>τους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 xml:space="preserve">, αυξήθηκε κατά </w:t>
      </w:r>
      <w:r w:rsidR="002F4314" w:rsidRPr="002F4314">
        <w:rPr>
          <w:rFonts w:ascii="Verdana" w:hAnsi="Verdana" w:cs="Arial"/>
          <w:sz w:val="18"/>
          <w:szCs w:val="18"/>
          <w:lang w:val="el-GR"/>
        </w:rPr>
        <w:t>9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,</w:t>
      </w:r>
      <w:r w:rsidR="002F4314" w:rsidRPr="002F4314">
        <w:rPr>
          <w:rFonts w:ascii="Verdana" w:hAnsi="Verdana" w:cs="Arial"/>
          <w:sz w:val="18"/>
          <w:szCs w:val="18"/>
          <w:lang w:val="el-GR"/>
        </w:rPr>
        <w:t>8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% το 202</w:t>
      </w:r>
      <w:r w:rsidR="002F4314">
        <w:rPr>
          <w:rFonts w:ascii="Verdana" w:hAnsi="Verdana" w:cs="Arial"/>
          <w:sz w:val="18"/>
          <w:szCs w:val="18"/>
          <w:lang w:val="el-GR"/>
        </w:rPr>
        <w:t>3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 xml:space="preserve"> σε σύγκριση με το 202</w:t>
      </w:r>
      <w:r w:rsidR="002F4314">
        <w:rPr>
          <w:rFonts w:ascii="Verdana" w:hAnsi="Verdana" w:cs="Arial"/>
          <w:sz w:val="18"/>
          <w:szCs w:val="18"/>
          <w:lang w:val="el-GR"/>
        </w:rPr>
        <w:t>2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, από €1</w:t>
      </w:r>
      <w:r w:rsidR="002F4314" w:rsidRPr="002F4314">
        <w:rPr>
          <w:rFonts w:ascii="Verdana" w:hAnsi="Verdana" w:cs="Arial"/>
          <w:sz w:val="18"/>
          <w:szCs w:val="18"/>
          <w:lang w:val="el-GR"/>
        </w:rPr>
        <w:t>7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.</w:t>
      </w:r>
      <w:r w:rsidR="002F4314" w:rsidRPr="002F4314">
        <w:rPr>
          <w:rFonts w:ascii="Verdana" w:hAnsi="Verdana" w:cs="Arial"/>
          <w:sz w:val="18"/>
          <w:szCs w:val="18"/>
          <w:lang w:val="el-GR"/>
        </w:rPr>
        <w:t>030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,</w:t>
      </w:r>
      <w:r w:rsidR="002F4314" w:rsidRPr="002F4314">
        <w:rPr>
          <w:rFonts w:ascii="Verdana" w:hAnsi="Verdana" w:cs="Arial"/>
          <w:sz w:val="18"/>
          <w:szCs w:val="18"/>
          <w:lang w:val="el-GR"/>
        </w:rPr>
        <w:t>2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 xml:space="preserve"> εκ. σε €1</w:t>
      </w:r>
      <w:r w:rsidR="002F4314" w:rsidRPr="002F4314">
        <w:rPr>
          <w:rFonts w:ascii="Verdana" w:hAnsi="Verdana" w:cs="Arial"/>
          <w:sz w:val="18"/>
          <w:szCs w:val="18"/>
          <w:lang w:val="el-GR"/>
        </w:rPr>
        <w:t>8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.</w:t>
      </w:r>
      <w:r w:rsidR="002F4314" w:rsidRPr="002F4314">
        <w:rPr>
          <w:rFonts w:ascii="Verdana" w:hAnsi="Verdana" w:cs="Arial"/>
          <w:sz w:val="18"/>
          <w:szCs w:val="18"/>
          <w:lang w:val="el-GR"/>
        </w:rPr>
        <w:t>702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>,</w:t>
      </w:r>
      <w:r w:rsidR="002F4314" w:rsidRPr="002F4314">
        <w:rPr>
          <w:rFonts w:ascii="Verdana" w:hAnsi="Verdana" w:cs="Arial"/>
          <w:sz w:val="18"/>
          <w:szCs w:val="18"/>
          <w:lang w:val="el-GR"/>
        </w:rPr>
        <w:t>7</w:t>
      </w:r>
      <w:r w:rsidR="001C6E77" w:rsidRPr="009C680A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9B5485" w:rsidRPr="009C680A">
        <w:rPr>
          <w:rFonts w:ascii="Verdana" w:hAnsi="Verdana" w:cs="Arial"/>
          <w:sz w:val="18"/>
          <w:szCs w:val="18"/>
          <w:lang w:val="el-GR"/>
        </w:rPr>
        <w:t>.</w:t>
      </w:r>
    </w:p>
    <w:p w14:paraId="01575E15" w14:textId="77777777" w:rsidR="00760ECC" w:rsidRPr="0069045F" w:rsidRDefault="00760ECC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709A17" w14:textId="35CDDD60" w:rsidR="00620B2E" w:rsidRPr="00627CAB" w:rsidRDefault="002F4314" w:rsidP="00627CAB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69F255DD" wp14:editId="12B7F20F">
            <wp:extent cx="6096635" cy="4383405"/>
            <wp:effectExtent l="0" t="0" r="0" b="0"/>
            <wp:docPr id="10778157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38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6C8D0" w14:textId="77777777" w:rsidR="004D79B4" w:rsidRPr="0069045F" w:rsidRDefault="004D79B4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672531" w14:textId="408D6E63" w:rsidR="0070356E" w:rsidRPr="0069045F" w:rsidRDefault="007268C5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69045F">
        <w:rPr>
          <w:rFonts w:ascii="Verdana" w:hAnsi="Verdana" w:cs="Arial"/>
          <w:sz w:val="18"/>
          <w:szCs w:val="18"/>
          <w:lang w:val="el-GR"/>
        </w:rPr>
        <w:lastRenderedPageBreak/>
        <w:t xml:space="preserve">Επιπλέον, 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το ποσοστό αποταμίευσης</w:t>
      </w:r>
      <w:r w:rsidR="00165B8A">
        <w:rPr>
          <w:rFonts w:ascii="Verdana" w:hAnsi="Verdana" w:cs="Arial"/>
          <w:sz w:val="18"/>
          <w:szCs w:val="18"/>
          <w:lang w:val="el-GR"/>
        </w:rPr>
        <w:t>, που καθορίζεται ως το ποσοστό της ακαθάριστης αποταμίευσης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 xml:space="preserve"> </w:t>
      </w:r>
      <w:r w:rsidR="00E60C97">
        <w:rPr>
          <w:rFonts w:ascii="Verdana" w:hAnsi="Verdana" w:cs="Arial"/>
          <w:sz w:val="18"/>
          <w:szCs w:val="18"/>
          <w:lang w:val="el-GR"/>
        </w:rPr>
        <w:t xml:space="preserve">ως </w:t>
      </w:r>
      <w:r w:rsidR="00AA1D65">
        <w:rPr>
          <w:rFonts w:ascii="Verdana" w:hAnsi="Verdana" w:cs="Arial"/>
          <w:sz w:val="18"/>
          <w:szCs w:val="18"/>
          <w:lang w:val="el-GR"/>
        </w:rPr>
        <w:t xml:space="preserve">προς το </w:t>
      </w:r>
      <w:r w:rsidR="007445D7">
        <w:rPr>
          <w:rFonts w:ascii="Verdana" w:hAnsi="Verdana" w:cs="Arial"/>
          <w:sz w:val="18"/>
          <w:szCs w:val="18"/>
          <w:lang w:val="el-GR"/>
        </w:rPr>
        <w:t xml:space="preserve">ακαθάριστο </w:t>
      </w:r>
      <w:r w:rsidR="00AA1D65">
        <w:rPr>
          <w:rFonts w:ascii="Verdana" w:hAnsi="Verdana" w:cs="Arial"/>
          <w:sz w:val="18"/>
          <w:szCs w:val="18"/>
          <w:lang w:val="el-GR"/>
        </w:rPr>
        <w:t xml:space="preserve">διαθέσιμο εισόδημα 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των νοικοκυριών και των ΜΚΙΕΝ</w:t>
      </w:r>
      <w:r w:rsidR="00165B8A">
        <w:rPr>
          <w:rFonts w:ascii="Verdana" w:hAnsi="Verdana" w:cs="Arial"/>
          <w:sz w:val="18"/>
          <w:szCs w:val="18"/>
          <w:lang w:val="el-GR"/>
        </w:rPr>
        <w:t>,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 xml:space="preserve"> διαμορφώθηκε στο </w:t>
      </w:r>
      <w:r w:rsidR="00716C7D">
        <w:rPr>
          <w:rFonts w:ascii="Verdana" w:hAnsi="Verdana" w:cs="Arial"/>
          <w:sz w:val="18"/>
          <w:szCs w:val="18"/>
          <w:lang w:val="el-GR"/>
        </w:rPr>
        <w:t>9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,</w:t>
      </w:r>
      <w:r w:rsidR="00716C7D">
        <w:rPr>
          <w:rFonts w:ascii="Verdana" w:hAnsi="Verdana" w:cs="Arial"/>
          <w:sz w:val="18"/>
          <w:szCs w:val="18"/>
          <w:lang w:val="el-GR"/>
        </w:rPr>
        <w:t>9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% σε σύγκριση με 1</w:t>
      </w:r>
      <w:r w:rsidR="00716C7D">
        <w:rPr>
          <w:rFonts w:ascii="Verdana" w:hAnsi="Verdana" w:cs="Arial"/>
          <w:sz w:val="18"/>
          <w:szCs w:val="18"/>
          <w:lang w:val="el-GR"/>
        </w:rPr>
        <w:t>2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,</w:t>
      </w:r>
      <w:r w:rsidR="00716C7D">
        <w:rPr>
          <w:rFonts w:ascii="Verdana" w:hAnsi="Verdana" w:cs="Arial"/>
          <w:sz w:val="18"/>
          <w:szCs w:val="18"/>
          <w:lang w:val="el-GR"/>
        </w:rPr>
        <w:t>1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% το 202</w:t>
      </w:r>
      <w:r w:rsidR="00716C7D">
        <w:rPr>
          <w:rFonts w:ascii="Verdana" w:hAnsi="Verdana" w:cs="Arial"/>
          <w:sz w:val="18"/>
          <w:szCs w:val="18"/>
          <w:lang w:val="el-GR"/>
        </w:rPr>
        <w:t>2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.</w:t>
      </w:r>
    </w:p>
    <w:p w14:paraId="799D2D03" w14:textId="77777777" w:rsidR="00577548" w:rsidRPr="0069045F" w:rsidRDefault="00577548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5FBBB9" w14:textId="379B56F6" w:rsidR="0070356E" w:rsidRPr="0069045F" w:rsidRDefault="009E2BDF" w:rsidP="00AB25ED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noProof/>
        </w:rPr>
        <w:drawing>
          <wp:inline distT="0" distB="0" distL="0" distR="0" wp14:anchorId="5D63E3AC" wp14:editId="5C222230">
            <wp:extent cx="6086475" cy="3976688"/>
            <wp:effectExtent l="0" t="0" r="9525" b="5080"/>
            <wp:docPr id="8285533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840CBA4-1759-F4A6-A69D-8042908DAD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9BF820C" w14:textId="22F3DB7C" w:rsidR="0070356E" w:rsidRPr="00165B8A" w:rsidRDefault="0070356E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10C7CA" w14:textId="77777777" w:rsidR="002A5579" w:rsidRDefault="002A5579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270599" w14:textId="77777777" w:rsidR="00073F3B" w:rsidRPr="0069045F" w:rsidRDefault="00073F3B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6EE11F" w14:textId="11E39FE6" w:rsidR="0070356E" w:rsidRPr="0069045F" w:rsidRDefault="00B00579" w:rsidP="0069045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69045F">
        <w:rPr>
          <w:rFonts w:ascii="Verdana" w:hAnsi="Verdana" w:cs="Arial"/>
          <w:sz w:val="18"/>
          <w:szCs w:val="18"/>
          <w:lang w:val="el-GR"/>
        </w:rPr>
        <w:t>Τ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ο ποσοστ</w:t>
      </w:r>
      <w:r w:rsidRPr="0069045F">
        <w:rPr>
          <w:rFonts w:ascii="Verdana" w:hAnsi="Verdana" w:cs="Arial"/>
          <w:sz w:val="18"/>
          <w:szCs w:val="18"/>
          <w:lang w:val="el-GR"/>
        </w:rPr>
        <w:t>ό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 xml:space="preserve"> των επενδύσεων</w:t>
      </w:r>
      <w:r w:rsidR="007445D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45D7" w:rsidRPr="0069045F">
        <w:rPr>
          <w:rFonts w:ascii="Verdana" w:hAnsi="Verdana" w:cs="Arial"/>
          <w:sz w:val="18"/>
          <w:szCs w:val="18"/>
          <w:lang w:val="el-GR"/>
        </w:rPr>
        <w:t>των μη-χρηματοοικονομικών εταιρειών</w:t>
      </w:r>
      <w:r w:rsidR="00165B8A">
        <w:rPr>
          <w:rFonts w:ascii="Verdana" w:hAnsi="Verdana" w:cs="Arial"/>
          <w:sz w:val="18"/>
          <w:szCs w:val="18"/>
          <w:lang w:val="el-GR"/>
        </w:rPr>
        <w:t>, που υπολογίζεται ως το ποσοστό των επενδύσεων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 xml:space="preserve"> </w:t>
      </w:r>
      <w:r w:rsidR="00E60C97">
        <w:rPr>
          <w:rFonts w:ascii="Verdana" w:hAnsi="Verdana" w:cs="Arial"/>
          <w:sz w:val="18"/>
          <w:szCs w:val="18"/>
          <w:lang w:val="el-GR"/>
        </w:rPr>
        <w:t xml:space="preserve">ως </w:t>
      </w:r>
      <w:r w:rsidR="00AA1D65">
        <w:rPr>
          <w:rFonts w:ascii="Verdana" w:hAnsi="Verdana" w:cs="Arial"/>
          <w:sz w:val="18"/>
          <w:szCs w:val="18"/>
          <w:lang w:val="el-GR"/>
        </w:rPr>
        <w:t>προς τ</w:t>
      </w:r>
      <w:r w:rsidR="00165B8A">
        <w:rPr>
          <w:rFonts w:ascii="Verdana" w:hAnsi="Verdana" w:cs="Arial"/>
          <w:sz w:val="18"/>
          <w:szCs w:val="18"/>
          <w:lang w:val="el-GR"/>
        </w:rPr>
        <w:t>ην α</w:t>
      </w:r>
      <w:r w:rsidR="00AA1D65">
        <w:rPr>
          <w:rFonts w:ascii="Verdana" w:hAnsi="Verdana" w:cs="Arial"/>
          <w:sz w:val="18"/>
          <w:szCs w:val="18"/>
          <w:lang w:val="el-GR"/>
        </w:rPr>
        <w:t>καθάριστ</w:t>
      </w:r>
      <w:r w:rsidR="00165B8A">
        <w:rPr>
          <w:rFonts w:ascii="Verdana" w:hAnsi="Verdana" w:cs="Arial"/>
          <w:sz w:val="18"/>
          <w:szCs w:val="18"/>
          <w:lang w:val="el-GR"/>
        </w:rPr>
        <w:t>η</w:t>
      </w:r>
      <w:r w:rsidR="00AA1D65">
        <w:rPr>
          <w:rFonts w:ascii="Verdana" w:hAnsi="Verdana" w:cs="Arial"/>
          <w:sz w:val="18"/>
          <w:szCs w:val="18"/>
          <w:lang w:val="el-GR"/>
        </w:rPr>
        <w:t xml:space="preserve"> </w:t>
      </w:r>
      <w:r w:rsidR="00165B8A">
        <w:rPr>
          <w:rFonts w:ascii="Verdana" w:hAnsi="Verdana" w:cs="Arial"/>
          <w:sz w:val="18"/>
          <w:szCs w:val="18"/>
          <w:lang w:val="el-GR"/>
        </w:rPr>
        <w:t>προστιθέμενη αξία</w:t>
      </w:r>
      <w:r w:rsidR="00AA1D65">
        <w:rPr>
          <w:rFonts w:ascii="Verdana" w:hAnsi="Verdana" w:cs="Arial"/>
          <w:sz w:val="18"/>
          <w:szCs w:val="18"/>
          <w:lang w:val="el-GR"/>
        </w:rPr>
        <w:t xml:space="preserve"> 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του τομέα των</w:t>
      </w:r>
      <w:r w:rsidRPr="0069045F">
        <w:rPr>
          <w:rFonts w:ascii="Verdana" w:hAnsi="Verdana" w:cs="Arial"/>
          <w:sz w:val="18"/>
          <w:szCs w:val="18"/>
          <w:lang w:val="el-GR"/>
        </w:rPr>
        <w:t xml:space="preserve"> 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μη-χρηματοοικονομικών εταιρειών</w:t>
      </w:r>
      <w:r w:rsidRPr="0069045F">
        <w:rPr>
          <w:rFonts w:ascii="Verdana" w:hAnsi="Verdana" w:cs="Arial"/>
          <w:sz w:val="18"/>
          <w:szCs w:val="18"/>
          <w:lang w:val="el-GR"/>
        </w:rPr>
        <w:t>,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 xml:space="preserve"> ανήλθε σε 1</w:t>
      </w:r>
      <w:r w:rsidR="009E2BDF">
        <w:rPr>
          <w:rFonts w:ascii="Verdana" w:hAnsi="Verdana" w:cs="Arial"/>
          <w:sz w:val="18"/>
          <w:szCs w:val="18"/>
          <w:lang w:val="el-GR"/>
        </w:rPr>
        <w:t>9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,</w:t>
      </w:r>
      <w:r w:rsidR="009E2BDF">
        <w:rPr>
          <w:rFonts w:ascii="Verdana" w:hAnsi="Verdana" w:cs="Arial"/>
          <w:sz w:val="18"/>
          <w:szCs w:val="18"/>
          <w:lang w:val="el-GR"/>
        </w:rPr>
        <w:t>8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% σε σύγκριση με 17,</w:t>
      </w:r>
      <w:r w:rsidR="009E2BDF">
        <w:rPr>
          <w:rFonts w:ascii="Verdana" w:hAnsi="Verdana" w:cs="Arial"/>
          <w:sz w:val="18"/>
          <w:szCs w:val="18"/>
          <w:lang w:val="el-GR"/>
        </w:rPr>
        <w:t>7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% το 202</w:t>
      </w:r>
      <w:r w:rsidR="009E2BDF">
        <w:rPr>
          <w:rFonts w:ascii="Verdana" w:hAnsi="Verdana" w:cs="Arial"/>
          <w:sz w:val="18"/>
          <w:szCs w:val="18"/>
          <w:lang w:val="el-GR"/>
        </w:rPr>
        <w:t>2</w:t>
      </w:r>
      <w:r w:rsidR="001C6E77" w:rsidRPr="0069045F">
        <w:rPr>
          <w:rFonts w:ascii="Verdana" w:hAnsi="Verdana" w:cs="Arial"/>
          <w:sz w:val="18"/>
          <w:szCs w:val="18"/>
          <w:lang w:val="el-GR"/>
        </w:rPr>
        <w:t>.</w:t>
      </w:r>
    </w:p>
    <w:p w14:paraId="4328071F" w14:textId="77777777" w:rsidR="00C763CD" w:rsidRDefault="00C763CD" w:rsidP="00C83E19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53F89D68" w14:textId="54E07CFE" w:rsidR="00F5641C" w:rsidRDefault="009E2BDF" w:rsidP="00C83E19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noProof/>
        </w:rPr>
        <w:drawing>
          <wp:inline distT="0" distB="0" distL="0" distR="0" wp14:anchorId="65851CAB" wp14:editId="3EA9B09A">
            <wp:extent cx="6086475" cy="3986214"/>
            <wp:effectExtent l="0" t="0" r="9525" b="14605"/>
            <wp:docPr id="9980090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ABD154A-0484-8F75-A093-DE7BE7C8A7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9FB17D4" w14:textId="77777777" w:rsidR="00C763CD" w:rsidRPr="00C763CD" w:rsidRDefault="00C763CD" w:rsidP="00C763CD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317"/>
        <w:gridCol w:w="1375"/>
        <w:gridCol w:w="1375"/>
        <w:gridCol w:w="1317"/>
        <w:gridCol w:w="1547"/>
        <w:gridCol w:w="1604"/>
        <w:gridCol w:w="1146"/>
      </w:tblGrid>
      <w:tr w:rsidR="00A862CF" w:rsidRPr="00A03423" w14:paraId="2F1A242B" w14:textId="77777777" w:rsidTr="00A862CF">
        <w:trPr>
          <w:trHeight w:val="284"/>
          <w:jc w:val="center"/>
        </w:trPr>
        <w:tc>
          <w:tcPr>
            <w:tcW w:w="1361" w:type="dxa"/>
            <w:tcBorders>
              <w:bottom w:val="single" w:sz="4" w:space="0" w:color="2F5496" w:themeColor="accent1" w:themeShade="BF"/>
            </w:tcBorders>
            <w:vAlign w:val="center"/>
          </w:tcPr>
          <w:p w14:paraId="744EAFFF" w14:textId="22917947" w:rsidR="00CD2915" w:rsidRPr="00A03423" w:rsidRDefault="00CD2915" w:rsidP="00760ECC">
            <w:pPr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  <w:vAlign w:val="center"/>
          </w:tcPr>
          <w:p w14:paraId="09C2C14D" w14:textId="77777777" w:rsidR="00CD2915" w:rsidRPr="00A03423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  <w:vAlign w:val="center"/>
          </w:tcPr>
          <w:p w14:paraId="0F7E5D99" w14:textId="77777777" w:rsidR="00CD2915" w:rsidRPr="00A03423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  <w:vAlign w:val="center"/>
          </w:tcPr>
          <w:p w14:paraId="7DD97A04" w14:textId="77777777" w:rsidR="00CD2915" w:rsidRPr="00A03423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  <w:vAlign w:val="center"/>
          </w:tcPr>
          <w:p w14:paraId="1B2AD794" w14:textId="77777777" w:rsidR="00CD2915" w:rsidRPr="00A03423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4" w:space="0" w:color="2F5496" w:themeColor="accent1" w:themeShade="BF"/>
            </w:tcBorders>
            <w:vAlign w:val="center"/>
          </w:tcPr>
          <w:p w14:paraId="559D0070" w14:textId="77777777" w:rsidR="00CD2915" w:rsidRPr="00A03423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2F5496" w:themeColor="accent1" w:themeShade="BF"/>
            </w:tcBorders>
            <w:vAlign w:val="center"/>
          </w:tcPr>
          <w:p w14:paraId="0326A0F5" w14:textId="77777777" w:rsidR="00CD2915" w:rsidRPr="00A03423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7BF9896D" w14:textId="77777777" w:rsidR="00CD2915" w:rsidRPr="00A03423" w:rsidRDefault="00CD2915" w:rsidP="00760EC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</w:tr>
      <w:tr w:rsidR="00CD2915" w:rsidRPr="00A03423" w14:paraId="619C1F9E" w14:textId="77777777" w:rsidTr="00A862CF">
        <w:trPr>
          <w:trHeight w:val="510"/>
          <w:jc w:val="center"/>
        </w:trPr>
        <w:tc>
          <w:tcPr>
            <w:tcW w:w="1361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296AEEF8" w14:textId="3BF44462" w:rsidR="00CD2915" w:rsidRPr="00A03423" w:rsidRDefault="00CD2915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Μα</w:t>
            </w:r>
            <w:proofErr w:type="spellStart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κρο</w:t>
            </w:r>
            <w:r w:rsidR="009E6E0A"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-</w:t>
            </w:r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οικονομικά</w:t>
            </w:r>
            <w:proofErr w:type="spellEnd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Μεγέθη</w:t>
            </w:r>
            <w:proofErr w:type="spellEnd"/>
          </w:p>
        </w:tc>
        <w:tc>
          <w:tcPr>
            <w:tcW w:w="1304" w:type="dxa"/>
            <w:gridSpan w:val="7"/>
            <w:tcBorders>
              <w:top w:val="single" w:sz="4" w:space="0" w:color="2F5496" w:themeColor="accent1" w:themeShade="BF"/>
            </w:tcBorders>
            <w:vAlign w:val="center"/>
          </w:tcPr>
          <w:p w14:paraId="4183352F" w14:textId="6EC65A12" w:rsidR="00CD2915" w:rsidRPr="00A03423" w:rsidRDefault="00CD2915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Θεσμικοί</w:t>
            </w:r>
            <w:proofErr w:type="spellEnd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Τομείς</w:t>
            </w:r>
            <w:proofErr w:type="spellEnd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202</w:t>
            </w:r>
            <w:r w:rsidR="009E2BDF"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(€</w:t>
            </w:r>
            <w:proofErr w:type="spellStart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εκ</w:t>
            </w:r>
            <w:proofErr w:type="spellEnd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.)</w:t>
            </w:r>
          </w:p>
        </w:tc>
      </w:tr>
      <w:tr w:rsidR="00A862CF" w:rsidRPr="00A03423" w14:paraId="32655776" w14:textId="77777777" w:rsidTr="00A03423">
        <w:trPr>
          <w:trHeight w:val="851"/>
          <w:jc w:val="center"/>
        </w:trPr>
        <w:tc>
          <w:tcPr>
            <w:tcW w:w="1361" w:type="dxa"/>
            <w:vMerge/>
            <w:vAlign w:val="center"/>
          </w:tcPr>
          <w:p w14:paraId="30F31517" w14:textId="77777777" w:rsidR="00CD2915" w:rsidRPr="00A03423" w:rsidRDefault="00CD2915" w:rsidP="00CD2915">
            <w:pPr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787CE420" w14:textId="686297E4" w:rsidR="00CD2915" w:rsidRPr="00A03423" w:rsidRDefault="001F32D9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Οικονομί</w:t>
            </w:r>
            <w:proofErr w:type="spellEnd"/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ας</w:t>
            </w:r>
          </w:p>
        </w:tc>
        <w:tc>
          <w:tcPr>
            <w:tcW w:w="1361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6A48987B" w14:textId="227B42A7" w:rsidR="00CD2915" w:rsidRPr="00A03423" w:rsidRDefault="001F32D9" w:rsidP="00CD2915">
            <w:pPr>
              <w:jc w:val="center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Μη</w:t>
            </w:r>
            <w:proofErr w:type="spellEnd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χρημ</w:t>
            </w:r>
            <w:proofErr w:type="spellEnd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ατο-οικονομικές </w:t>
            </w:r>
            <w:proofErr w:type="spellStart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ετ</w:t>
            </w:r>
            <w:proofErr w:type="spellEnd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αιρείες</w:t>
            </w:r>
          </w:p>
        </w:tc>
        <w:tc>
          <w:tcPr>
            <w:tcW w:w="1361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7E0EA66F" w14:textId="7F0FF822" w:rsidR="00CD2915" w:rsidRPr="00A03423" w:rsidRDefault="001F32D9" w:rsidP="00CD2915">
            <w:pPr>
              <w:jc w:val="center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Χρημ</w:t>
            </w:r>
            <w:proofErr w:type="spellEnd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ατο-οικονομικές </w:t>
            </w:r>
            <w:proofErr w:type="spellStart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ετ</w:t>
            </w:r>
            <w:proofErr w:type="spellEnd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αιρείες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1313E4EA" w14:textId="7CDEC41A" w:rsidR="00CD2915" w:rsidRPr="00A03423" w:rsidRDefault="001F32D9" w:rsidP="00CD2915">
            <w:pPr>
              <w:jc w:val="center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Γενική</w:t>
            </w:r>
            <w:proofErr w:type="spellEnd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Κυ</w:t>
            </w:r>
            <w:proofErr w:type="spellEnd"/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βέρνηση</w:t>
            </w:r>
          </w:p>
        </w:tc>
        <w:tc>
          <w:tcPr>
            <w:tcW w:w="1531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7D41B0C2" w14:textId="3FD00119" w:rsidR="00CD2915" w:rsidRPr="00A03423" w:rsidRDefault="001F32D9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Νοικοκυριά και Μη</w:t>
            </w:r>
            <w:r w:rsidR="00930857"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</w:t>
            </w:r>
            <w:r w:rsidRPr="00A03423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κερδοσκοπικά ιδρύματα</w:t>
            </w:r>
          </w:p>
        </w:tc>
        <w:tc>
          <w:tcPr>
            <w:tcW w:w="158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tcMar>
              <w:left w:w="57" w:type="dxa"/>
              <w:right w:w="57" w:type="dxa"/>
            </w:tcMar>
            <w:vAlign w:val="center"/>
          </w:tcPr>
          <w:p w14:paraId="5C26F4D1" w14:textId="2828C9BC" w:rsidR="00CD2915" w:rsidRPr="00A03423" w:rsidRDefault="00C21002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Μη</w:t>
            </w:r>
            <w:r w:rsidR="00930857"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-</w:t>
            </w:r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ταξινομημένες συναλλαγές</w:t>
            </w: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D8AD6F5" w14:textId="7BFAE397" w:rsidR="00CD2915" w:rsidRPr="00A03423" w:rsidRDefault="00B123B3" w:rsidP="00CD2915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</w:t>
            </w:r>
            <w:proofErr w:type="spellStart"/>
            <w:r w:rsidR="001F32D9"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Αλλοδ</w:t>
            </w:r>
            <w:proofErr w:type="spellEnd"/>
            <w:r w:rsidR="001F32D9" w:rsidRPr="00A0342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απή</w:t>
            </w:r>
          </w:p>
        </w:tc>
      </w:tr>
      <w:tr w:rsidR="00A862CF" w:rsidRPr="00A03423" w14:paraId="14674606" w14:textId="77777777" w:rsidTr="00A862CF">
        <w:trPr>
          <w:trHeight w:val="397"/>
          <w:jc w:val="center"/>
        </w:trPr>
        <w:tc>
          <w:tcPr>
            <w:tcW w:w="1361" w:type="dxa"/>
            <w:tcBorders>
              <w:top w:val="single" w:sz="4" w:space="0" w:color="2F5496" w:themeColor="accent1" w:themeShade="BF"/>
            </w:tcBorders>
            <w:vAlign w:val="center"/>
          </w:tcPr>
          <w:p w14:paraId="4E8DC542" w14:textId="1F547CEB" w:rsidR="00C76A5C" w:rsidRPr="00A03423" w:rsidRDefault="00007C1E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B1G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</w:tcBorders>
            <w:vAlign w:val="center"/>
          </w:tcPr>
          <w:p w14:paraId="2FD563CC" w14:textId="7A3E00E7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31.340,0</w:t>
            </w:r>
          </w:p>
        </w:tc>
        <w:tc>
          <w:tcPr>
            <w:tcW w:w="1361" w:type="dxa"/>
            <w:tcBorders>
              <w:top w:val="single" w:sz="4" w:space="0" w:color="2F5496" w:themeColor="accent1" w:themeShade="BF"/>
            </w:tcBorders>
            <w:vAlign w:val="center"/>
          </w:tcPr>
          <w:p w14:paraId="28625563" w14:textId="6604E4DB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13.002,9</w:t>
            </w:r>
          </w:p>
        </w:tc>
        <w:tc>
          <w:tcPr>
            <w:tcW w:w="1361" w:type="dxa"/>
            <w:tcBorders>
              <w:top w:val="single" w:sz="4" w:space="0" w:color="2F5496" w:themeColor="accent1" w:themeShade="BF"/>
            </w:tcBorders>
            <w:vAlign w:val="center"/>
          </w:tcPr>
          <w:p w14:paraId="5F728D5B" w14:textId="2E7FE419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2.790,2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</w:tcBorders>
            <w:vAlign w:val="center"/>
          </w:tcPr>
          <w:p w14:paraId="48A5C675" w14:textId="56F6402E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4.371,8</w:t>
            </w:r>
          </w:p>
        </w:tc>
        <w:tc>
          <w:tcPr>
            <w:tcW w:w="1531" w:type="dxa"/>
            <w:tcBorders>
              <w:top w:val="single" w:sz="4" w:space="0" w:color="2F5496" w:themeColor="accent1" w:themeShade="BF"/>
            </w:tcBorders>
            <w:vAlign w:val="center"/>
          </w:tcPr>
          <w:p w14:paraId="1ABB4DA6" w14:textId="30A39BEB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7.514,2</w:t>
            </w:r>
          </w:p>
        </w:tc>
        <w:tc>
          <w:tcPr>
            <w:tcW w:w="1588" w:type="dxa"/>
            <w:tcBorders>
              <w:top w:val="single" w:sz="4" w:space="0" w:color="2F5496" w:themeColor="accent1" w:themeShade="BF"/>
            </w:tcBorders>
            <w:vAlign w:val="center"/>
          </w:tcPr>
          <w:p w14:paraId="1E9E964C" w14:textId="23B287E7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3.660,8</w:t>
            </w: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nil"/>
            </w:tcBorders>
            <w:vAlign w:val="center"/>
          </w:tcPr>
          <w:p w14:paraId="44F8B5E7" w14:textId="77777777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A862CF" w:rsidRPr="00A03423" w14:paraId="23B34859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58F60542" w14:textId="6DFC92F8" w:rsidR="00C76A5C" w:rsidRPr="00A03423" w:rsidRDefault="00007C1E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D1</w:t>
            </w:r>
          </w:p>
        </w:tc>
        <w:tc>
          <w:tcPr>
            <w:tcW w:w="1304" w:type="dxa"/>
            <w:vAlign w:val="center"/>
          </w:tcPr>
          <w:p w14:paraId="71348DD7" w14:textId="4B0A5941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13.638,0</w:t>
            </w:r>
          </w:p>
        </w:tc>
        <w:tc>
          <w:tcPr>
            <w:tcW w:w="1361" w:type="dxa"/>
            <w:vAlign w:val="center"/>
          </w:tcPr>
          <w:p w14:paraId="08325B48" w14:textId="1600A98E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7.920,4</w:t>
            </w:r>
          </w:p>
        </w:tc>
        <w:tc>
          <w:tcPr>
            <w:tcW w:w="1361" w:type="dxa"/>
            <w:vAlign w:val="center"/>
          </w:tcPr>
          <w:p w14:paraId="0EE49B79" w14:textId="6F7FD72C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1.299,2</w:t>
            </w:r>
          </w:p>
        </w:tc>
        <w:tc>
          <w:tcPr>
            <w:tcW w:w="1304" w:type="dxa"/>
            <w:vAlign w:val="center"/>
          </w:tcPr>
          <w:p w14:paraId="732D1AEA" w14:textId="35286CBD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3.591,8</w:t>
            </w:r>
          </w:p>
        </w:tc>
        <w:tc>
          <w:tcPr>
            <w:tcW w:w="1531" w:type="dxa"/>
            <w:vAlign w:val="center"/>
          </w:tcPr>
          <w:p w14:paraId="246E786C" w14:textId="3CEF098C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826,6</w:t>
            </w:r>
          </w:p>
        </w:tc>
        <w:tc>
          <w:tcPr>
            <w:tcW w:w="1588" w:type="dxa"/>
            <w:vAlign w:val="center"/>
          </w:tcPr>
          <w:p w14:paraId="3D0E92FD" w14:textId="670E1543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n.a</w:t>
            </w:r>
            <w:proofErr w:type="spellEnd"/>
            <w:r w:rsidRPr="00A0342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.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329BFE2" w14:textId="52970D2C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73,9</w:t>
            </w:r>
          </w:p>
        </w:tc>
      </w:tr>
      <w:tr w:rsidR="00A862CF" w:rsidRPr="00A03423" w14:paraId="4456658F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2FEB52ED" w14:textId="3237DB37" w:rsidR="00C76A5C" w:rsidRPr="00A03423" w:rsidRDefault="00007C1E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B2A3G</w:t>
            </w:r>
          </w:p>
        </w:tc>
        <w:tc>
          <w:tcPr>
            <w:tcW w:w="1304" w:type="dxa"/>
            <w:vAlign w:val="center"/>
          </w:tcPr>
          <w:p w14:paraId="71D92AB5" w14:textId="4585EDCD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13.381,3</w:t>
            </w:r>
          </w:p>
        </w:tc>
        <w:tc>
          <w:tcPr>
            <w:tcW w:w="1361" w:type="dxa"/>
            <w:vAlign w:val="center"/>
          </w:tcPr>
          <w:p w14:paraId="33484F13" w14:textId="5D464839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4.540,7</w:t>
            </w:r>
          </w:p>
        </w:tc>
        <w:tc>
          <w:tcPr>
            <w:tcW w:w="1361" w:type="dxa"/>
            <w:vAlign w:val="center"/>
          </w:tcPr>
          <w:p w14:paraId="780E6656" w14:textId="2E8419B4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1.469,2</w:t>
            </w:r>
          </w:p>
        </w:tc>
        <w:tc>
          <w:tcPr>
            <w:tcW w:w="1304" w:type="dxa"/>
            <w:vAlign w:val="center"/>
          </w:tcPr>
          <w:p w14:paraId="5B78FAA9" w14:textId="3D74CF6A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780,0</w:t>
            </w:r>
          </w:p>
        </w:tc>
        <w:tc>
          <w:tcPr>
            <w:tcW w:w="1531" w:type="dxa"/>
            <w:vAlign w:val="center"/>
          </w:tcPr>
          <w:p w14:paraId="4B350454" w14:textId="0567AC41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6.591,3</w:t>
            </w:r>
          </w:p>
        </w:tc>
        <w:tc>
          <w:tcPr>
            <w:tcW w:w="1588" w:type="dxa"/>
            <w:vAlign w:val="center"/>
          </w:tcPr>
          <w:p w14:paraId="4BF3E9AD" w14:textId="57A00FC6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7585F8C" w14:textId="77777777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A862CF" w:rsidRPr="00A03423" w14:paraId="20213308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418307C6" w14:textId="34781C8F" w:rsidR="00C76A5C" w:rsidRPr="00A03423" w:rsidRDefault="00007C1E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D4</w:t>
            </w:r>
          </w:p>
        </w:tc>
        <w:tc>
          <w:tcPr>
            <w:tcW w:w="1304" w:type="dxa"/>
            <w:vAlign w:val="center"/>
          </w:tcPr>
          <w:p w14:paraId="5ACE1530" w14:textId="3934DF32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-2.819,1</w:t>
            </w:r>
          </w:p>
        </w:tc>
        <w:tc>
          <w:tcPr>
            <w:tcW w:w="1361" w:type="dxa"/>
            <w:vAlign w:val="center"/>
          </w:tcPr>
          <w:p w14:paraId="2F0FBF9C" w14:textId="77E193D6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-2.547,1</w:t>
            </w:r>
          </w:p>
        </w:tc>
        <w:tc>
          <w:tcPr>
            <w:tcW w:w="1361" w:type="dxa"/>
            <w:vAlign w:val="center"/>
          </w:tcPr>
          <w:p w14:paraId="0A36901A" w14:textId="15650D19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-861,5</w:t>
            </w:r>
          </w:p>
        </w:tc>
        <w:tc>
          <w:tcPr>
            <w:tcW w:w="1304" w:type="dxa"/>
            <w:vAlign w:val="center"/>
          </w:tcPr>
          <w:p w14:paraId="6A42F369" w14:textId="27077A7D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-270,8</w:t>
            </w:r>
          </w:p>
        </w:tc>
        <w:tc>
          <w:tcPr>
            <w:tcW w:w="1531" w:type="dxa"/>
            <w:vAlign w:val="center"/>
          </w:tcPr>
          <w:p w14:paraId="2580E54D" w14:textId="6251292F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860,3</w:t>
            </w:r>
          </w:p>
        </w:tc>
        <w:tc>
          <w:tcPr>
            <w:tcW w:w="1588" w:type="dxa"/>
            <w:vAlign w:val="center"/>
          </w:tcPr>
          <w:p w14:paraId="5CE992DD" w14:textId="70EE7CAF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7B4049A" w14:textId="59897172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2.819,1</w:t>
            </w:r>
          </w:p>
        </w:tc>
      </w:tr>
      <w:tr w:rsidR="00A862CF" w:rsidRPr="00A03423" w14:paraId="141B032B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34AF7E64" w14:textId="6BCA69A9" w:rsidR="00C76A5C" w:rsidRPr="00A03423" w:rsidRDefault="00007C1E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B5G</w:t>
            </w:r>
          </w:p>
        </w:tc>
        <w:tc>
          <w:tcPr>
            <w:tcW w:w="1304" w:type="dxa"/>
            <w:vAlign w:val="center"/>
          </w:tcPr>
          <w:p w14:paraId="4B909CEB" w14:textId="47B8C8CA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28.341,0</w:t>
            </w:r>
          </w:p>
        </w:tc>
        <w:tc>
          <w:tcPr>
            <w:tcW w:w="1361" w:type="dxa"/>
            <w:vAlign w:val="center"/>
          </w:tcPr>
          <w:p w14:paraId="05E0AE01" w14:textId="009A3A99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1.993,6</w:t>
            </w:r>
          </w:p>
        </w:tc>
        <w:tc>
          <w:tcPr>
            <w:tcW w:w="1361" w:type="dxa"/>
            <w:vAlign w:val="center"/>
          </w:tcPr>
          <w:p w14:paraId="17800C8C" w14:textId="7EC09309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607,8</w:t>
            </w:r>
          </w:p>
        </w:tc>
        <w:tc>
          <w:tcPr>
            <w:tcW w:w="1304" w:type="dxa"/>
            <w:vAlign w:val="center"/>
          </w:tcPr>
          <w:p w14:paraId="266E0278" w14:textId="5314B126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4.792,4</w:t>
            </w:r>
          </w:p>
        </w:tc>
        <w:tc>
          <w:tcPr>
            <w:tcW w:w="1531" w:type="dxa"/>
            <w:vAlign w:val="center"/>
          </w:tcPr>
          <w:p w14:paraId="6561847E" w14:textId="19BE61FE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20.947,3</w:t>
            </w:r>
          </w:p>
        </w:tc>
        <w:tc>
          <w:tcPr>
            <w:tcW w:w="1588" w:type="dxa"/>
            <w:vAlign w:val="center"/>
          </w:tcPr>
          <w:p w14:paraId="6924B9E0" w14:textId="0C976A70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0FBB9FD" w14:textId="77777777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A862CF" w:rsidRPr="00A03423" w14:paraId="6D268A99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6B553D71" w14:textId="53CD8D9E" w:rsidR="00C76A5C" w:rsidRPr="00A03423" w:rsidRDefault="00007C1E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D5</w:t>
            </w:r>
          </w:p>
        </w:tc>
        <w:tc>
          <w:tcPr>
            <w:tcW w:w="1304" w:type="dxa"/>
            <w:vAlign w:val="center"/>
          </w:tcPr>
          <w:p w14:paraId="40231A6D" w14:textId="543C05B2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-1,2</w:t>
            </w:r>
          </w:p>
        </w:tc>
        <w:tc>
          <w:tcPr>
            <w:tcW w:w="1361" w:type="dxa"/>
            <w:vAlign w:val="center"/>
          </w:tcPr>
          <w:p w14:paraId="1DB9A389" w14:textId="5C4EBDF1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-1.986,5</w:t>
            </w:r>
          </w:p>
        </w:tc>
        <w:tc>
          <w:tcPr>
            <w:tcW w:w="1361" w:type="dxa"/>
            <w:vAlign w:val="center"/>
          </w:tcPr>
          <w:p w14:paraId="75C393BC" w14:textId="6E0C61DF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-309,0</w:t>
            </w:r>
          </w:p>
        </w:tc>
        <w:tc>
          <w:tcPr>
            <w:tcW w:w="1304" w:type="dxa"/>
            <w:vAlign w:val="center"/>
          </w:tcPr>
          <w:p w14:paraId="6B0792BF" w14:textId="43F6F206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3.242,2</w:t>
            </w:r>
          </w:p>
        </w:tc>
        <w:tc>
          <w:tcPr>
            <w:tcW w:w="1531" w:type="dxa"/>
            <w:vAlign w:val="center"/>
          </w:tcPr>
          <w:p w14:paraId="1C95A88B" w14:textId="2A24C618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-947,9</w:t>
            </w:r>
          </w:p>
        </w:tc>
        <w:tc>
          <w:tcPr>
            <w:tcW w:w="1588" w:type="dxa"/>
            <w:vAlign w:val="center"/>
          </w:tcPr>
          <w:p w14:paraId="346F996A" w14:textId="19692B02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85D44D6" w14:textId="04562520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1,2</w:t>
            </w:r>
          </w:p>
        </w:tc>
      </w:tr>
      <w:tr w:rsidR="00A862CF" w:rsidRPr="00A03423" w14:paraId="79AE2D50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7AA00D02" w14:textId="17940F6A" w:rsidR="00C76A5C" w:rsidRPr="00A03423" w:rsidRDefault="00007C1E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D6</w:t>
            </w:r>
          </w:p>
        </w:tc>
        <w:tc>
          <w:tcPr>
            <w:tcW w:w="1304" w:type="dxa"/>
            <w:vAlign w:val="center"/>
          </w:tcPr>
          <w:p w14:paraId="692008A0" w14:textId="0797BA5A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0,2</w:t>
            </w:r>
          </w:p>
        </w:tc>
        <w:tc>
          <w:tcPr>
            <w:tcW w:w="1361" w:type="dxa"/>
            <w:vAlign w:val="center"/>
          </w:tcPr>
          <w:p w14:paraId="0CF7C88E" w14:textId="5F9D25FB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-139,0</w:t>
            </w:r>
          </w:p>
        </w:tc>
        <w:tc>
          <w:tcPr>
            <w:tcW w:w="1361" w:type="dxa"/>
            <w:vAlign w:val="center"/>
          </w:tcPr>
          <w:p w14:paraId="18D5AEAE" w14:textId="498233CB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-437,5</w:t>
            </w:r>
          </w:p>
        </w:tc>
        <w:tc>
          <w:tcPr>
            <w:tcW w:w="1304" w:type="dxa"/>
            <w:vAlign w:val="center"/>
          </w:tcPr>
          <w:p w14:paraId="589AFA70" w14:textId="3747FA66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-2.928,4</w:t>
            </w:r>
          </w:p>
        </w:tc>
        <w:tc>
          <w:tcPr>
            <w:tcW w:w="1531" w:type="dxa"/>
            <w:vAlign w:val="center"/>
          </w:tcPr>
          <w:p w14:paraId="4C86817D" w14:textId="55BF3A85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3.505,1</w:t>
            </w:r>
          </w:p>
        </w:tc>
        <w:tc>
          <w:tcPr>
            <w:tcW w:w="1588" w:type="dxa"/>
            <w:vAlign w:val="center"/>
          </w:tcPr>
          <w:p w14:paraId="5F227A57" w14:textId="0AC8F7F0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8BC44F4" w14:textId="26031E11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-0,2</w:t>
            </w:r>
          </w:p>
        </w:tc>
      </w:tr>
      <w:tr w:rsidR="00A862CF" w:rsidRPr="00A03423" w14:paraId="44C564DE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2A0D4CC0" w14:textId="03E765F7" w:rsidR="00C76A5C" w:rsidRPr="00A03423" w:rsidRDefault="00FE1D39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D7</w:t>
            </w:r>
          </w:p>
        </w:tc>
        <w:tc>
          <w:tcPr>
            <w:tcW w:w="1304" w:type="dxa"/>
            <w:vAlign w:val="center"/>
          </w:tcPr>
          <w:p w14:paraId="5B4630CC" w14:textId="19B0A690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-358,1</w:t>
            </w:r>
          </w:p>
        </w:tc>
        <w:tc>
          <w:tcPr>
            <w:tcW w:w="1361" w:type="dxa"/>
            <w:vAlign w:val="center"/>
          </w:tcPr>
          <w:p w14:paraId="2ECAF427" w14:textId="2DA2EA20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-486,8</w:t>
            </w:r>
          </w:p>
        </w:tc>
        <w:tc>
          <w:tcPr>
            <w:tcW w:w="1361" w:type="dxa"/>
            <w:vAlign w:val="center"/>
          </w:tcPr>
          <w:p w14:paraId="3B05412D" w14:textId="4A1CE69D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-32,5</w:t>
            </w:r>
          </w:p>
        </w:tc>
        <w:tc>
          <w:tcPr>
            <w:tcW w:w="1304" w:type="dxa"/>
            <w:vAlign w:val="center"/>
          </w:tcPr>
          <w:p w14:paraId="53A2405A" w14:textId="33633D09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-411,3</w:t>
            </w:r>
          </w:p>
        </w:tc>
        <w:tc>
          <w:tcPr>
            <w:tcW w:w="1531" w:type="dxa"/>
            <w:vAlign w:val="center"/>
          </w:tcPr>
          <w:p w14:paraId="128B90D8" w14:textId="1C8AAC38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572,5</w:t>
            </w:r>
          </w:p>
        </w:tc>
        <w:tc>
          <w:tcPr>
            <w:tcW w:w="1588" w:type="dxa"/>
            <w:vAlign w:val="center"/>
          </w:tcPr>
          <w:p w14:paraId="0F406146" w14:textId="52355373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3E073C0" w14:textId="3D542A4D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358,1</w:t>
            </w:r>
          </w:p>
        </w:tc>
      </w:tr>
      <w:tr w:rsidR="00A862CF" w:rsidRPr="00A03423" w14:paraId="3768B579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63BB6380" w14:textId="76189A75" w:rsidR="00C76A5C" w:rsidRPr="00A03423" w:rsidRDefault="00FE1D39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B6G</w:t>
            </w:r>
          </w:p>
        </w:tc>
        <w:tc>
          <w:tcPr>
            <w:tcW w:w="1304" w:type="dxa"/>
            <w:vAlign w:val="center"/>
          </w:tcPr>
          <w:p w14:paraId="26E510F3" w14:textId="7C5DE414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27.981,9</w:t>
            </w:r>
          </w:p>
        </w:tc>
        <w:tc>
          <w:tcPr>
            <w:tcW w:w="1361" w:type="dxa"/>
            <w:vAlign w:val="center"/>
          </w:tcPr>
          <w:p w14:paraId="3CC7FFE3" w14:textId="405B15C8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-618,7</w:t>
            </w:r>
          </w:p>
        </w:tc>
        <w:tc>
          <w:tcPr>
            <w:tcW w:w="1361" w:type="dxa"/>
            <w:vAlign w:val="center"/>
          </w:tcPr>
          <w:p w14:paraId="5FB0777D" w14:textId="7C692CF6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-171,1</w:t>
            </w:r>
          </w:p>
        </w:tc>
        <w:tc>
          <w:tcPr>
            <w:tcW w:w="1304" w:type="dxa"/>
            <w:vAlign w:val="center"/>
          </w:tcPr>
          <w:p w14:paraId="0FE4CFF4" w14:textId="29BCBB7C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8.058,6</w:t>
            </w:r>
          </w:p>
        </w:tc>
        <w:tc>
          <w:tcPr>
            <w:tcW w:w="1531" w:type="dxa"/>
            <w:vAlign w:val="center"/>
          </w:tcPr>
          <w:p w14:paraId="580A7970" w14:textId="354A00DA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20.713,2</w:t>
            </w:r>
          </w:p>
        </w:tc>
        <w:tc>
          <w:tcPr>
            <w:tcW w:w="1588" w:type="dxa"/>
            <w:vAlign w:val="center"/>
          </w:tcPr>
          <w:p w14:paraId="24E1A790" w14:textId="43F643D4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FE60C09" w14:textId="77777777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A862CF" w:rsidRPr="00A03423" w14:paraId="584EAE8E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4706B4B4" w14:textId="1BF78796" w:rsidR="00C76A5C" w:rsidRPr="00A03423" w:rsidRDefault="00FE1D39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P3</w:t>
            </w:r>
          </w:p>
        </w:tc>
        <w:tc>
          <w:tcPr>
            <w:tcW w:w="1304" w:type="dxa"/>
            <w:vAlign w:val="center"/>
          </w:tcPr>
          <w:p w14:paraId="674F3DBF" w14:textId="62B4D5B0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24.518,9</w:t>
            </w:r>
          </w:p>
        </w:tc>
        <w:tc>
          <w:tcPr>
            <w:tcW w:w="1361" w:type="dxa"/>
            <w:vAlign w:val="center"/>
          </w:tcPr>
          <w:p w14:paraId="6600B8DA" w14:textId="17601EBD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361" w:type="dxa"/>
            <w:vAlign w:val="center"/>
          </w:tcPr>
          <w:p w14:paraId="44C075B0" w14:textId="456ECA60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304" w:type="dxa"/>
            <w:vAlign w:val="center"/>
          </w:tcPr>
          <w:p w14:paraId="266FA965" w14:textId="3E31C166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5.816,2</w:t>
            </w:r>
          </w:p>
        </w:tc>
        <w:tc>
          <w:tcPr>
            <w:tcW w:w="1531" w:type="dxa"/>
            <w:vAlign w:val="center"/>
          </w:tcPr>
          <w:p w14:paraId="24C253F8" w14:textId="3597BA22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18.702,7</w:t>
            </w:r>
          </w:p>
        </w:tc>
        <w:tc>
          <w:tcPr>
            <w:tcW w:w="1588" w:type="dxa"/>
            <w:vAlign w:val="center"/>
          </w:tcPr>
          <w:p w14:paraId="4E1C277C" w14:textId="4280660B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923AA72" w14:textId="77777777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A862CF" w:rsidRPr="00A03423" w14:paraId="026BB84E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5D8B60F0" w14:textId="4BB6CA76" w:rsidR="00C76A5C" w:rsidRPr="00A03423" w:rsidRDefault="00FE1D39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B8G</w:t>
            </w:r>
          </w:p>
        </w:tc>
        <w:tc>
          <w:tcPr>
            <w:tcW w:w="1304" w:type="dxa"/>
            <w:vAlign w:val="center"/>
          </w:tcPr>
          <w:p w14:paraId="4712D1D8" w14:textId="3816AAB7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3.463,0</w:t>
            </w:r>
          </w:p>
        </w:tc>
        <w:tc>
          <w:tcPr>
            <w:tcW w:w="1361" w:type="dxa"/>
            <w:vAlign w:val="center"/>
          </w:tcPr>
          <w:p w14:paraId="38093292" w14:textId="52B5DF37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-618,7</w:t>
            </w:r>
          </w:p>
        </w:tc>
        <w:tc>
          <w:tcPr>
            <w:tcW w:w="1361" w:type="dxa"/>
            <w:vAlign w:val="center"/>
          </w:tcPr>
          <w:p w14:paraId="53E5E27B" w14:textId="493E9EC3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206,3</w:t>
            </w:r>
          </w:p>
        </w:tc>
        <w:tc>
          <w:tcPr>
            <w:tcW w:w="1304" w:type="dxa"/>
            <w:vAlign w:val="center"/>
          </w:tcPr>
          <w:p w14:paraId="352E618D" w14:textId="329653A1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1.831,4</w:t>
            </w:r>
          </w:p>
        </w:tc>
        <w:tc>
          <w:tcPr>
            <w:tcW w:w="1531" w:type="dxa"/>
            <w:vAlign w:val="center"/>
          </w:tcPr>
          <w:p w14:paraId="4F612208" w14:textId="76013F9D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2.044,0</w:t>
            </w:r>
          </w:p>
        </w:tc>
        <w:tc>
          <w:tcPr>
            <w:tcW w:w="1588" w:type="dxa"/>
            <w:vAlign w:val="center"/>
          </w:tcPr>
          <w:p w14:paraId="5C637581" w14:textId="2F7DBE0A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E9FC594" w14:textId="77777777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A862CF" w:rsidRPr="00A03423" w14:paraId="4B0CB8A0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798A2D6C" w14:textId="6719546A" w:rsidR="00C76A5C" w:rsidRPr="00A03423" w:rsidRDefault="00FE1D39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D9</w:t>
            </w:r>
          </w:p>
        </w:tc>
        <w:tc>
          <w:tcPr>
            <w:tcW w:w="1304" w:type="dxa"/>
            <w:vAlign w:val="center"/>
          </w:tcPr>
          <w:p w14:paraId="44FD8511" w14:textId="0C5DFB22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85,1</w:t>
            </w:r>
          </w:p>
        </w:tc>
        <w:tc>
          <w:tcPr>
            <w:tcW w:w="1361" w:type="dxa"/>
            <w:vAlign w:val="center"/>
          </w:tcPr>
          <w:p w14:paraId="4CE6BF42" w14:textId="2E71B0A3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-31,1</w:t>
            </w:r>
          </w:p>
        </w:tc>
        <w:tc>
          <w:tcPr>
            <w:tcW w:w="1361" w:type="dxa"/>
            <w:vAlign w:val="center"/>
          </w:tcPr>
          <w:p w14:paraId="4B4417E6" w14:textId="59E53A9C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-0,8</w:t>
            </w:r>
          </w:p>
        </w:tc>
        <w:tc>
          <w:tcPr>
            <w:tcW w:w="1304" w:type="dxa"/>
            <w:vAlign w:val="center"/>
          </w:tcPr>
          <w:p w14:paraId="0E55B2FE" w14:textId="14098FAA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-206,4</w:t>
            </w:r>
          </w:p>
        </w:tc>
        <w:tc>
          <w:tcPr>
            <w:tcW w:w="1531" w:type="dxa"/>
            <w:vAlign w:val="center"/>
          </w:tcPr>
          <w:p w14:paraId="08C064FC" w14:textId="73226319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323,4</w:t>
            </w:r>
          </w:p>
        </w:tc>
        <w:tc>
          <w:tcPr>
            <w:tcW w:w="1588" w:type="dxa"/>
            <w:vAlign w:val="center"/>
          </w:tcPr>
          <w:p w14:paraId="57EEDF8D" w14:textId="7112BC0F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203136C" w14:textId="115240B3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-85,1</w:t>
            </w:r>
          </w:p>
        </w:tc>
      </w:tr>
      <w:tr w:rsidR="00A862CF" w:rsidRPr="00A03423" w14:paraId="787D25B0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4213BA47" w14:textId="12A8FDFB" w:rsidR="00C76A5C" w:rsidRPr="00A03423" w:rsidRDefault="00FE1D39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P5</w:t>
            </w:r>
          </w:p>
        </w:tc>
        <w:tc>
          <w:tcPr>
            <w:tcW w:w="1304" w:type="dxa"/>
            <w:vAlign w:val="center"/>
          </w:tcPr>
          <w:p w14:paraId="09DE12B5" w14:textId="6FD62018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6.429,1</w:t>
            </w:r>
          </w:p>
        </w:tc>
        <w:tc>
          <w:tcPr>
            <w:tcW w:w="1361" w:type="dxa"/>
            <w:vAlign w:val="center"/>
          </w:tcPr>
          <w:p w14:paraId="27806639" w14:textId="3659C5A1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2.325,3</w:t>
            </w:r>
          </w:p>
        </w:tc>
        <w:tc>
          <w:tcPr>
            <w:tcW w:w="1361" w:type="dxa"/>
            <w:vAlign w:val="center"/>
          </w:tcPr>
          <w:p w14:paraId="03DE6297" w14:textId="71B1A3BB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65,0</w:t>
            </w:r>
          </w:p>
        </w:tc>
        <w:tc>
          <w:tcPr>
            <w:tcW w:w="1304" w:type="dxa"/>
            <w:vAlign w:val="center"/>
          </w:tcPr>
          <w:p w14:paraId="0578F215" w14:textId="21AD21D2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977,5</w:t>
            </w:r>
          </w:p>
        </w:tc>
        <w:tc>
          <w:tcPr>
            <w:tcW w:w="1531" w:type="dxa"/>
            <w:vAlign w:val="center"/>
          </w:tcPr>
          <w:p w14:paraId="0BEBBE17" w14:textId="12E5BCF6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3.061,3</w:t>
            </w:r>
          </w:p>
        </w:tc>
        <w:tc>
          <w:tcPr>
            <w:tcW w:w="1588" w:type="dxa"/>
            <w:vAlign w:val="center"/>
          </w:tcPr>
          <w:p w14:paraId="6DE81D25" w14:textId="10AB7886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CB2F565" w14:textId="77777777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</w:tr>
      <w:tr w:rsidR="00A862CF" w:rsidRPr="00A03423" w14:paraId="47A294AF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741BD6D5" w14:textId="598B445A" w:rsidR="00C76A5C" w:rsidRPr="00A03423" w:rsidRDefault="00FE1D39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P6</w:t>
            </w:r>
          </w:p>
        </w:tc>
        <w:tc>
          <w:tcPr>
            <w:tcW w:w="1304" w:type="dxa"/>
            <w:vAlign w:val="center"/>
          </w:tcPr>
          <w:p w14:paraId="6B0D99FE" w14:textId="77777777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361" w:type="dxa"/>
            <w:vAlign w:val="center"/>
          </w:tcPr>
          <w:p w14:paraId="03D9A5C8" w14:textId="59186A50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361" w:type="dxa"/>
            <w:vAlign w:val="center"/>
          </w:tcPr>
          <w:p w14:paraId="4FB98A8D" w14:textId="36B0A1B3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304" w:type="dxa"/>
            <w:vAlign w:val="center"/>
          </w:tcPr>
          <w:p w14:paraId="1C051319" w14:textId="4FDF3B86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531" w:type="dxa"/>
            <w:vAlign w:val="center"/>
          </w:tcPr>
          <w:p w14:paraId="09BA71B0" w14:textId="173ECDD9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588" w:type="dxa"/>
            <w:vAlign w:val="center"/>
          </w:tcPr>
          <w:p w14:paraId="50A82AFA" w14:textId="0DC183B8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E85A1F1" w14:textId="04FB0B5B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30.405,7</w:t>
            </w:r>
          </w:p>
        </w:tc>
      </w:tr>
      <w:tr w:rsidR="00A862CF" w:rsidRPr="00A03423" w14:paraId="544C0D63" w14:textId="77777777" w:rsidTr="00A862CF">
        <w:trPr>
          <w:trHeight w:val="397"/>
          <w:jc w:val="center"/>
        </w:trPr>
        <w:tc>
          <w:tcPr>
            <w:tcW w:w="1361" w:type="dxa"/>
            <w:vAlign w:val="center"/>
          </w:tcPr>
          <w:p w14:paraId="432EDA43" w14:textId="4DBF8D64" w:rsidR="00C76A5C" w:rsidRPr="00A03423" w:rsidRDefault="00FE1D39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P7</w:t>
            </w:r>
          </w:p>
        </w:tc>
        <w:tc>
          <w:tcPr>
            <w:tcW w:w="1304" w:type="dxa"/>
            <w:vAlign w:val="center"/>
          </w:tcPr>
          <w:p w14:paraId="77780A43" w14:textId="77777777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361" w:type="dxa"/>
            <w:vAlign w:val="center"/>
          </w:tcPr>
          <w:p w14:paraId="532EA8F2" w14:textId="61BB7A72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361" w:type="dxa"/>
            <w:vAlign w:val="center"/>
          </w:tcPr>
          <w:p w14:paraId="40142873" w14:textId="1486ABD4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304" w:type="dxa"/>
            <w:vAlign w:val="center"/>
          </w:tcPr>
          <w:p w14:paraId="6060AA21" w14:textId="333ACCA3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531" w:type="dxa"/>
            <w:vAlign w:val="center"/>
          </w:tcPr>
          <w:p w14:paraId="776B9278" w14:textId="41C2F244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588" w:type="dxa"/>
            <w:vAlign w:val="center"/>
          </w:tcPr>
          <w:p w14:paraId="74DF07AB" w14:textId="5AF92222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B36118D" w14:textId="5288D0BE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30.013,7</w:t>
            </w:r>
          </w:p>
        </w:tc>
      </w:tr>
      <w:tr w:rsidR="00A862CF" w:rsidRPr="00A03423" w14:paraId="74657521" w14:textId="77777777" w:rsidTr="00A862CF">
        <w:trPr>
          <w:trHeight w:val="397"/>
          <w:jc w:val="center"/>
        </w:trPr>
        <w:tc>
          <w:tcPr>
            <w:tcW w:w="1361" w:type="dxa"/>
            <w:tcBorders>
              <w:bottom w:val="single" w:sz="4" w:space="0" w:color="2E74B5" w:themeColor="accent5" w:themeShade="BF"/>
            </w:tcBorders>
            <w:vAlign w:val="center"/>
          </w:tcPr>
          <w:p w14:paraId="04AA6D87" w14:textId="5B71FEB1" w:rsidR="00C76A5C" w:rsidRPr="00A03423" w:rsidRDefault="00FE1D39" w:rsidP="00A862CF">
            <w:pPr>
              <w:ind w:left="284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  <w:lang w:val="el-GR"/>
              </w:rPr>
              <w:t>B9</w:t>
            </w:r>
          </w:p>
        </w:tc>
        <w:tc>
          <w:tcPr>
            <w:tcW w:w="1304" w:type="dxa"/>
            <w:tcBorders>
              <w:bottom w:val="single" w:sz="4" w:space="0" w:color="2E74B5" w:themeColor="accent5" w:themeShade="BF"/>
            </w:tcBorders>
            <w:vAlign w:val="center"/>
          </w:tcPr>
          <w:p w14:paraId="1938905D" w14:textId="626C47ED" w:rsidR="00C76A5C" w:rsidRPr="00A03423" w:rsidRDefault="00C76A5C" w:rsidP="00C76A5C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A03423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-2.998,7</w:t>
            </w:r>
          </w:p>
        </w:tc>
        <w:tc>
          <w:tcPr>
            <w:tcW w:w="1361" w:type="dxa"/>
            <w:tcBorders>
              <w:bottom w:val="single" w:sz="4" w:space="0" w:color="2E74B5" w:themeColor="accent5" w:themeShade="BF"/>
            </w:tcBorders>
            <w:vAlign w:val="center"/>
          </w:tcPr>
          <w:p w14:paraId="2A06FBBB" w14:textId="5157F6EA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-3.092,8</w:t>
            </w:r>
          </w:p>
        </w:tc>
        <w:tc>
          <w:tcPr>
            <w:tcW w:w="1361" w:type="dxa"/>
            <w:tcBorders>
              <w:bottom w:val="single" w:sz="4" w:space="0" w:color="2E74B5" w:themeColor="accent5" w:themeShade="BF"/>
            </w:tcBorders>
            <w:vAlign w:val="center"/>
          </w:tcPr>
          <w:p w14:paraId="68F3F465" w14:textId="37CA1873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156,3</w:t>
            </w:r>
          </w:p>
        </w:tc>
        <w:tc>
          <w:tcPr>
            <w:tcW w:w="1304" w:type="dxa"/>
            <w:tcBorders>
              <w:bottom w:val="single" w:sz="4" w:space="0" w:color="2E74B5" w:themeColor="accent5" w:themeShade="BF"/>
            </w:tcBorders>
            <w:vAlign w:val="center"/>
          </w:tcPr>
          <w:p w14:paraId="71F3C11F" w14:textId="46C2B947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631,7</w:t>
            </w:r>
          </w:p>
        </w:tc>
        <w:tc>
          <w:tcPr>
            <w:tcW w:w="1531" w:type="dxa"/>
            <w:tcBorders>
              <w:bottom w:val="single" w:sz="4" w:space="0" w:color="2E74B5" w:themeColor="accent5" w:themeShade="BF"/>
            </w:tcBorders>
            <w:vAlign w:val="center"/>
          </w:tcPr>
          <w:p w14:paraId="2F44BAD3" w14:textId="5846BB16" w:rsidR="00C76A5C" w:rsidRPr="00A03423" w:rsidRDefault="00C76A5C" w:rsidP="00A862CF">
            <w:pPr>
              <w:ind w:right="113"/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-693,9</w:t>
            </w:r>
          </w:p>
        </w:tc>
        <w:tc>
          <w:tcPr>
            <w:tcW w:w="1588" w:type="dxa"/>
            <w:tcBorders>
              <w:bottom w:val="single" w:sz="4" w:space="0" w:color="2E74B5" w:themeColor="accent5" w:themeShade="BF"/>
            </w:tcBorders>
            <w:vAlign w:val="center"/>
          </w:tcPr>
          <w:p w14:paraId="7ABFEE2A" w14:textId="548B41DA" w:rsidR="00C76A5C" w:rsidRPr="00A03423" w:rsidRDefault="00C76A5C" w:rsidP="00A862CF">
            <w:pPr>
              <w:ind w:right="2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2E74B5" w:themeColor="accent5" w:themeShade="BF"/>
            </w:tcBorders>
            <w:vAlign w:val="center"/>
          </w:tcPr>
          <w:p w14:paraId="3020C655" w14:textId="19F36E7C" w:rsidR="00C76A5C" w:rsidRPr="00A03423" w:rsidRDefault="00C76A5C" w:rsidP="00C76A5C">
            <w:pPr>
              <w:jc w:val="right"/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r w:rsidRPr="00A0342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2.998,7</w:t>
            </w:r>
          </w:p>
        </w:tc>
      </w:tr>
    </w:tbl>
    <w:p w14:paraId="3097903C" w14:textId="2E834329" w:rsidR="00F933E1" w:rsidRDefault="00F933E1" w:rsidP="00F933E1">
      <w:pPr>
        <w:jc w:val="both"/>
        <w:rPr>
          <w:rFonts w:ascii="Verdana" w:hAnsi="Verdana" w:cs="Arial"/>
          <w:color w:val="2F5496" w:themeColor="accent1" w:themeShade="BF"/>
          <w:sz w:val="16"/>
          <w:szCs w:val="16"/>
        </w:rPr>
      </w:pPr>
      <w:proofErr w:type="spellStart"/>
      <w:r w:rsidRPr="004D7172">
        <w:rPr>
          <w:rFonts w:ascii="Verdana" w:hAnsi="Verdana" w:cs="Arial"/>
          <w:color w:val="2F5496" w:themeColor="accent1" w:themeShade="BF"/>
          <w:sz w:val="16"/>
          <w:szCs w:val="16"/>
          <w:lang w:val="el-GR"/>
        </w:rPr>
        <w:t>n.a</w:t>
      </w:r>
      <w:proofErr w:type="spellEnd"/>
      <w:r w:rsidRPr="004D7172">
        <w:rPr>
          <w:rFonts w:ascii="Verdana" w:hAnsi="Verdana" w:cs="Arial"/>
          <w:color w:val="2F5496" w:themeColor="accent1" w:themeShade="BF"/>
          <w:sz w:val="16"/>
          <w:szCs w:val="16"/>
          <w:lang w:val="el-GR"/>
        </w:rPr>
        <w:t>.</w:t>
      </w:r>
      <w:r>
        <w:rPr>
          <w:rFonts w:ascii="Verdana" w:hAnsi="Verdana" w:cs="Arial"/>
          <w:color w:val="2F5496" w:themeColor="accent1" w:themeShade="BF"/>
          <w:sz w:val="16"/>
          <w:szCs w:val="16"/>
          <w:lang w:val="el-GR"/>
        </w:rPr>
        <w:t xml:space="preserve">: Μη </w:t>
      </w:r>
      <w:r w:rsidRPr="00BE1AE8">
        <w:rPr>
          <w:rFonts w:ascii="Verdana" w:hAnsi="Verdana" w:cs="Arial"/>
          <w:color w:val="2F5496" w:themeColor="accent1" w:themeShade="BF"/>
          <w:sz w:val="16"/>
          <w:szCs w:val="16"/>
          <w:lang w:val="el-GR"/>
        </w:rPr>
        <w:t>εφαρμόσιμο</w:t>
      </w:r>
    </w:p>
    <w:p w14:paraId="38C06939" w14:textId="29633A38" w:rsidR="00C21002" w:rsidRPr="00C21002" w:rsidRDefault="00C21002" w:rsidP="00F933E1">
      <w:pPr>
        <w:jc w:val="both"/>
        <w:rPr>
          <w:rFonts w:ascii="Verdana" w:hAnsi="Verdana" w:cs="Arial"/>
          <w:color w:val="2F5496" w:themeColor="accent1" w:themeShade="BF"/>
          <w:sz w:val="16"/>
          <w:szCs w:val="16"/>
          <w:lang w:val="el-GR"/>
        </w:rPr>
      </w:pPr>
      <w:r w:rsidRPr="00C21002">
        <w:rPr>
          <w:rFonts w:ascii="Verdana" w:hAnsi="Verdana" w:cs="Arial"/>
          <w:color w:val="2F5496" w:themeColor="accent1" w:themeShade="BF"/>
          <w:sz w:val="16"/>
          <w:szCs w:val="16"/>
          <w:lang w:val="el-GR"/>
        </w:rPr>
        <w:t>Μη</w:t>
      </w:r>
      <w:r w:rsidR="005103C3" w:rsidRPr="00A862CF">
        <w:rPr>
          <w:rFonts w:ascii="Verdana" w:hAnsi="Verdana" w:cs="Arial"/>
          <w:color w:val="2F5496" w:themeColor="accent1" w:themeShade="BF"/>
          <w:sz w:val="16"/>
          <w:szCs w:val="16"/>
          <w:lang w:val="el-GR"/>
        </w:rPr>
        <w:t xml:space="preserve"> </w:t>
      </w:r>
      <w:r w:rsidRPr="00C21002">
        <w:rPr>
          <w:rFonts w:ascii="Verdana" w:hAnsi="Verdana" w:cs="Arial"/>
          <w:color w:val="2F5496" w:themeColor="accent1" w:themeShade="BF"/>
          <w:sz w:val="16"/>
          <w:szCs w:val="16"/>
          <w:lang w:val="el-GR"/>
        </w:rPr>
        <w:t>ταξινομημένες συναλλαγές: Φόροι μείον Επιδοτήσεις</w:t>
      </w:r>
    </w:p>
    <w:p w14:paraId="1335D799" w14:textId="13AF5E5E" w:rsidR="00912120" w:rsidRPr="005242A8" w:rsidRDefault="00007C1E" w:rsidP="00760ECC">
      <w:pPr>
        <w:jc w:val="both"/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</w:pPr>
      <w:r w:rsidRPr="00007C1E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Μακροοικονομικά Μεγέθη</w:t>
      </w:r>
      <w:r w:rsidR="005970DD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:</w:t>
      </w:r>
    </w:p>
    <w:p w14:paraId="1C3722CA" w14:textId="400AE7D3" w:rsidR="005242A8" w:rsidRPr="005242A8" w:rsidRDefault="00007C1E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007C1E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B1G</w:t>
      </w:r>
      <w:r w:rsidR="005242A8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007C1E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Ακαθάριστο εγχώριο προϊόν</w:t>
      </w:r>
    </w:p>
    <w:p w14:paraId="0A3E71BC" w14:textId="35CC69DF" w:rsidR="005242A8" w:rsidRPr="005242A8" w:rsidRDefault="00007C1E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007C1E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D1</w:t>
      </w:r>
      <w:r w:rsidR="005242A8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007C1E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Εισόδημα εξαρτημένης εργασίας</w:t>
      </w:r>
    </w:p>
    <w:p w14:paraId="189DDE50" w14:textId="2969A63F" w:rsidR="005242A8" w:rsidRPr="005242A8" w:rsidRDefault="00007C1E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007C1E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B2A3G</w:t>
      </w:r>
      <w:r w:rsidR="005242A8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007C1E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Ακαθάριστο λειτουργικό πλεόνασμα και μεικτό εισόδημα</w:t>
      </w:r>
    </w:p>
    <w:p w14:paraId="7B66728F" w14:textId="1691C189" w:rsidR="005242A8" w:rsidRPr="005242A8" w:rsidRDefault="00007C1E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007C1E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D4</w:t>
      </w:r>
      <w:r w:rsidR="005242A8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007C1E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Εισόδημα περιουσίας</w:t>
      </w:r>
    </w:p>
    <w:p w14:paraId="2445CD70" w14:textId="1B39BC51" w:rsidR="005242A8" w:rsidRPr="00007C1E" w:rsidRDefault="00007C1E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007C1E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B5G</w:t>
      </w:r>
      <w:r w:rsidR="005242A8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007C1E">
        <w:rPr>
          <w:rFonts w:ascii="Verdana" w:hAnsi="Verdana"/>
          <w:color w:val="2F5496" w:themeColor="accent1" w:themeShade="BF"/>
          <w:sz w:val="16"/>
          <w:szCs w:val="16"/>
          <w:lang w:val="el-GR"/>
        </w:rPr>
        <w:t>Ακαθάριστο εθνικό εισόδημα</w:t>
      </w:r>
    </w:p>
    <w:p w14:paraId="24E71456" w14:textId="5F9B5B13" w:rsidR="005242A8" w:rsidRPr="005242A8" w:rsidRDefault="00007C1E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007C1E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D5</w:t>
      </w:r>
      <w:r w:rsidR="005242A8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007C1E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Τρέχοντες φόροι εισοδήματος, περιουσίας κ.λπ.</w:t>
      </w:r>
      <w:r w:rsidR="005242A8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 </w:t>
      </w:r>
    </w:p>
    <w:p w14:paraId="01C73C05" w14:textId="0DEEF08F" w:rsidR="00912120" w:rsidRPr="005242A8" w:rsidRDefault="00007C1E" w:rsidP="005242A8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007C1E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D6</w:t>
      </w:r>
      <w:r w:rsidR="005242A8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007C1E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Κοινωνικές εισφορές και παροχές</w:t>
      </w:r>
    </w:p>
    <w:p w14:paraId="2BD5D3CE" w14:textId="7BE6085E" w:rsidR="00912120" w:rsidRPr="00FE1D39" w:rsidRDefault="00FE1D39" w:rsidP="00760EC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FE1D39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D7</w:t>
      </w:r>
      <w:r w:rsidR="00007C1E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="00007C1E" w:rsidRPr="00007C1E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Λοιπές τρέχουσες μεταβιβάσεις</w:t>
      </w:r>
    </w:p>
    <w:p w14:paraId="5D76C920" w14:textId="367AB777" w:rsidR="00007C1E" w:rsidRPr="00FE1D39" w:rsidRDefault="00FE1D39" w:rsidP="00760EC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FE1D39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B6G</w:t>
      </w:r>
      <w:r w:rsidR="00007C1E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FE1D39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Ακαθάριστο διαθέσιμο εισόδημα</w:t>
      </w:r>
    </w:p>
    <w:p w14:paraId="235AC3DB" w14:textId="54024B2A" w:rsidR="00007C1E" w:rsidRPr="00FE1D39" w:rsidRDefault="00FE1D39" w:rsidP="00760EC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FE1D39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P3</w:t>
      </w:r>
      <w:r w:rsidR="00007C1E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FE1D39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Τελική καταναλωτική δαπάνη</w:t>
      </w:r>
    </w:p>
    <w:p w14:paraId="5E5E96A4" w14:textId="07574967" w:rsidR="00007C1E" w:rsidRPr="00FE1D39" w:rsidRDefault="00FE1D39" w:rsidP="00760EC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FE1D39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B8G</w:t>
      </w:r>
      <w:r w:rsidR="00007C1E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FE1D39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Ακαθάριστη αποταμίευση</w:t>
      </w:r>
    </w:p>
    <w:p w14:paraId="28B3BE2C" w14:textId="5EDC4F19" w:rsidR="00007C1E" w:rsidRPr="00FE1D39" w:rsidRDefault="00FE1D39" w:rsidP="00760EC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FE1D39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D9</w:t>
      </w:r>
      <w:r w:rsidR="00007C1E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FE1D39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Κεφαλαιακές μεταβιβάσεις</w:t>
      </w:r>
    </w:p>
    <w:p w14:paraId="1786DE17" w14:textId="28CDDB31" w:rsidR="00007C1E" w:rsidRPr="00FE1D39" w:rsidRDefault="00FE1D39" w:rsidP="00760EC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FE1D39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P5</w:t>
      </w:r>
      <w:r w:rsidR="00007C1E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FE1D39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Ακαθάριστος σχηματισμός κεφαλαίου</w:t>
      </w:r>
    </w:p>
    <w:p w14:paraId="5CBACECC" w14:textId="47D671AC" w:rsidR="00007C1E" w:rsidRPr="00FE1D39" w:rsidRDefault="00FE1D39" w:rsidP="00760EC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FE1D39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P6</w:t>
      </w:r>
      <w:r w:rsidR="00007C1E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FE1D39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Εξαγωγές αγαθών και υπηρεσιών</w:t>
      </w:r>
    </w:p>
    <w:p w14:paraId="31A6B05F" w14:textId="0E47E287" w:rsidR="00007C1E" w:rsidRPr="00877493" w:rsidRDefault="00FE1D39" w:rsidP="00760ECC">
      <w:pPr>
        <w:jc w:val="both"/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</w:pPr>
      <w:r w:rsidRPr="00FE1D39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P7</w:t>
      </w:r>
      <w:r w:rsidR="00007C1E"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FE1D39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Εισαγωγές αγαθών και υπηρεσιών</w:t>
      </w:r>
    </w:p>
    <w:p w14:paraId="40AEE811" w14:textId="6203B3D4" w:rsidR="00FE1D39" w:rsidRPr="00FE1D39" w:rsidRDefault="00FE1D39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  <w:r w:rsidRPr="00FE1D39">
        <w:rPr>
          <w:rFonts w:ascii="Verdana" w:hAnsi="Verdana"/>
          <w:b/>
          <w:bCs/>
          <w:noProof/>
          <w:color w:val="2F5496" w:themeColor="accent1" w:themeShade="BF"/>
          <w:sz w:val="16"/>
          <w:szCs w:val="16"/>
          <w:lang w:val="el-GR"/>
        </w:rPr>
        <w:t>B9</w:t>
      </w:r>
      <w:r w:rsidRPr="005242A8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: </w:t>
      </w:r>
      <w:r w:rsidRPr="00FE1D39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Καθαρή ικανότητα χρηματοδότησης (+)</w:t>
      </w:r>
      <w:r w:rsidR="00877493" w:rsidRPr="00877493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 </w:t>
      </w:r>
      <w:r w:rsidRPr="00FE1D39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/</w:t>
      </w:r>
      <w:r w:rsidR="00877493" w:rsidRPr="00877493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 xml:space="preserve"> </w:t>
      </w:r>
      <w:r w:rsidRPr="00FE1D39">
        <w:rPr>
          <w:rFonts w:ascii="Verdana" w:hAnsi="Verdana"/>
          <w:noProof/>
          <w:color w:val="2F5496" w:themeColor="accent1" w:themeShade="BF"/>
          <w:sz w:val="16"/>
          <w:szCs w:val="16"/>
          <w:lang w:val="el-GR"/>
        </w:rPr>
        <w:t>καθαρή ανάγκη χρηματοδότησης (-)</w:t>
      </w:r>
    </w:p>
    <w:p w14:paraId="21E448C4" w14:textId="77777777" w:rsidR="00760ECC" w:rsidRDefault="00760ECC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188AF3D7" w14:textId="77777777" w:rsidR="00760ECC" w:rsidRDefault="00760ECC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A459F7E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3700B62D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5676263A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1A456059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492FDD4B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36F4F249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0ADDE1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27F51125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2271C2BE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5E86A75F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379A8465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52D2AA94" w14:textId="77777777" w:rsidR="00D2779B" w:rsidRDefault="00D2779B" w:rsidP="00760ECC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3D1D8723" w14:textId="77777777" w:rsidR="00760ECC" w:rsidRPr="00760ECC" w:rsidRDefault="00760ECC" w:rsidP="00760EC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760ECC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0DCED62" w14:textId="77777777" w:rsidR="00760ECC" w:rsidRPr="00760ECC" w:rsidRDefault="00760ECC" w:rsidP="00760EC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D62B59" w14:textId="61B53C73" w:rsidR="00760ECC" w:rsidRPr="00760ECC" w:rsidRDefault="00760ECC" w:rsidP="00760ECC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760ECC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Σκοπός</w:t>
      </w:r>
    </w:p>
    <w:p w14:paraId="2349C2CF" w14:textId="77777777" w:rsidR="00760ECC" w:rsidRPr="00760ECC" w:rsidRDefault="00760ECC" w:rsidP="00760EC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FC351FE" w14:textId="77777777" w:rsidR="00760ECC" w:rsidRPr="00760ECC" w:rsidRDefault="00760ECC" w:rsidP="00760ECC">
      <w:p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Παρέχεται πληροφόρηση για την πλήρη ακολουθία μη χρηματοοικονομικών λογαριασμών (συναλλαγές και εξισωτικά μεγέθη) κατά θεσμικό τομέα. Αποτελείται από τους πιο κάτω λογαριασμούς:</w:t>
      </w:r>
    </w:p>
    <w:p w14:paraId="632D7276" w14:textId="77777777" w:rsidR="00760ECC" w:rsidRPr="00760ECC" w:rsidRDefault="00760ECC" w:rsidP="00760ECC">
      <w:pPr>
        <w:pStyle w:val="ListParagraph"/>
        <w:numPr>
          <w:ilvl w:val="0"/>
          <w:numId w:val="7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Λογαριασμός παραγωγής,</w:t>
      </w:r>
    </w:p>
    <w:p w14:paraId="618CF600" w14:textId="77777777" w:rsidR="00760ECC" w:rsidRPr="00760ECC" w:rsidRDefault="00760ECC" w:rsidP="00760ECC">
      <w:pPr>
        <w:pStyle w:val="ListParagraph"/>
        <w:numPr>
          <w:ilvl w:val="0"/>
          <w:numId w:val="7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Λογαριασμοί πρωτογενούς διανομής εισοδήματος,</w:t>
      </w:r>
    </w:p>
    <w:p w14:paraId="77C655BB" w14:textId="77777777" w:rsidR="00760ECC" w:rsidRPr="00760ECC" w:rsidRDefault="00760ECC" w:rsidP="00760ECC">
      <w:pPr>
        <w:pStyle w:val="ListParagraph"/>
        <w:numPr>
          <w:ilvl w:val="0"/>
          <w:numId w:val="7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Λογαριασμός δευτερογενούς διανομής εισοδήματος,</w:t>
      </w:r>
    </w:p>
    <w:p w14:paraId="0ED3F12E" w14:textId="77777777" w:rsidR="00760ECC" w:rsidRPr="00760ECC" w:rsidRDefault="00760ECC" w:rsidP="00760ECC">
      <w:pPr>
        <w:pStyle w:val="ListParagraph"/>
        <w:numPr>
          <w:ilvl w:val="0"/>
          <w:numId w:val="7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Λογαριασμός χρήσης εισοδήματος,</w:t>
      </w:r>
    </w:p>
    <w:p w14:paraId="73D82A21" w14:textId="77777777" w:rsidR="00760ECC" w:rsidRPr="00760ECC" w:rsidRDefault="00760ECC" w:rsidP="00760ECC">
      <w:pPr>
        <w:pStyle w:val="ListParagraph"/>
        <w:numPr>
          <w:ilvl w:val="0"/>
          <w:numId w:val="7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Λογαριασμός κεφαλαίου,</w:t>
      </w:r>
    </w:p>
    <w:p w14:paraId="46D52B93" w14:textId="77777777" w:rsidR="00760ECC" w:rsidRPr="00760ECC" w:rsidRDefault="00760ECC" w:rsidP="00760ECC">
      <w:pPr>
        <w:pStyle w:val="ListParagraph"/>
        <w:numPr>
          <w:ilvl w:val="0"/>
          <w:numId w:val="7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Λογαριασμός μεταβολής της καθαρής θέσης λόγω αποταμίευσης και κεφαλαιακών μεταβιβάσεων,</w:t>
      </w:r>
    </w:p>
    <w:p w14:paraId="7AF57C58" w14:textId="77777777" w:rsidR="00760ECC" w:rsidRPr="00760ECC" w:rsidRDefault="00760ECC" w:rsidP="00760ECC">
      <w:pPr>
        <w:pStyle w:val="ListParagraph"/>
        <w:numPr>
          <w:ilvl w:val="0"/>
          <w:numId w:val="7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Λογαριασμός απόκτησης μη χρηματοοικονομικών στοιχείων.</w:t>
      </w:r>
    </w:p>
    <w:p w14:paraId="36B022EC" w14:textId="77777777" w:rsidR="00760ECC" w:rsidRPr="00760ECC" w:rsidRDefault="00760ECC" w:rsidP="00760ECC">
      <w:pPr>
        <w:rPr>
          <w:rFonts w:ascii="Verdana" w:hAnsi="Verdana" w:cs="Arial"/>
          <w:sz w:val="18"/>
          <w:szCs w:val="18"/>
          <w:lang w:val="el-GR"/>
        </w:rPr>
      </w:pPr>
    </w:p>
    <w:p w14:paraId="1E388164" w14:textId="77777777" w:rsidR="00760ECC" w:rsidRPr="00760ECC" w:rsidRDefault="00760ECC" w:rsidP="00760EC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 xml:space="preserve">Οι θεσμικοί τομείς αποτελούνται από ομάδες θεσμικών μονάδων με παρόμοια χαρακτηριστικά και ορισμένοι από αυτούς τους τομείς υποδιαιρούνται σε περαιτέρω </w:t>
      </w:r>
      <w:proofErr w:type="spellStart"/>
      <w:r w:rsidRPr="00760ECC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760ECC">
        <w:rPr>
          <w:rFonts w:ascii="Verdana" w:hAnsi="Verdana" w:cs="Arial"/>
          <w:sz w:val="18"/>
          <w:szCs w:val="18"/>
          <w:lang w:val="el-GR"/>
        </w:rPr>
        <w:t>.</w:t>
      </w:r>
    </w:p>
    <w:p w14:paraId="78C8A201" w14:textId="77777777" w:rsidR="00760ECC" w:rsidRPr="00760ECC" w:rsidRDefault="00760ECC" w:rsidP="00760EC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43FC07E9" w14:textId="77777777" w:rsidR="00760ECC" w:rsidRPr="00760ECC" w:rsidRDefault="00760ECC" w:rsidP="00760ECC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760ECC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Υπολογισμός και Μεθοδολογία</w:t>
      </w:r>
    </w:p>
    <w:p w14:paraId="36C83FC0" w14:textId="77777777" w:rsidR="00760ECC" w:rsidRPr="00760ECC" w:rsidRDefault="00760ECC" w:rsidP="00760EC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4274E1" w14:textId="77777777" w:rsidR="00760ECC" w:rsidRPr="00760ECC" w:rsidRDefault="00760ECC" w:rsidP="00760ECC">
      <w:p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Η παραγωγή των στοιχείων των εθνικών λογαριασμών κατά θεσμικό τομέα, γίνεται με βάση το Ευρωπαϊκό Σύστημα Λογαριασμών 2010 (ΕΣΛ 2010).</w:t>
      </w:r>
    </w:p>
    <w:p w14:paraId="7F8AA431" w14:textId="77777777" w:rsidR="00760ECC" w:rsidRPr="00760ECC" w:rsidRDefault="00760ECC" w:rsidP="00760ECC">
      <w:p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 xml:space="preserve">Η συλλογή οικονομικών στοιχείων κατά θεσμικό τομέα αλλά και για το σύνολο της οικονομίας γίνεται από: </w:t>
      </w:r>
    </w:p>
    <w:p w14:paraId="04C9DE72" w14:textId="77777777" w:rsidR="00760ECC" w:rsidRPr="00760ECC" w:rsidRDefault="00760ECC" w:rsidP="00760ECC">
      <w:pPr>
        <w:pStyle w:val="ListParagraph"/>
        <w:numPr>
          <w:ilvl w:val="0"/>
          <w:numId w:val="11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Κλάδο Δημόσιων Οικονομικών της Στατιστικής Υπηρεσίας για τον τομέα της Γενικής Κυβέρνησης,</w:t>
      </w:r>
    </w:p>
    <w:p w14:paraId="4F676B98" w14:textId="77777777" w:rsidR="00760ECC" w:rsidRPr="00760ECC" w:rsidRDefault="00760ECC" w:rsidP="00760ECC">
      <w:pPr>
        <w:pStyle w:val="ListParagraph"/>
        <w:numPr>
          <w:ilvl w:val="0"/>
          <w:numId w:val="11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Τομέα Εθνικών Λογαριασμών της Στατιστικής Υπηρεσίας, για τα μακροοικονομικά μεγέθη που αφορούν το σύνολο της οικονομίας,</w:t>
      </w:r>
    </w:p>
    <w:p w14:paraId="4D977831" w14:textId="77777777" w:rsidR="00760ECC" w:rsidRPr="00760ECC" w:rsidRDefault="00760ECC" w:rsidP="00760ECC">
      <w:pPr>
        <w:pStyle w:val="ListParagraph"/>
        <w:numPr>
          <w:ilvl w:val="0"/>
          <w:numId w:val="11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Κεντρική Τράπεζα της Κύπρου για τον τομέα της Αλλοδαπής, από στατιστικά στοιχεία του Ισοζυγίου Πληρωμών,</w:t>
      </w:r>
    </w:p>
    <w:p w14:paraId="46EABEB3" w14:textId="77777777" w:rsidR="00760ECC" w:rsidRPr="00760ECC" w:rsidRDefault="00760ECC" w:rsidP="00760ECC">
      <w:pPr>
        <w:pStyle w:val="ListParagraph"/>
        <w:numPr>
          <w:ilvl w:val="0"/>
          <w:numId w:val="11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Τομέα Δημογραφίας, Κοινωνικών Στατιστικών και Τουρισμού της Στατιστικής Υπηρεσίας,</w:t>
      </w:r>
    </w:p>
    <w:p w14:paraId="36A2BD22" w14:textId="77777777" w:rsidR="00760ECC" w:rsidRPr="00760ECC" w:rsidRDefault="00760ECC" w:rsidP="00760ECC">
      <w:pPr>
        <w:pStyle w:val="ListParagraph"/>
        <w:numPr>
          <w:ilvl w:val="0"/>
          <w:numId w:val="11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Κυπριακό Οργανισμό Αγροτικών Πληρωμών (ΚΟΑΠ),</w:t>
      </w:r>
    </w:p>
    <w:p w14:paraId="1C3E8E9B" w14:textId="77777777" w:rsidR="00760ECC" w:rsidRPr="00760ECC" w:rsidRDefault="00760ECC" w:rsidP="00760ECC">
      <w:pPr>
        <w:pStyle w:val="ListParagraph"/>
        <w:numPr>
          <w:ilvl w:val="0"/>
          <w:numId w:val="11"/>
        </w:numPr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Μητρώο Επιχειρήσεων της Στατιστικής Υπηρεσίας,</w:t>
      </w:r>
    </w:p>
    <w:p w14:paraId="26F18E34" w14:textId="77777777" w:rsidR="00760ECC" w:rsidRPr="00760ECC" w:rsidRDefault="00760ECC" w:rsidP="00760ECC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Αποτελέσματα ετήσιων οικονομικών ερευνών (Βιομηχανίας, Κατασκευών, Χονδρικού και Λιανικού Εμπορίου, Υπηρεσιών) της Στατιστικής Υπηρεσίας.</w:t>
      </w:r>
    </w:p>
    <w:p w14:paraId="1BE915B8" w14:textId="77777777" w:rsidR="00760ECC" w:rsidRPr="00760ECC" w:rsidRDefault="00760ECC" w:rsidP="00760EC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F2E97E" w14:textId="77777777" w:rsidR="00760ECC" w:rsidRPr="00760ECC" w:rsidRDefault="00760ECC" w:rsidP="00760ECC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760ECC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Στοιχείων</w:t>
      </w:r>
    </w:p>
    <w:p w14:paraId="1CF462B7" w14:textId="77777777" w:rsidR="00760ECC" w:rsidRPr="00760ECC" w:rsidRDefault="00760ECC" w:rsidP="00760EC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7BB515" w14:textId="0A5558AF" w:rsidR="00FD25B8" w:rsidRPr="00760ECC" w:rsidRDefault="00760ECC" w:rsidP="00FD25B8">
      <w:pPr>
        <w:jc w:val="both"/>
        <w:rPr>
          <w:rFonts w:ascii="Verdana" w:hAnsi="Verdana"/>
          <w:sz w:val="18"/>
          <w:szCs w:val="18"/>
          <w:lang w:val="el-GR"/>
        </w:rPr>
      </w:pPr>
      <w:r w:rsidRPr="00760ECC">
        <w:rPr>
          <w:rFonts w:ascii="Verdana" w:hAnsi="Verdana" w:cs="Arial"/>
          <w:sz w:val="18"/>
          <w:szCs w:val="18"/>
          <w:lang w:val="el-GR"/>
        </w:rPr>
        <w:t>Οι ετήσιοι μη χρηματοοικονομικοί λογαριασμοί θεσμικών τομέων καλύπτουν όλους τους θεσμικούς τομείς της οικονομίας</w:t>
      </w:r>
      <w:r w:rsidR="00FD25B8">
        <w:rPr>
          <w:rFonts w:ascii="Verdana" w:hAnsi="Verdana" w:cs="Arial"/>
          <w:sz w:val="18"/>
          <w:szCs w:val="18"/>
          <w:lang w:val="el-GR"/>
        </w:rPr>
        <w:t>.</w:t>
      </w:r>
    </w:p>
    <w:p w14:paraId="6CBDBA79" w14:textId="77777777" w:rsidR="001432E9" w:rsidRPr="00760ECC" w:rsidRDefault="001432E9" w:rsidP="00760ECC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69AE68" w14:textId="77777777" w:rsidR="00760ECC" w:rsidRPr="00760ECC" w:rsidRDefault="00760ECC" w:rsidP="00760ECC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 w:rsidRPr="00760ECC"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F5485EC" w14:textId="77777777" w:rsidR="00760ECC" w:rsidRPr="00760ECC" w:rsidRDefault="00760ECC" w:rsidP="00760ECC">
      <w:pPr>
        <w:rPr>
          <w:rFonts w:ascii="Verdana" w:hAnsi="Verdana"/>
          <w:sz w:val="18"/>
          <w:szCs w:val="18"/>
          <w:lang w:val="el-GR"/>
        </w:rPr>
      </w:pPr>
      <w:r w:rsidRPr="00760ECC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1" w:history="1">
        <w:r w:rsidRPr="00760ECC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18A2AD24" w14:textId="77777777" w:rsidR="00760ECC" w:rsidRPr="00760ECC" w:rsidRDefault="00000000" w:rsidP="00760ECC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760ECC" w:rsidRPr="00760ECC">
          <w:rPr>
            <w:rStyle w:val="Hyperlink"/>
            <w:rFonts w:ascii="Verdana" w:hAnsi="Verdana"/>
            <w:sz w:val="18"/>
            <w:szCs w:val="18"/>
          </w:rPr>
          <w:t>CYSTAT</w:t>
        </w:r>
        <w:r w:rsidR="00760ECC" w:rsidRPr="00760ECC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760ECC" w:rsidRPr="00760ECC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760ECC" w:rsidRPr="00760ECC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D9020A" w14:textId="77777777" w:rsidR="00760ECC" w:rsidRPr="00760ECC" w:rsidRDefault="00000000" w:rsidP="00760ECC">
      <w:pPr>
        <w:rPr>
          <w:rFonts w:ascii="Verdana" w:hAnsi="Verdana"/>
          <w:sz w:val="18"/>
          <w:szCs w:val="18"/>
          <w:lang w:val="el-GR"/>
        </w:rPr>
      </w:pPr>
      <w:hyperlink r:id="rId13" w:history="1">
        <w:r w:rsidR="00760ECC" w:rsidRPr="00760ECC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60ECC" w:rsidRPr="00760ECC">
        <w:rPr>
          <w:rFonts w:ascii="Verdana" w:hAnsi="Verdana"/>
          <w:sz w:val="18"/>
          <w:szCs w:val="18"/>
          <w:lang w:val="el-GR"/>
        </w:rPr>
        <w:t xml:space="preserve"> (</w:t>
      </w:r>
      <w:r w:rsidR="00760ECC" w:rsidRPr="00760ECC">
        <w:rPr>
          <w:rFonts w:ascii="Verdana" w:hAnsi="Verdana"/>
          <w:sz w:val="18"/>
          <w:szCs w:val="18"/>
        </w:rPr>
        <w:t>Excel</w:t>
      </w:r>
      <w:r w:rsidR="00760ECC" w:rsidRPr="00760ECC">
        <w:rPr>
          <w:rFonts w:ascii="Verdana" w:hAnsi="Verdana"/>
          <w:sz w:val="18"/>
          <w:szCs w:val="18"/>
          <w:lang w:val="el-GR"/>
        </w:rPr>
        <w:t>)</w:t>
      </w:r>
    </w:p>
    <w:p w14:paraId="273009CF" w14:textId="7FA61C3C" w:rsidR="00760ECC" w:rsidRPr="00760ECC" w:rsidRDefault="00000000" w:rsidP="00760ECC">
      <w:pPr>
        <w:rPr>
          <w:rFonts w:ascii="Verdana" w:hAnsi="Verdana"/>
          <w:sz w:val="18"/>
          <w:szCs w:val="18"/>
          <w:lang w:val="el-GR"/>
        </w:rPr>
      </w:pPr>
      <w:hyperlink r:id="rId14" w:history="1">
        <w:r w:rsidR="00760ECC" w:rsidRPr="00CF5C4D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78F50B4F" w14:textId="77777777" w:rsidR="00760ECC" w:rsidRPr="00760ECC" w:rsidRDefault="00760ECC" w:rsidP="00760EC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BFCFFB" w14:textId="77777777" w:rsidR="00760ECC" w:rsidRPr="00760ECC" w:rsidRDefault="00760ECC" w:rsidP="00760ECC">
      <w:pPr>
        <w:jc w:val="both"/>
        <w:rPr>
          <w:rFonts w:ascii="Verdana" w:hAnsi="Verdana"/>
          <w:sz w:val="18"/>
          <w:szCs w:val="18"/>
          <w:lang w:val="el-GR"/>
        </w:rPr>
      </w:pPr>
      <w:r w:rsidRPr="00760ECC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760ECC">
        <w:rPr>
          <w:rFonts w:ascii="Verdana" w:hAnsi="Verdana"/>
          <w:sz w:val="18"/>
          <w:szCs w:val="18"/>
          <w:lang w:val="el-GR"/>
        </w:rPr>
        <w:t xml:space="preserve"> </w:t>
      </w:r>
    </w:p>
    <w:p w14:paraId="389ABACF" w14:textId="77777777" w:rsidR="00760ECC" w:rsidRPr="005970DD" w:rsidRDefault="00760ECC" w:rsidP="00760ECC">
      <w:pPr>
        <w:tabs>
          <w:tab w:val="left" w:pos="1080"/>
          <w:tab w:val="left" w:pos="7088"/>
        </w:tabs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 w:rsidRPr="00760ECC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Μιχάλης </w:t>
      </w:r>
      <w:proofErr w:type="spellStart"/>
      <w:r w:rsidRPr="00760ECC">
        <w:rPr>
          <w:rFonts w:ascii="Verdana" w:eastAsia="Malgun Gothic" w:hAnsi="Verdana" w:cs="Arial"/>
          <w:color w:val="000000"/>
          <w:sz w:val="18"/>
          <w:szCs w:val="18"/>
          <w:lang w:val="el-GR"/>
        </w:rPr>
        <w:t>Παντζιαράς</w:t>
      </w:r>
      <w:proofErr w:type="spellEnd"/>
      <w:r w:rsidRPr="00760ECC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760ECC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760ECC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:+35722605127, Ηλεκτρ. </w:t>
      </w:r>
      <w:proofErr w:type="spellStart"/>
      <w:r w:rsidRPr="00760ECC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760ECC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5" w:history="1">
        <w:r w:rsidRPr="00760ECC">
          <w:rPr>
            <w:rStyle w:val="Hyperlink"/>
            <w:rFonts w:ascii="Verdana" w:hAnsi="Verdana"/>
            <w:sz w:val="18"/>
            <w:szCs w:val="18"/>
          </w:rPr>
          <w:t>mpantziaras</w:t>
        </w:r>
        <w:r w:rsidRPr="00760ECC">
          <w:rPr>
            <w:rStyle w:val="Hyperlink"/>
            <w:rFonts w:ascii="Verdana" w:hAnsi="Verdana"/>
            <w:sz w:val="18"/>
            <w:szCs w:val="18"/>
            <w:lang w:val="el-GR"/>
          </w:rPr>
          <w:t>@</w:t>
        </w:r>
        <w:r w:rsidRPr="00760ECC">
          <w:rPr>
            <w:rStyle w:val="Hyperlink"/>
            <w:rFonts w:ascii="Verdana" w:hAnsi="Verdana"/>
            <w:sz w:val="18"/>
            <w:szCs w:val="18"/>
          </w:rPr>
          <w:t>cystat</w:t>
        </w:r>
        <w:r w:rsidRPr="00760ECC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Pr="00760ECC">
          <w:rPr>
            <w:rStyle w:val="Hyperlink"/>
            <w:rFonts w:ascii="Verdana" w:hAnsi="Verdana"/>
            <w:sz w:val="18"/>
            <w:szCs w:val="18"/>
          </w:rPr>
          <w:t>mof</w:t>
        </w:r>
        <w:r w:rsidRPr="00760ECC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Pr="00760ECC">
          <w:rPr>
            <w:rStyle w:val="Hyperlink"/>
            <w:rFonts w:ascii="Verdana" w:hAnsi="Verdana"/>
            <w:sz w:val="18"/>
            <w:szCs w:val="18"/>
          </w:rPr>
          <w:t>gov</w:t>
        </w:r>
        <w:r w:rsidRPr="00760ECC">
          <w:rPr>
            <w:rStyle w:val="Hyperlink"/>
            <w:rFonts w:ascii="Verdana" w:hAnsi="Verdana"/>
            <w:sz w:val="18"/>
            <w:szCs w:val="18"/>
            <w:lang w:val="el-GR"/>
          </w:rPr>
          <w:t>.</w:t>
        </w:r>
        <w:r w:rsidRPr="00760ECC">
          <w:rPr>
            <w:rStyle w:val="Hyperlink"/>
            <w:rFonts w:ascii="Verdana" w:hAnsi="Verdana"/>
            <w:sz w:val="18"/>
            <w:szCs w:val="18"/>
          </w:rPr>
          <w:t>cy</w:t>
        </w:r>
      </w:hyperlink>
    </w:p>
    <w:p w14:paraId="75A3104E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4B0E76F4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788679FF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47148482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588657E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ED0EED5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418BB9B5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0DF0C2FF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7B29B738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28AEC331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641D76B0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4E5A801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465250AA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1E22F79" w14:textId="77777777" w:rsidR="001432E9" w:rsidRDefault="001432E9" w:rsidP="00760ECC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432E9" w:rsidSect="00F5731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43251" w14:textId="77777777" w:rsidR="00A94179" w:rsidRDefault="00A94179" w:rsidP="00FB398F">
      <w:r>
        <w:separator/>
      </w:r>
    </w:p>
  </w:endnote>
  <w:endnote w:type="continuationSeparator" w:id="0">
    <w:p w14:paraId="1DD174D2" w14:textId="77777777" w:rsidR="00A94179" w:rsidRDefault="00A9417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A452" w14:textId="77777777" w:rsidR="001F00CE" w:rsidRDefault="001F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A754C9">
      <w:rPr>
        <w:noProof/>
      </w:rPr>
      <w:t>2</w:t>
    </w:r>
    <w:r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1F00CE" w:rsidRPr="00233FBF" w:rsidRDefault="001F00CE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930857">
      <w:rPr>
        <w:rFonts w:ascii="Arial" w:hAnsi="Arial" w:cs="Arial"/>
        <w:i/>
        <w:iCs/>
        <w:sz w:val="16"/>
        <w:szCs w:val="16"/>
        <w:lang w:val="pt-PT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08671" w14:textId="77777777" w:rsidR="00A94179" w:rsidRDefault="00A94179" w:rsidP="00FB398F">
      <w:r>
        <w:separator/>
      </w:r>
    </w:p>
  </w:footnote>
  <w:footnote w:type="continuationSeparator" w:id="0">
    <w:p w14:paraId="7E2A9942" w14:textId="77777777" w:rsidR="00A94179" w:rsidRDefault="00A9417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2864" w14:textId="77777777" w:rsidR="001F00CE" w:rsidRDefault="001F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149433799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171342380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171342380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167021166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167021166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1F00CE" w:rsidRDefault="001F00CE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1F00CE" w:rsidRPr="00BA5A5E" w:rsidRDefault="001F00CE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1F00CE" w:rsidRDefault="001F00CE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1F00CE" w:rsidRPr="00BA5A5E" w:rsidRDefault="001F00CE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1F00CE" w:rsidRDefault="001F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7A46"/>
    <w:multiLevelType w:val="hybridMultilevel"/>
    <w:tmpl w:val="3F4A8928"/>
    <w:lvl w:ilvl="0" w:tplc="46EAF5F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5F68B6"/>
    <w:multiLevelType w:val="hybridMultilevel"/>
    <w:tmpl w:val="8474D274"/>
    <w:lvl w:ilvl="0" w:tplc="E098A98C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4E68"/>
    <w:multiLevelType w:val="hybridMultilevel"/>
    <w:tmpl w:val="247022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20B8"/>
    <w:multiLevelType w:val="hybridMultilevel"/>
    <w:tmpl w:val="B9D83E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66CE"/>
    <w:multiLevelType w:val="hybridMultilevel"/>
    <w:tmpl w:val="5B9027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40390"/>
    <w:multiLevelType w:val="hybridMultilevel"/>
    <w:tmpl w:val="A9024D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5ED3"/>
    <w:multiLevelType w:val="hybridMultilevel"/>
    <w:tmpl w:val="F6DABDA8"/>
    <w:lvl w:ilvl="0" w:tplc="E098A98C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0328D"/>
    <w:multiLevelType w:val="hybridMultilevel"/>
    <w:tmpl w:val="897241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9E623D"/>
    <w:multiLevelType w:val="hybridMultilevel"/>
    <w:tmpl w:val="27BCABE2"/>
    <w:lvl w:ilvl="0" w:tplc="E098A98C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764C5"/>
    <w:multiLevelType w:val="hybridMultilevel"/>
    <w:tmpl w:val="65D86A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762EF"/>
    <w:multiLevelType w:val="hybridMultilevel"/>
    <w:tmpl w:val="EAD0CC12"/>
    <w:lvl w:ilvl="0" w:tplc="A744652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86073">
    <w:abstractNumId w:val="12"/>
  </w:num>
  <w:num w:numId="2" w16cid:durableId="613051625">
    <w:abstractNumId w:val="2"/>
  </w:num>
  <w:num w:numId="3" w16cid:durableId="1326205964">
    <w:abstractNumId w:val="3"/>
  </w:num>
  <w:num w:numId="4" w16cid:durableId="289555985">
    <w:abstractNumId w:val="5"/>
  </w:num>
  <w:num w:numId="5" w16cid:durableId="1321273602">
    <w:abstractNumId w:val="0"/>
  </w:num>
  <w:num w:numId="6" w16cid:durableId="652833305">
    <w:abstractNumId w:val="13"/>
  </w:num>
  <w:num w:numId="7" w16cid:durableId="237787729">
    <w:abstractNumId w:val="7"/>
  </w:num>
  <w:num w:numId="8" w16cid:durableId="1037582743">
    <w:abstractNumId w:val="10"/>
  </w:num>
  <w:num w:numId="9" w16cid:durableId="1292983051">
    <w:abstractNumId w:val="14"/>
  </w:num>
  <w:num w:numId="10" w16cid:durableId="817110322">
    <w:abstractNumId w:val="4"/>
  </w:num>
  <w:num w:numId="11" w16cid:durableId="746148716">
    <w:abstractNumId w:val="6"/>
  </w:num>
  <w:num w:numId="12" w16cid:durableId="1614629665">
    <w:abstractNumId w:val="15"/>
  </w:num>
  <w:num w:numId="13" w16cid:durableId="1048922000">
    <w:abstractNumId w:val="1"/>
  </w:num>
  <w:num w:numId="14" w16cid:durableId="449324089">
    <w:abstractNumId w:val="11"/>
  </w:num>
  <w:num w:numId="15" w16cid:durableId="379133604">
    <w:abstractNumId w:val="9"/>
  </w:num>
  <w:num w:numId="16" w16cid:durableId="1327250604">
    <w:abstractNumId w:val="16"/>
  </w:num>
  <w:num w:numId="17" w16cid:durableId="1235625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57E6"/>
    <w:rsid w:val="00007C1E"/>
    <w:rsid w:val="00013E40"/>
    <w:rsid w:val="000161B1"/>
    <w:rsid w:val="00020D24"/>
    <w:rsid w:val="00025A39"/>
    <w:rsid w:val="00027853"/>
    <w:rsid w:val="00030D3C"/>
    <w:rsid w:val="00030E18"/>
    <w:rsid w:val="00031D32"/>
    <w:rsid w:val="0003603D"/>
    <w:rsid w:val="00036FD7"/>
    <w:rsid w:val="00040CB8"/>
    <w:rsid w:val="000419EF"/>
    <w:rsid w:val="00045088"/>
    <w:rsid w:val="00045A06"/>
    <w:rsid w:val="00050391"/>
    <w:rsid w:val="00054AE7"/>
    <w:rsid w:val="00055291"/>
    <w:rsid w:val="000563D3"/>
    <w:rsid w:val="00057E44"/>
    <w:rsid w:val="00061299"/>
    <w:rsid w:val="00070576"/>
    <w:rsid w:val="00073F3B"/>
    <w:rsid w:val="000752BB"/>
    <w:rsid w:val="00081ADF"/>
    <w:rsid w:val="000843D4"/>
    <w:rsid w:val="00084A02"/>
    <w:rsid w:val="00084BF7"/>
    <w:rsid w:val="000870E9"/>
    <w:rsid w:val="000932CF"/>
    <w:rsid w:val="0009464B"/>
    <w:rsid w:val="00096ED8"/>
    <w:rsid w:val="000971D3"/>
    <w:rsid w:val="000A1A88"/>
    <w:rsid w:val="000A1CBA"/>
    <w:rsid w:val="000A2B5C"/>
    <w:rsid w:val="000A351B"/>
    <w:rsid w:val="000A3601"/>
    <w:rsid w:val="000A6513"/>
    <w:rsid w:val="000A6FA8"/>
    <w:rsid w:val="000A75CF"/>
    <w:rsid w:val="000B3052"/>
    <w:rsid w:val="000C1070"/>
    <w:rsid w:val="000C4E72"/>
    <w:rsid w:val="000D1E7A"/>
    <w:rsid w:val="000D29C5"/>
    <w:rsid w:val="000D572B"/>
    <w:rsid w:val="000E24B1"/>
    <w:rsid w:val="000E2735"/>
    <w:rsid w:val="000E32D6"/>
    <w:rsid w:val="000E4CB0"/>
    <w:rsid w:val="000E4E34"/>
    <w:rsid w:val="000E57F2"/>
    <w:rsid w:val="000E72A7"/>
    <w:rsid w:val="000F0994"/>
    <w:rsid w:val="000F1162"/>
    <w:rsid w:val="000F3467"/>
    <w:rsid w:val="000F38DE"/>
    <w:rsid w:val="000F532A"/>
    <w:rsid w:val="000F5D6C"/>
    <w:rsid w:val="00102738"/>
    <w:rsid w:val="00106852"/>
    <w:rsid w:val="00107E95"/>
    <w:rsid w:val="00110D15"/>
    <w:rsid w:val="00110F9D"/>
    <w:rsid w:val="00112316"/>
    <w:rsid w:val="00114A67"/>
    <w:rsid w:val="001165EE"/>
    <w:rsid w:val="00117E53"/>
    <w:rsid w:val="001253B6"/>
    <w:rsid w:val="001262C3"/>
    <w:rsid w:val="00127320"/>
    <w:rsid w:val="00127456"/>
    <w:rsid w:val="001312D8"/>
    <w:rsid w:val="0013137B"/>
    <w:rsid w:val="001354B3"/>
    <w:rsid w:val="001432E9"/>
    <w:rsid w:val="00145B3C"/>
    <w:rsid w:val="00150FFC"/>
    <w:rsid w:val="0015118B"/>
    <w:rsid w:val="001519CE"/>
    <w:rsid w:val="00161CF3"/>
    <w:rsid w:val="00161EA2"/>
    <w:rsid w:val="00162C00"/>
    <w:rsid w:val="001639EF"/>
    <w:rsid w:val="0016589F"/>
    <w:rsid w:val="00165B8A"/>
    <w:rsid w:val="00167A5D"/>
    <w:rsid w:val="001712CF"/>
    <w:rsid w:val="001763B8"/>
    <w:rsid w:val="00176F5C"/>
    <w:rsid w:val="0017769A"/>
    <w:rsid w:val="00183DFC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A5DF7"/>
    <w:rsid w:val="001B2C39"/>
    <w:rsid w:val="001B3675"/>
    <w:rsid w:val="001B5AE2"/>
    <w:rsid w:val="001B5E10"/>
    <w:rsid w:val="001B6AB3"/>
    <w:rsid w:val="001B73D5"/>
    <w:rsid w:val="001C0681"/>
    <w:rsid w:val="001C62B3"/>
    <w:rsid w:val="001C6E77"/>
    <w:rsid w:val="001C7C8C"/>
    <w:rsid w:val="001D0D6A"/>
    <w:rsid w:val="001D20A4"/>
    <w:rsid w:val="001E00D1"/>
    <w:rsid w:val="001E0E58"/>
    <w:rsid w:val="001E14F3"/>
    <w:rsid w:val="001E15ED"/>
    <w:rsid w:val="001E1B23"/>
    <w:rsid w:val="001E61AA"/>
    <w:rsid w:val="001F00CE"/>
    <w:rsid w:val="001F32D9"/>
    <w:rsid w:val="0020309E"/>
    <w:rsid w:val="00210B58"/>
    <w:rsid w:val="002131E5"/>
    <w:rsid w:val="00220652"/>
    <w:rsid w:val="00220DC4"/>
    <w:rsid w:val="00222423"/>
    <w:rsid w:val="002230AA"/>
    <w:rsid w:val="0022360E"/>
    <w:rsid w:val="00225B28"/>
    <w:rsid w:val="00226891"/>
    <w:rsid w:val="00227661"/>
    <w:rsid w:val="00230D9B"/>
    <w:rsid w:val="002313AC"/>
    <w:rsid w:val="00231B72"/>
    <w:rsid w:val="00235FB2"/>
    <w:rsid w:val="00237BC1"/>
    <w:rsid w:val="00240D19"/>
    <w:rsid w:val="0024139D"/>
    <w:rsid w:val="00242A0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8F0"/>
    <w:rsid w:val="00264F04"/>
    <w:rsid w:val="00267554"/>
    <w:rsid w:val="00270BEE"/>
    <w:rsid w:val="002758BE"/>
    <w:rsid w:val="002769F4"/>
    <w:rsid w:val="0028338F"/>
    <w:rsid w:val="002915C4"/>
    <w:rsid w:val="00297271"/>
    <w:rsid w:val="00297E6B"/>
    <w:rsid w:val="002A1D1C"/>
    <w:rsid w:val="002A34DC"/>
    <w:rsid w:val="002A3D2F"/>
    <w:rsid w:val="002A4D64"/>
    <w:rsid w:val="002A5579"/>
    <w:rsid w:val="002A7E3D"/>
    <w:rsid w:val="002B4969"/>
    <w:rsid w:val="002B6554"/>
    <w:rsid w:val="002C342C"/>
    <w:rsid w:val="002D05F0"/>
    <w:rsid w:val="002D2829"/>
    <w:rsid w:val="002D7D4A"/>
    <w:rsid w:val="002E077A"/>
    <w:rsid w:val="002E331C"/>
    <w:rsid w:val="002E3846"/>
    <w:rsid w:val="002E3F78"/>
    <w:rsid w:val="002F400C"/>
    <w:rsid w:val="002F4314"/>
    <w:rsid w:val="002F4D76"/>
    <w:rsid w:val="002F6D26"/>
    <w:rsid w:val="002F70CF"/>
    <w:rsid w:val="002F7B84"/>
    <w:rsid w:val="00300954"/>
    <w:rsid w:val="0030231E"/>
    <w:rsid w:val="003042C4"/>
    <w:rsid w:val="00304CB4"/>
    <w:rsid w:val="00313F37"/>
    <w:rsid w:val="003141D0"/>
    <w:rsid w:val="003168C1"/>
    <w:rsid w:val="00322314"/>
    <w:rsid w:val="00322FBE"/>
    <w:rsid w:val="00325632"/>
    <w:rsid w:val="00327549"/>
    <w:rsid w:val="003342A5"/>
    <w:rsid w:val="00334616"/>
    <w:rsid w:val="00335C01"/>
    <w:rsid w:val="00336C36"/>
    <w:rsid w:val="00343815"/>
    <w:rsid w:val="003440F8"/>
    <w:rsid w:val="00350FC8"/>
    <w:rsid w:val="003522BB"/>
    <w:rsid w:val="00352F6C"/>
    <w:rsid w:val="003556EA"/>
    <w:rsid w:val="0037286D"/>
    <w:rsid w:val="00373B4C"/>
    <w:rsid w:val="003746A3"/>
    <w:rsid w:val="00381F9D"/>
    <w:rsid w:val="00383AB7"/>
    <w:rsid w:val="00385E2A"/>
    <w:rsid w:val="00385ED5"/>
    <w:rsid w:val="003864BE"/>
    <w:rsid w:val="00386FC7"/>
    <w:rsid w:val="00390A32"/>
    <w:rsid w:val="00395974"/>
    <w:rsid w:val="00397AB4"/>
    <w:rsid w:val="003A1E91"/>
    <w:rsid w:val="003A1F32"/>
    <w:rsid w:val="003A40F2"/>
    <w:rsid w:val="003A50D1"/>
    <w:rsid w:val="003B0BAC"/>
    <w:rsid w:val="003B196D"/>
    <w:rsid w:val="003B2710"/>
    <w:rsid w:val="003B4608"/>
    <w:rsid w:val="003B4E32"/>
    <w:rsid w:val="003B6218"/>
    <w:rsid w:val="003C2392"/>
    <w:rsid w:val="003C5174"/>
    <w:rsid w:val="003C5240"/>
    <w:rsid w:val="003C76E6"/>
    <w:rsid w:val="003D0C49"/>
    <w:rsid w:val="003D14E0"/>
    <w:rsid w:val="003D1EA5"/>
    <w:rsid w:val="003D3348"/>
    <w:rsid w:val="003D4E63"/>
    <w:rsid w:val="003D579F"/>
    <w:rsid w:val="003D6822"/>
    <w:rsid w:val="003D724C"/>
    <w:rsid w:val="003E0CE2"/>
    <w:rsid w:val="003E2257"/>
    <w:rsid w:val="003F038D"/>
    <w:rsid w:val="003F49E4"/>
    <w:rsid w:val="003F4D2F"/>
    <w:rsid w:val="003F5E32"/>
    <w:rsid w:val="003F75F6"/>
    <w:rsid w:val="00401E52"/>
    <w:rsid w:val="00404670"/>
    <w:rsid w:val="00413481"/>
    <w:rsid w:val="00414CA0"/>
    <w:rsid w:val="00422F54"/>
    <w:rsid w:val="00426321"/>
    <w:rsid w:val="00426EAC"/>
    <w:rsid w:val="00430704"/>
    <w:rsid w:val="00431516"/>
    <w:rsid w:val="004361B3"/>
    <w:rsid w:val="0044249D"/>
    <w:rsid w:val="0044379F"/>
    <w:rsid w:val="00444FCC"/>
    <w:rsid w:val="00446FB1"/>
    <w:rsid w:val="00452753"/>
    <w:rsid w:val="00457978"/>
    <w:rsid w:val="0046078F"/>
    <w:rsid w:val="00460B0C"/>
    <w:rsid w:val="00461A4F"/>
    <w:rsid w:val="00463214"/>
    <w:rsid w:val="0046434D"/>
    <w:rsid w:val="004652B4"/>
    <w:rsid w:val="004656FA"/>
    <w:rsid w:val="00471D77"/>
    <w:rsid w:val="00472B83"/>
    <w:rsid w:val="00475587"/>
    <w:rsid w:val="00476972"/>
    <w:rsid w:val="00480BC2"/>
    <w:rsid w:val="004845C3"/>
    <w:rsid w:val="004910FC"/>
    <w:rsid w:val="004929C2"/>
    <w:rsid w:val="00493DB9"/>
    <w:rsid w:val="00493FDD"/>
    <w:rsid w:val="00495271"/>
    <w:rsid w:val="0049586B"/>
    <w:rsid w:val="004A3E44"/>
    <w:rsid w:val="004B2018"/>
    <w:rsid w:val="004B2896"/>
    <w:rsid w:val="004B38E9"/>
    <w:rsid w:val="004B3FBA"/>
    <w:rsid w:val="004B6599"/>
    <w:rsid w:val="004C18AE"/>
    <w:rsid w:val="004C4C37"/>
    <w:rsid w:val="004C59F4"/>
    <w:rsid w:val="004C6A35"/>
    <w:rsid w:val="004C6CA7"/>
    <w:rsid w:val="004D4357"/>
    <w:rsid w:val="004D4950"/>
    <w:rsid w:val="004D7172"/>
    <w:rsid w:val="004D79B4"/>
    <w:rsid w:val="004E2393"/>
    <w:rsid w:val="004E3745"/>
    <w:rsid w:val="004E42BE"/>
    <w:rsid w:val="004E4F42"/>
    <w:rsid w:val="004E63D5"/>
    <w:rsid w:val="004F03FD"/>
    <w:rsid w:val="004F42E5"/>
    <w:rsid w:val="004F52F0"/>
    <w:rsid w:val="004F5C1B"/>
    <w:rsid w:val="004F6176"/>
    <w:rsid w:val="004F6250"/>
    <w:rsid w:val="004F677C"/>
    <w:rsid w:val="004F6D8F"/>
    <w:rsid w:val="00505503"/>
    <w:rsid w:val="005103C3"/>
    <w:rsid w:val="00510F8F"/>
    <w:rsid w:val="0051107B"/>
    <w:rsid w:val="00512F9C"/>
    <w:rsid w:val="0051358C"/>
    <w:rsid w:val="005242A8"/>
    <w:rsid w:val="005276C7"/>
    <w:rsid w:val="00527CDB"/>
    <w:rsid w:val="00533FDF"/>
    <w:rsid w:val="005341C9"/>
    <w:rsid w:val="005369CA"/>
    <w:rsid w:val="00536DE9"/>
    <w:rsid w:val="00540971"/>
    <w:rsid w:val="00541E08"/>
    <w:rsid w:val="005465BF"/>
    <w:rsid w:val="00554FE0"/>
    <w:rsid w:val="0055789A"/>
    <w:rsid w:val="00560952"/>
    <w:rsid w:val="0056108A"/>
    <w:rsid w:val="005652D1"/>
    <w:rsid w:val="005660A0"/>
    <w:rsid w:val="00566A4F"/>
    <w:rsid w:val="00567D64"/>
    <w:rsid w:val="005747D9"/>
    <w:rsid w:val="00577548"/>
    <w:rsid w:val="00591E14"/>
    <w:rsid w:val="005970DD"/>
    <w:rsid w:val="005978D4"/>
    <w:rsid w:val="005A23FA"/>
    <w:rsid w:val="005A6805"/>
    <w:rsid w:val="005B2A67"/>
    <w:rsid w:val="005B3DCD"/>
    <w:rsid w:val="005B4AD4"/>
    <w:rsid w:val="005C2798"/>
    <w:rsid w:val="005C36C3"/>
    <w:rsid w:val="005C56EE"/>
    <w:rsid w:val="005C709D"/>
    <w:rsid w:val="005D1714"/>
    <w:rsid w:val="005D3BA9"/>
    <w:rsid w:val="005D7638"/>
    <w:rsid w:val="005E0189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0B2E"/>
    <w:rsid w:val="0062327B"/>
    <w:rsid w:val="00627CAB"/>
    <w:rsid w:val="00632777"/>
    <w:rsid w:val="00633750"/>
    <w:rsid w:val="006337B6"/>
    <w:rsid w:val="00634491"/>
    <w:rsid w:val="0063679C"/>
    <w:rsid w:val="00637055"/>
    <w:rsid w:val="00641D59"/>
    <w:rsid w:val="00644507"/>
    <w:rsid w:val="00646880"/>
    <w:rsid w:val="00647D2A"/>
    <w:rsid w:val="006537BB"/>
    <w:rsid w:val="00653C89"/>
    <w:rsid w:val="0065643E"/>
    <w:rsid w:val="00666D80"/>
    <w:rsid w:val="00667E07"/>
    <w:rsid w:val="00671533"/>
    <w:rsid w:val="00671785"/>
    <w:rsid w:val="00672BA9"/>
    <w:rsid w:val="00672E24"/>
    <w:rsid w:val="00673005"/>
    <w:rsid w:val="006804BE"/>
    <w:rsid w:val="0068434A"/>
    <w:rsid w:val="0069008E"/>
    <w:rsid w:val="0069045F"/>
    <w:rsid w:val="0069087E"/>
    <w:rsid w:val="006925C4"/>
    <w:rsid w:val="006A02A1"/>
    <w:rsid w:val="006A02B7"/>
    <w:rsid w:val="006A05B6"/>
    <w:rsid w:val="006A0CAB"/>
    <w:rsid w:val="006A7019"/>
    <w:rsid w:val="006B46D5"/>
    <w:rsid w:val="006B46F4"/>
    <w:rsid w:val="006C026F"/>
    <w:rsid w:val="006C1127"/>
    <w:rsid w:val="006C7AF3"/>
    <w:rsid w:val="006D0B9D"/>
    <w:rsid w:val="006D6548"/>
    <w:rsid w:val="006D7B3B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2E3E"/>
    <w:rsid w:val="006F3855"/>
    <w:rsid w:val="00702ECB"/>
    <w:rsid w:val="00702F26"/>
    <w:rsid w:val="0070313E"/>
    <w:rsid w:val="0070356E"/>
    <w:rsid w:val="00703799"/>
    <w:rsid w:val="00705C5C"/>
    <w:rsid w:val="00706F55"/>
    <w:rsid w:val="00707BEE"/>
    <w:rsid w:val="00711475"/>
    <w:rsid w:val="00716C7D"/>
    <w:rsid w:val="0072548A"/>
    <w:rsid w:val="007268C5"/>
    <w:rsid w:val="007277A6"/>
    <w:rsid w:val="00733CC4"/>
    <w:rsid w:val="00736686"/>
    <w:rsid w:val="007437AB"/>
    <w:rsid w:val="007445D7"/>
    <w:rsid w:val="00745425"/>
    <w:rsid w:val="00745978"/>
    <w:rsid w:val="00747AD1"/>
    <w:rsid w:val="007534F8"/>
    <w:rsid w:val="007545AD"/>
    <w:rsid w:val="00760ECC"/>
    <w:rsid w:val="00761E3A"/>
    <w:rsid w:val="00763722"/>
    <w:rsid w:val="0076427F"/>
    <w:rsid w:val="00764BC1"/>
    <w:rsid w:val="00770869"/>
    <w:rsid w:val="0077130E"/>
    <w:rsid w:val="0077182C"/>
    <w:rsid w:val="007738AA"/>
    <w:rsid w:val="00780A62"/>
    <w:rsid w:val="00781F47"/>
    <w:rsid w:val="00783241"/>
    <w:rsid w:val="00783CB9"/>
    <w:rsid w:val="00784BDC"/>
    <w:rsid w:val="00785892"/>
    <w:rsid w:val="00787911"/>
    <w:rsid w:val="00792F28"/>
    <w:rsid w:val="007935CA"/>
    <w:rsid w:val="0079543F"/>
    <w:rsid w:val="00795880"/>
    <w:rsid w:val="0079591A"/>
    <w:rsid w:val="00796612"/>
    <w:rsid w:val="007A4367"/>
    <w:rsid w:val="007A7D66"/>
    <w:rsid w:val="007A7EBF"/>
    <w:rsid w:val="007B0867"/>
    <w:rsid w:val="007B1567"/>
    <w:rsid w:val="007B1AC1"/>
    <w:rsid w:val="007B5A08"/>
    <w:rsid w:val="007B693D"/>
    <w:rsid w:val="007B7C02"/>
    <w:rsid w:val="007C4CDC"/>
    <w:rsid w:val="007C73A8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7F57E9"/>
    <w:rsid w:val="0080014B"/>
    <w:rsid w:val="0080066A"/>
    <w:rsid w:val="00801793"/>
    <w:rsid w:val="00803642"/>
    <w:rsid w:val="00806EA2"/>
    <w:rsid w:val="00812A2B"/>
    <w:rsid w:val="00814A4C"/>
    <w:rsid w:val="008212D3"/>
    <w:rsid w:val="00831AAB"/>
    <w:rsid w:val="00832E54"/>
    <w:rsid w:val="00833BCD"/>
    <w:rsid w:val="00834B82"/>
    <w:rsid w:val="0083574E"/>
    <w:rsid w:val="0083640C"/>
    <w:rsid w:val="008374E3"/>
    <w:rsid w:val="0084157B"/>
    <w:rsid w:val="00842BFB"/>
    <w:rsid w:val="008460C7"/>
    <w:rsid w:val="00846B85"/>
    <w:rsid w:val="00847DC3"/>
    <w:rsid w:val="00847F49"/>
    <w:rsid w:val="00852193"/>
    <w:rsid w:val="008535C5"/>
    <w:rsid w:val="00853765"/>
    <w:rsid w:val="0085516F"/>
    <w:rsid w:val="00855B8D"/>
    <w:rsid w:val="00866873"/>
    <w:rsid w:val="00867186"/>
    <w:rsid w:val="00867632"/>
    <w:rsid w:val="00870AF6"/>
    <w:rsid w:val="00877452"/>
    <w:rsid w:val="00877493"/>
    <w:rsid w:val="00881268"/>
    <w:rsid w:val="0088394A"/>
    <w:rsid w:val="00885DDF"/>
    <w:rsid w:val="008860BD"/>
    <w:rsid w:val="008861A8"/>
    <w:rsid w:val="00887399"/>
    <w:rsid w:val="0088779E"/>
    <w:rsid w:val="008912AF"/>
    <w:rsid w:val="00892114"/>
    <w:rsid w:val="00892CB9"/>
    <w:rsid w:val="008935CB"/>
    <w:rsid w:val="0089724C"/>
    <w:rsid w:val="008A036B"/>
    <w:rsid w:val="008A4B5B"/>
    <w:rsid w:val="008A7B9D"/>
    <w:rsid w:val="008B0E7E"/>
    <w:rsid w:val="008B6546"/>
    <w:rsid w:val="008B65BD"/>
    <w:rsid w:val="008B7900"/>
    <w:rsid w:val="008C02D3"/>
    <w:rsid w:val="008C247E"/>
    <w:rsid w:val="008C4711"/>
    <w:rsid w:val="008C71BF"/>
    <w:rsid w:val="008C7FE0"/>
    <w:rsid w:val="008D5717"/>
    <w:rsid w:val="008E223D"/>
    <w:rsid w:val="008E44A9"/>
    <w:rsid w:val="008E6B4D"/>
    <w:rsid w:val="008E6BFF"/>
    <w:rsid w:val="008F1750"/>
    <w:rsid w:val="008F1E60"/>
    <w:rsid w:val="008F21AF"/>
    <w:rsid w:val="008F2400"/>
    <w:rsid w:val="008F382D"/>
    <w:rsid w:val="008F47AD"/>
    <w:rsid w:val="008F60DC"/>
    <w:rsid w:val="008F61BA"/>
    <w:rsid w:val="008F6E3C"/>
    <w:rsid w:val="008F7C55"/>
    <w:rsid w:val="0090733B"/>
    <w:rsid w:val="00912120"/>
    <w:rsid w:val="00914A23"/>
    <w:rsid w:val="00915D85"/>
    <w:rsid w:val="00930754"/>
    <w:rsid w:val="00930857"/>
    <w:rsid w:val="00934F68"/>
    <w:rsid w:val="009355AC"/>
    <w:rsid w:val="00935F38"/>
    <w:rsid w:val="00937586"/>
    <w:rsid w:val="00943DD4"/>
    <w:rsid w:val="00947889"/>
    <w:rsid w:val="009478BD"/>
    <w:rsid w:val="00960E98"/>
    <w:rsid w:val="009625C7"/>
    <w:rsid w:val="00963A82"/>
    <w:rsid w:val="00972912"/>
    <w:rsid w:val="00973BFC"/>
    <w:rsid w:val="00976D1F"/>
    <w:rsid w:val="00981C81"/>
    <w:rsid w:val="00990E08"/>
    <w:rsid w:val="009A2D24"/>
    <w:rsid w:val="009A44C9"/>
    <w:rsid w:val="009A456C"/>
    <w:rsid w:val="009A64BB"/>
    <w:rsid w:val="009B00E0"/>
    <w:rsid w:val="009B292A"/>
    <w:rsid w:val="009B5485"/>
    <w:rsid w:val="009B6FD3"/>
    <w:rsid w:val="009B76D5"/>
    <w:rsid w:val="009C165D"/>
    <w:rsid w:val="009C3CEA"/>
    <w:rsid w:val="009C3CFD"/>
    <w:rsid w:val="009C583D"/>
    <w:rsid w:val="009C680A"/>
    <w:rsid w:val="009D24C9"/>
    <w:rsid w:val="009D2611"/>
    <w:rsid w:val="009D79D2"/>
    <w:rsid w:val="009E247C"/>
    <w:rsid w:val="009E2BDF"/>
    <w:rsid w:val="009E31BA"/>
    <w:rsid w:val="009E6E0A"/>
    <w:rsid w:val="009F0528"/>
    <w:rsid w:val="009F0806"/>
    <w:rsid w:val="009F233B"/>
    <w:rsid w:val="00A03423"/>
    <w:rsid w:val="00A05D16"/>
    <w:rsid w:val="00A0659F"/>
    <w:rsid w:val="00A068F7"/>
    <w:rsid w:val="00A06D77"/>
    <w:rsid w:val="00A079BA"/>
    <w:rsid w:val="00A110B6"/>
    <w:rsid w:val="00A14E8C"/>
    <w:rsid w:val="00A20C70"/>
    <w:rsid w:val="00A320F2"/>
    <w:rsid w:val="00A32EA8"/>
    <w:rsid w:val="00A3312B"/>
    <w:rsid w:val="00A33875"/>
    <w:rsid w:val="00A360A1"/>
    <w:rsid w:val="00A402B3"/>
    <w:rsid w:val="00A51B35"/>
    <w:rsid w:val="00A5249A"/>
    <w:rsid w:val="00A52E31"/>
    <w:rsid w:val="00A53A8F"/>
    <w:rsid w:val="00A544B7"/>
    <w:rsid w:val="00A618CF"/>
    <w:rsid w:val="00A62770"/>
    <w:rsid w:val="00A62EEB"/>
    <w:rsid w:val="00A62F95"/>
    <w:rsid w:val="00A660FF"/>
    <w:rsid w:val="00A67364"/>
    <w:rsid w:val="00A70D1D"/>
    <w:rsid w:val="00A72464"/>
    <w:rsid w:val="00A72E51"/>
    <w:rsid w:val="00A73395"/>
    <w:rsid w:val="00A754C9"/>
    <w:rsid w:val="00A771E3"/>
    <w:rsid w:val="00A82B4C"/>
    <w:rsid w:val="00A862CF"/>
    <w:rsid w:val="00A93A4C"/>
    <w:rsid w:val="00A94179"/>
    <w:rsid w:val="00A94D5D"/>
    <w:rsid w:val="00AA1D65"/>
    <w:rsid w:val="00AA1D9B"/>
    <w:rsid w:val="00AA2543"/>
    <w:rsid w:val="00AA3804"/>
    <w:rsid w:val="00AA55C2"/>
    <w:rsid w:val="00AB0ACA"/>
    <w:rsid w:val="00AB1D41"/>
    <w:rsid w:val="00AB25ED"/>
    <w:rsid w:val="00AB35AD"/>
    <w:rsid w:val="00AC0D1E"/>
    <w:rsid w:val="00AC4470"/>
    <w:rsid w:val="00AC4505"/>
    <w:rsid w:val="00AC4B12"/>
    <w:rsid w:val="00AC5E9A"/>
    <w:rsid w:val="00AC704B"/>
    <w:rsid w:val="00AD075A"/>
    <w:rsid w:val="00AD0F23"/>
    <w:rsid w:val="00AD553E"/>
    <w:rsid w:val="00AD5848"/>
    <w:rsid w:val="00AE5ADA"/>
    <w:rsid w:val="00AF160F"/>
    <w:rsid w:val="00AF2B4C"/>
    <w:rsid w:val="00AF6145"/>
    <w:rsid w:val="00B00579"/>
    <w:rsid w:val="00B01386"/>
    <w:rsid w:val="00B01915"/>
    <w:rsid w:val="00B01BB5"/>
    <w:rsid w:val="00B025C3"/>
    <w:rsid w:val="00B026CC"/>
    <w:rsid w:val="00B04AF4"/>
    <w:rsid w:val="00B05214"/>
    <w:rsid w:val="00B123B3"/>
    <w:rsid w:val="00B214F6"/>
    <w:rsid w:val="00B27A63"/>
    <w:rsid w:val="00B30D97"/>
    <w:rsid w:val="00B31074"/>
    <w:rsid w:val="00B3181A"/>
    <w:rsid w:val="00B35A7C"/>
    <w:rsid w:val="00B44ECD"/>
    <w:rsid w:val="00B450D1"/>
    <w:rsid w:val="00B47216"/>
    <w:rsid w:val="00B53D47"/>
    <w:rsid w:val="00B54A25"/>
    <w:rsid w:val="00B618C3"/>
    <w:rsid w:val="00B630D1"/>
    <w:rsid w:val="00B63652"/>
    <w:rsid w:val="00B668B0"/>
    <w:rsid w:val="00B70F5C"/>
    <w:rsid w:val="00B71873"/>
    <w:rsid w:val="00B73C64"/>
    <w:rsid w:val="00B73DAA"/>
    <w:rsid w:val="00B75AE5"/>
    <w:rsid w:val="00B800C0"/>
    <w:rsid w:val="00B8132B"/>
    <w:rsid w:val="00B84C5A"/>
    <w:rsid w:val="00B85084"/>
    <w:rsid w:val="00B858F5"/>
    <w:rsid w:val="00B86B56"/>
    <w:rsid w:val="00B90040"/>
    <w:rsid w:val="00B93668"/>
    <w:rsid w:val="00B965A1"/>
    <w:rsid w:val="00B97E16"/>
    <w:rsid w:val="00BA68C6"/>
    <w:rsid w:val="00BB12F1"/>
    <w:rsid w:val="00BB276E"/>
    <w:rsid w:val="00BB28E0"/>
    <w:rsid w:val="00BB3FEE"/>
    <w:rsid w:val="00BB5EB0"/>
    <w:rsid w:val="00BC245A"/>
    <w:rsid w:val="00BC2762"/>
    <w:rsid w:val="00BC3B31"/>
    <w:rsid w:val="00BD16FA"/>
    <w:rsid w:val="00BD41C3"/>
    <w:rsid w:val="00BD488B"/>
    <w:rsid w:val="00BD7CCC"/>
    <w:rsid w:val="00BE002A"/>
    <w:rsid w:val="00BE0283"/>
    <w:rsid w:val="00BE1AE8"/>
    <w:rsid w:val="00BE1BC9"/>
    <w:rsid w:val="00BE1F16"/>
    <w:rsid w:val="00BE3249"/>
    <w:rsid w:val="00BE5CDA"/>
    <w:rsid w:val="00BE608F"/>
    <w:rsid w:val="00BF23BB"/>
    <w:rsid w:val="00BF33DD"/>
    <w:rsid w:val="00BF5755"/>
    <w:rsid w:val="00BF684B"/>
    <w:rsid w:val="00C0058A"/>
    <w:rsid w:val="00C016F3"/>
    <w:rsid w:val="00C01F87"/>
    <w:rsid w:val="00C11B0A"/>
    <w:rsid w:val="00C15193"/>
    <w:rsid w:val="00C15609"/>
    <w:rsid w:val="00C15F6A"/>
    <w:rsid w:val="00C171C9"/>
    <w:rsid w:val="00C21002"/>
    <w:rsid w:val="00C23EA7"/>
    <w:rsid w:val="00C256F3"/>
    <w:rsid w:val="00C26F43"/>
    <w:rsid w:val="00C270A2"/>
    <w:rsid w:val="00C315B5"/>
    <w:rsid w:val="00C31A8F"/>
    <w:rsid w:val="00C33970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67A59"/>
    <w:rsid w:val="00C70FD1"/>
    <w:rsid w:val="00C72B76"/>
    <w:rsid w:val="00C733AA"/>
    <w:rsid w:val="00C73EA1"/>
    <w:rsid w:val="00C742C8"/>
    <w:rsid w:val="00C763CD"/>
    <w:rsid w:val="00C768CC"/>
    <w:rsid w:val="00C76A5C"/>
    <w:rsid w:val="00C81814"/>
    <w:rsid w:val="00C83027"/>
    <w:rsid w:val="00C83E19"/>
    <w:rsid w:val="00C84B8A"/>
    <w:rsid w:val="00C85E65"/>
    <w:rsid w:val="00C8734D"/>
    <w:rsid w:val="00C87CA1"/>
    <w:rsid w:val="00C911B4"/>
    <w:rsid w:val="00C91B3B"/>
    <w:rsid w:val="00C94262"/>
    <w:rsid w:val="00C976E1"/>
    <w:rsid w:val="00CA0FD5"/>
    <w:rsid w:val="00CA148E"/>
    <w:rsid w:val="00CA1860"/>
    <w:rsid w:val="00CA3A9A"/>
    <w:rsid w:val="00CB6BC1"/>
    <w:rsid w:val="00CB7021"/>
    <w:rsid w:val="00CD2915"/>
    <w:rsid w:val="00CD3294"/>
    <w:rsid w:val="00CD4524"/>
    <w:rsid w:val="00CD784D"/>
    <w:rsid w:val="00CE087B"/>
    <w:rsid w:val="00CE2801"/>
    <w:rsid w:val="00CF3A1C"/>
    <w:rsid w:val="00CF40F8"/>
    <w:rsid w:val="00CF5C4D"/>
    <w:rsid w:val="00D008DA"/>
    <w:rsid w:val="00D013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779B"/>
    <w:rsid w:val="00D31A6F"/>
    <w:rsid w:val="00D3245D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2869"/>
    <w:rsid w:val="00D76249"/>
    <w:rsid w:val="00DA0293"/>
    <w:rsid w:val="00DA7D12"/>
    <w:rsid w:val="00DC23CF"/>
    <w:rsid w:val="00DC2C35"/>
    <w:rsid w:val="00DC6562"/>
    <w:rsid w:val="00DD0D06"/>
    <w:rsid w:val="00DD7C97"/>
    <w:rsid w:val="00DE130D"/>
    <w:rsid w:val="00DE24CF"/>
    <w:rsid w:val="00DE2515"/>
    <w:rsid w:val="00DE407C"/>
    <w:rsid w:val="00DE5032"/>
    <w:rsid w:val="00DE67CB"/>
    <w:rsid w:val="00DE7C7D"/>
    <w:rsid w:val="00DE7F54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4D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854"/>
    <w:rsid w:val="00E52CF9"/>
    <w:rsid w:val="00E60C97"/>
    <w:rsid w:val="00E622F0"/>
    <w:rsid w:val="00E63F34"/>
    <w:rsid w:val="00E63FEA"/>
    <w:rsid w:val="00E65762"/>
    <w:rsid w:val="00E6715A"/>
    <w:rsid w:val="00E75DC9"/>
    <w:rsid w:val="00E76B81"/>
    <w:rsid w:val="00E81610"/>
    <w:rsid w:val="00E84910"/>
    <w:rsid w:val="00E85B28"/>
    <w:rsid w:val="00E91976"/>
    <w:rsid w:val="00E947A6"/>
    <w:rsid w:val="00E97FC7"/>
    <w:rsid w:val="00EA0214"/>
    <w:rsid w:val="00EA0690"/>
    <w:rsid w:val="00EA3956"/>
    <w:rsid w:val="00EA655E"/>
    <w:rsid w:val="00EA7136"/>
    <w:rsid w:val="00EB325A"/>
    <w:rsid w:val="00EB55F7"/>
    <w:rsid w:val="00EC02A5"/>
    <w:rsid w:val="00EC176B"/>
    <w:rsid w:val="00EC33CD"/>
    <w:rsid w:val="00EC5BE5"/>
    <w:rsid w:val="00ED2650"/>
    <w:rsid w:val="00ED333E"/>
    <w:rsid w:val="00ED721A"/>
    <w:rsid w:val="00EE0F0C"/>
    <w:rsid w:val="00EE15B6"/>
    <w:rsid w:val="00EE393D"/>
    <w:rsid w:val="00EE5797"/>
    <w:rsid w:val="00EE65A7"/>
    <w:rsid w:val="00EF01CF"/>
    <w:rsid w:val="00EF1CD6"/>
    <w:rsid w:val="00EF6A47"/>
    <w:rsid w:val="00EF7AF9"/>
    <w:rsid w:val="00F00952"/>
    <w:rsid w:val="00F01495"/>
    <w:rsid w:val="00F02CF8"/>
    <w:rsid w:val="00F10138"/>
    <w:rsid w:val="00F12F0F"/>
    <w:rsid w:val="00F13F92"/>
    <w:rsid w:val="00F22ECA"/>
    <w:rsid w:val="00F240E8"/>
    <w:rsid w:val="00F244FA"/>
    <w:rsid w:val="00F366A2"/>
    <w:rsid w:val="00F44D09"/>
    <w:rsid w:val="00F44F43"/>
    <w:rsid w:val="00F450E1"/>
    <w:rsid w:val="00F50DF4"/>
    <w:rsid w:val="00F555F0"/>
    <w:rsid w:val="00F5641C"/>
    <w:rsid w:val="00F5731F"/>
    <w:rsid w:val="00F57AFE"/>
    <w:rsid w:val="00F6278E"/>
    <w:rsid w:val="00F63C41"/>
    <w:rsid w:val="00F63E96"/>
    <w:rsid w:val="00F666E2"/>
    <w:rsid w:val="00F701E3"/>
    <w:rsid w:val="00F71008"/>
    <w:rsid w:val="00F71F8C"/>
    <w:rsid w:val="00F86AD4"/>
    <w:rsid w:val="00F933E1"/>
    <w:rsid w:val="00FA0113"/>
    <w:rsid w:val="00FA12B2"/>
    <w:rsid w:val="00FA7610"/>
    <w:rsid w:val="00FB02BD"/>
    <w:rsid w:val="00FB3416"/>
    <w:rsid w:val="00FB398F"/>
    <w:rsid w:val="00FB4EF8"/>
    <w:rsid w:val="00FB54AE"/>
    <w:rsid w:val="00FB671A"/>
    <w:rsid w:val="00FB709A"/>
    <w:rsid w:val="00FB78DD"/>
    <w:rsid w:val="00FC3EF3"/>
    <w:rsid w:val="00FC5D35"/>
    <w:rsid w:val="00FD09FE"/>
    <w:rsid w:val="00FD0AFF"/>
    <w:rsid w:val="00FD2049"/>
    <w:rsid w:val="00FD2140"/>
    <w:rsid w:val="00FD25B8"/>
    <w:rsid w:val="00FD4722"/>
    <w:rsid w:val="00FD5B5F"/>
    <w:rsid w:val="00FD5BDE"/>
    <w:rsid w:val="00FD68EC"/>
    <w:rsid w:val="00FE1D39"/>
    <w:rsid w:val="00FE24A5"/>
    <w:rsid w:val="00FE31E5"/>
    <w:rsid w:val="00FE4E02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docId w15:val="{E2F0DB4F-9B72-4CAE-A8A3-922F46F9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ystat.gov.cy/el/KeyFiguresList?s=4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ystatdb.cystat.gov.cy/pxweb/el/8.CYSTAT-DB/8.CYSTAT-DB__National%20Accounts__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SubthemeStatistics?s=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pantziaras@cystat.mof.gov.cy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www.cystat.gov.cy/el/MethodologicalDetails?m=2085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naappsrv\Sector%20Accounts\ASA\2023\&#916;&#949;&#955;&#964;&#943;&#945;%20&#932;&#973;&#960;&#959;&#965;\&#916;&#949;&#955;&#964;&#943;&#959;%20&#932;&#973;&#960;&#959;&#965;-2910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naappsrv\Sector%20Accounts\ASA\2023\&#916;&#949;&#955;&#964;&#943;&#945;%20&#932;&#973;&#960;&#959;&#965;\&#916;&#949;&#955;&#964;&#943;&#959;%20&#932;&#973;&#960;&#959;&#965;-291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r>
              <a:rPr lang="el-GR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Διάγραμμα 2:</a:t>
            </a:r>
            <a:r>
              <a:rPr lang="en-US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 </a:t>
            </a:r>
            <a:r>
              <a:rPr lang="el-GR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Ποσοστό </a:t>
            </a:r>
            <a:r>
              <a:rPr lang="en-US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A</a:t>
            </a:r>
            <a:r>
              <a:rPr lang="el-GR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ποταμίευσης των Νοικοκυριών και των ΜΚΙΕΝ</a:t>
            </a:r>
            <a:endParaRPr lang="en-CY" sz="1100" b="1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en-CY"/>
        </a:p>
      </c:txPr>
    </c:title>
    <c:autoTitleDeleted val="0"/>
    <c:plotArea>
      <c:layout>
        <c:manualLayout>
          <c:layoutTarget val="inner"/>
          <c:xMode val="edge"/>
          <c:yMode val="edge"/>
          <c:x val="0.11240824943830378"/>
          <c:y val="0.15270043815355894"/>
          <c:w val="0.86463922056691267"/>
          <c:h val="0.74174262602447072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cat>
            <c:numRef>
              <c:f>'Διάγραμμα 2'!$L$1:$P$1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'Διάγραμμα 2'!$L$5:$P$5</c:f>
              <c:numCache>
                <c:formatCode>0.0</c:formatCode>
                <c:ptCount val="5"/>
                <c:pt idx="0">
                  <c:v>6.3273180003013216</c:v>
                </c:pt>
                <c:pt idx="1">
                  <c:v>13.403868293290733</c:v>
                </c:pt>
                <c:pt idx="2">
                  <c:v>14.756212684950116</c:v>
                </c:pt>
                <c:pt idx="3">
                  <c:v>12.079431608834541</c:v>
                </c:pt>
                <c:pt idx="4">
                  <c:v>9.8681987810455976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9F-4CF4-961F-4486254B9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4401967"/>
        <c:axId val="1844936463"/>
      </c:lineChart>
      <c:catAx>
        <c:axId val="1924401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CY"/>
          </a:p>
        </c:txPr>
        <c:crossAx val="1844936463"/>
        <c:crosses val="autoZero"/>
        <c:auto val="1"/>
        <c:lblAlgn val="ctr"/>
        <c:lblOffset val="100"/>
        <c:noMultiLvlLbl val="0"/>
      </c:catAx>
      <c:valAx>
        <c:axId val="1844936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  <a:endParaRPr lang="en-CY" sz="900" b="1">
                  <a:solidFill>
                    <a:sysClr val="windowText" lastClr="000000"/>
                  </a:solidFill>
                  <a:latin typeface="Verdana" panose="020B0604030504040204" pitchFamily="34" charset="0"/>
                  <a:ea typeface="Verdan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1.4606155451225874E-2"/>
              <c:y val="0.4804986537609005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CY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CY"/>
          </a:p>
        </c:txPr>
        <c:crossAx val="1924401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558ED5">
          <a:alpha val="50196"/>
        </a:srgbClr>
      </a:solidFill>
      <a:round/>
    </a:ln>
    <a:effectLst/>
  </c:spPr>
  <c:txPr>
    <a:bodyPr/>
    <a:lstStyle/>
    <a:p>
      <a:pPr>
        <a:defRPr/>
      </a:pPr>
      <a:endParaRPr lang="en-CY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Διάγραμμα 3: Ποσοστό </a:t>
            </a:r>
            <a:r>
              <a:rPr lang="en-US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E</a:t>
            </a:r>
            <a:r>
              <a:rPr lang="el-GR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πενδύσεων των </a:t>
            </a:r>
            <a:r>
              <a:rPr lang="en-US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M</a:t>
            </a:r>
            <a:r>
              <a:rPr lang="el-GR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η-</a:t>
            </a:r>
            <a:r>
              <a:rPr lang="en-US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X</a:t>
            </a:r>
            <a:r>
              <a:rPr lang="el-GR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ρηματοοικονομικών </a:t>
            </a:r>
            <a:r>
              <a:rPr lang="en-US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E</a:t>
            </a:r>
            <a:r>
              <a:rPr lang="el-GR" sz="1100" b="1" i="0" u="none" strike="noStrike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ταιρειών</a:t>
            </a:r>
            <a:endParaRPr lang="en-CY" sz="1100" b="1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CY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66003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660033"/>
              </a:solidFill>
              <a:ln w="9525">
                <a:solidFill>
                  <a:srgbClr val="660033"/>
                </a:solidFill>
              </a:ln>
              <a:effectLst/>
            </c:spPr>
          </c:marker>
          <c:dLbls>
            <c:delete val="1"/>
          </c:dLbls>
          <c:cat>
            <c:numRef>
              <c:f>'Διάγραμμα 3'!$M$2:$Q$2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'Διάγραμμα 3'!$M$6:$Q$6</c:f>
              <c:numCache>
                <c:formatCode>0.0</c:formatCode>
                <c:ptCount val="5"/>
                <c:pt idx="0">
                  <c:v>15.584186457519866</c:v>
                </c:pt>
                <c:pt idx="1">
                  <c:v>20.222730129982107</c:v>
                </c:pt>
                <c:pt idx="2">
                  <c:v>16.235216339494453</c:v>
                </c:pt>
                <c:pt idx="3">
                  <c:v>17.702364635850135</c:v>
                </c:pt>
                <c:pt idx="4">
                  <c:v>19.801455640256073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D6-47CD-8B1F-338161D18C67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24420207"/>
        <c:axId val="1844931503"/>
      </c:lineChart>
      <c:catAx>
        <c:axId val="1924420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CY"/>
          </a:p>
        </c:txPr>
        <c:crossAx val="1844931503"/>
        <c:crosses val="autoZero"/>
        <c:auto val="1"/>
        <c:lblAlgn val="ctr"/>
        <c:lblOffset val="100"/>
        <c:noMultiLvlLbl val="0"/>
      </c:catAx>
      <c:valAx>
        <c:axId val="1844931503"/>
        <c:scaling>
          <c:orientation val="minMax"/>
          <c:max val="22"/>
          <c:min val="14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  <a:endParaRPr lang="en-CY" sz="900" b="1">
                  <a:solidFill>
                    <a:sysClr val="windowText" lastClr="000000"/>
                  </a:solidFill>
                  <a:latin typeface="Verdana" panose="020B0604030504040204" pitchFamily="34" charset="0"/>
                  <a:ea typeface="Verdana" panose="020B0604030504040204" pitchFamily="34" charset="0"/>
                </a:endParaRPr>
              </a:p>
            </c:rich>
          </c:tx>
          <c:layout>
            <c:manualLayout>
              <c:xMode val="edge"/>
              <c:yMode val="edge"/>
              <c:x val="1.3582340533162122E-2"/>
              <c:y val="0.53148744573388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CY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en-CY"/>
          </a:p>
        </c:txPr>
        <c:crossAx val="1924420207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558ED5">
          <a:alpha val="50196"/>
        </a:srgbClr>
      </a:solidFill>
      <a:round/>
    </a:ln>
    <a:effectLst/>
  </c:spPr>
  <c:txPr>
    <a:bodyPr/>
    <a:lstStyle/>
    <a:p>
      <a:pPr>
        <a:defRPr/>
      </a:pPr>
      <a:endParaRPr lang="en-C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759B-F9AE-4333-B1B6-151DF7B1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5508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21</cp:revision>
  <cp:lastPrinted>2024-10-31T11:20:00Z</cp:lastPrinted>
  <dcterms:created xsi:type="dcterms:W3CDTF">2024-10-25T05:21:00Z</dcterms:created>
  <dcterms:modified xsi:type="dcterms:W3CDTF">2024-11-04T09:25:00Z</dcterms:modified>
</cp:coreProperties>
</file>