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DD6ED0" w:rsidRDefault="001712CF" w:rsidP="000E4CB0">
      <w:pPr>
        <w:jc w:val="both"/>
        <w:rPr>
          <w:rFonts w:ascii="Verdana" w:hAnsi="Verdana" w:cs="Arial"/>
          <w:sz w:val="18"/>
          <w:szCs w:val="18"/>
        </w:rPr>
      </w:pPr>
    </w:p>
    <w:p w14:paraId="038F41F7" w14:textId="77777777" w:rsidR="00F832DD" w:rsidRPr="00DD6ED0" w:rsidRDefault="00F832DD" w:rsidP="00F832DD">
      <w:pPr>
        <w:jc w:val="right"/>
        <w:rPr>
          <w:rFonts w:ascii="Verdana" w:hAnsi="Verdana" w:cs="Arial"/>
          <w:sz w:val="18"/>
          <w:szCs w:val="18"/>
        </w:rPr>
      </w:pPr>
    </w:p>
    <w:p w14:paraId="29E24466" w14:textId="0894D89D" w:rsidR="00F832DD" w:rsidRPr="00DD6ED0" w:rsidRDefault="005848E0" w:rsidP="005848E0">
      <w:pPr>
        <w:jc w:val="right"/>
        <w:rPr>
          <w:rFonts w:ascii="Verdana" w:eastAsia="Malgun Gothic" w:hAnsi="Verdana" w:cs="Arial"/>
          <w:sz w:val="18"/>
          <w:szCs w:val="18"/>
        </w:rPr>
      </w:pPr>
      <w:r>
        <w:rPr>
          <w:rFonts w:ascii="Verdana" w:hAnsi="Verdana" w:cs="Arial"/>
          <w:sz w:val="18"/>
          <w:szCs w:val="18"/>
        </w:rPr>
        <w:t>20</w:t>
      </w:r>
      <w:r w:rsidRPr="005848E0">
        <w:rPr>
          <w:rFonts w:ascii="Verdana" w:hAnsi="Verdana" w:cs="Arial"/>
          <w:sz w:val="18"/>
          <w:szCs w:val="18"/>
        </w:rPr>
        <w:t xml:space="preserve"> Οκτωβρίου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911DE0" w:rsidRPr="00DD6ED0">
        <w:rPr>
          <w:rFonts w:ascii="Verdana" w:eastAsia="Malgun Gothic" w:hAnsi="Verdana" w:cs="Arial"/>
          <w:sz w:val="18"/>
          <w:szCs w:val="18"/>
        </w:rPr>
        <w:t>5</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38837297" w:rsidR="00F832DD" w:rsidRPr="00DD6ED0" w:rsidRDefault="00F832DD" w:rsidP="005848E0">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5848E0" w:rsidRPr="005848E0">
        <w:rPr>
          <w:rFonts w:ascii="Verdana" w:hAnsi="Verdana"/>
          <w:b/>
          <w:spacing w:val="-2"/>
          <w:u w:val="single"/>
          <w:shd w:val="clear" w:color="auto" w:fill="FFFFFF"/>
        </w:rPr>
        <w:t>ΣΕΠΤΕΜΒΡΙΟΣ</w:t>
      </w:r>
      <w:r w:rsidR="00E0180E"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C390F" w:rsidRPr="00DD6ED0">
        <w:rPr>
          <w:rFonts w:ascii="Verdana" w:hAnsi="Verdana"/>
          <w:b/>
          <w:spacing w:val="-2"/>
          <w:u w:val="single"/>
          <w:shd w:val="clear" w:color="auto" w:fill="FFFFFF"/>
        </w:rPr>
        <w:t>5</w:t>
      </w:r>
    </w:p>
    <w:p w14:paraId="5DF065BB" w14:textId="77777777" w:rsidR="004C0E5E" w:rsidRPr="00DD6ED0" w:rsidRDefault="004C0E5E" w:rsidP="00F832DD">
      <w:pPr>
        <w:jc w:val="center"/>
        <w:rPr>
          <w:rFonts w:ascii="Verdana" w:eastAsia="Malgun Gothic" w:hAnsi="Verdana" w:cs="Arial"/>
          <w:b/>
        </w:rPr>
      </w:pPr>
    </w:p>
    <w:p w14:paraId="594A0A6A" w14:textId="128D2471"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976DB" w:rsidRPr="00DD6ED0">
        <w:rPr>
          <w:rFonts w:ascii="Verdana" w:eastAsia="Malgun Gothic" w:hAnsi="Verdana" w:cs="Arial"/>
          <w:b/>
        </w:rPr>
        <w:t>1,</w:t>
      </w:r>
      <w:r w:rsidR="00D0157E" w:rsidRPr="00D0157E">
        <w:rPr>
          <w:rFonts w:ascii="Verdana" w:eastAsia="Malgun Gothic" w:hAnsi="Verdana" w:cs="Arial"/>
          <w:b/>
        </w:rPr>
        <w:t>44</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738BC747" w14:textId="2A8AD0B5" w:rsidR="00F832DD" w:rsidRPr="00DD6ED0" w:rsidRDefault="00F832DD" w:rsidP="00D0157E">
      <w:pPr>
        <w:jc w:val="both"/>
        <w:rPr>
          <w:rFonts w:ascii="Verdana" w:hAnsi="Verdana"/>
          <w:sz w:val="18"/>
          <w:szCs w:val="18"/>
          <w:shd w:val="clear" w:color="auto" w:fill="FFFFFF"/>
        </w:rPr>
      </w:pPr>
      <w:r w:rsidRPr="00DD6ED0">
        <w:rPr>
          <w:rFonts w:ascii="Verdana" w:hAnsi="Verdana"/>
          <w:sz w:val="18"/>
          <w:szCs w:val="18"/>
          <w:shd w:val="clear" w:color="auto" w:fill="FFFFFF"/>
        </w:rPr>
        <w:t>Ο Δείκτης Τιμών Κατασκευαστικών Υλικών για τον μήνα</w:t>
      </w:r>
      <w:r w:rsidR="001620EC" w:rsidRPr="00DD6ED0">
        <w:rPr>
          <w:rFonts w:ascii="Verdana" w:hAnsi="Verdana"/>
          <w:sz w:val="18"/>
          <w:szCs w:val="18"/>
          <w:shd w:val="clear" w:color="auto" w:fill="FFFFFF"/>
        </w:rPr>
        <w:t xml:space="preserve"> </w:t>
      </w:r>
      <w:r w:rsidR="005848E0" w:rsidRPr="005848E0">
        <w:rPr>
          <w:rFonts w:ascii="Verdana" w:hAnsi="Verdana"/>
          <w:sz w:val="18"/>
          <w:szCs w:val="18"/>
          <w:shd w:val="clear" w:color="auto" w:fill="FFFFFF"/>
        </w:rPr>
        <w:t>Σεπτέμβριο</w:t>
      </w:r>
      <w:r w:rsidR="00AF3696"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CC390F"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ανήλθε στις</w:t>
      </w:r>
      <w:r w:rsidR="00867B29" w:rsidRPr="00DD6ED0">
        <w:rPr>
          <w:rFonts w:ascii="Verdana" w:hAnsi="Verdana"/>
          <w:sz w:val="18"/>
          <w:szCs w:val="18"/>
          <w:shd w:val="clear" w:color="auto" w:fill="FFFFFF"/>
        </w:rPr>
        <w:t xml:space="preserve"> </w:t>
      </w:r>
      <w:r w:rsidR="006875FB" w:rsidRPr="00DD6ED0">
        <w:rPr>
          <w:rFonts w:ascii="Verdana" w:hAnsi="Verdana"/>
          <w:sz w:val="18"/>
          <w:szCs w:val="18"/>
          <w:shd w:val="clear" w:color="auto" w:fill="FFFFFF"/>
        </w:rPr>
        <w:t>11</w:t>
      </w:r>
      <w:r w:rsidR="00D0157E" w:rsidRPr="00D0157E">
        <w:rPr>
          <w:rFonts w:ascii="Verdana" w:hAnsi="Verdana"/>
          <w:sz w:val="18"/>
          <w:szCs w:val="18"/>
          <w:shd w:val="clear" w:color="auto" w:fill="FFFFFF"/>
        </w:rPr>
        <w:t>8</w:t>
      </w:r>
      <w:r w:rsidR="00D976DB" w:rsidRPr="00DD6ED0">
        <w:rPr>
          <w:rFonts w:ascii="Verdana" w:hAnsi="Verdana"/>
          <w:sz w:val="18"/>
          <w:szCs w:val="18"/>
          <w:shd w:val="clear" w:color="auto" w:fill="FFFFFF"/>
        </w:rPr>
        <w:t>,</w:t>
      </w:r>
      <w:r w:rsidR="00D0157E" w:rsidRPr="00D0157E">
        <w:rPr>
          <w:rFonts w:ascii="Verdana" w:hAnsi="Verdana"/>
          <w:sz w:val="18"/>
          <w:szCs w:val="18"/>
          <w:shd w:val="clear" w:color="auto" w:fill="FFFFFF"/>
        </w:rPr>
        <w:t>9</w:t>
      </w:r>
      <w:r w:rsidR="00650CAB" w:rsidRPr="00650CAB">
        <w:rPr>
          <w:rFonts w:ascii="Verdana" w:hAnsi="Verdana"/>
          <w:sz w:val="18"/>
          <w:szCs w:val="18"/>
          <w:shd w:val="clear" w:color="auto" w:fill="FFFFFF"/>
        </w:rPr>
        <w:t>6</w:t>
      </w:r>
      <w:r w:rsidR="006875FB"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μονάδες</w:t>
      </w:r>
      <w:r w:rsidR="00BC0352"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(με βάση 20</w:t>
      </w:r>
      <w:r w:rsidR="00972B37" w:rsidRPr="00DD6ED0">
        <w:rPr>
          <w:rFonts w:ascii="Verdana" w:hAnsi="Verdana"/>
          <w:sz w:val="18"/>
          <w:szCs w:val="18"/>
          <w:shd w:val="clear" w:color="auto" w:fill="FFFFFF"/>
        </w:rPr>
        <w:t>21</w:t>
      </w:r>
      <w:r w:rsidRPr="00DD6ED0">
        <w:rPr>
          <w:rFonts w:ascii="Verdana" w:hAnsi="Verdana"/>
          <w:sz w:val="18"/>
          <w:szCs w:val="18"/>
          <w:shd w:val="clear" w:color="auto" w:fill="FFFFFF"/>
        </w:rPr>
        <w:t>=100), σημειώνοντας</w:t>
      </w:r>
      <w:r w:rsidR="0011625C" w:rsidRPr="00DD6ED0">
        <w:rPr>
          <w:rFonts w:ascii="Verdana" w:hAnsi="Verdana"/>
          <w:sz w:val="18"/>
          <w:szCs w:val="18"/>
          <w:shd w:val="clear" w:color="auto" w:fill="FFFFFF"/>
        </w:rPr>
        <w:t xml:space="preserve"> </w:t>
      </w:r>
      <w:r w:rsidR="00D0157E" w:rsidRPr="00D0157E">
        <w:rPr>
          <w:rFonts w:ascii="Verdana" w:hAnsi="Verdana"/>
          <w:sz w:val="18"/>
          <w:szCs w:val="18"/>
          <w:shd w:val="clear" w:color="auto" w:fill="FFFFFF"/>
        </w:rPr>
        <w:t xml:space="preserve">οριακή μείωση </w:t>
      </w:r>
      <w:r w:rsidRPr="00DD6ED0">
        <w:rPr>
          <w:rFonts w:ascii="Verdana" w:hAnsi="Verdana"/>
          <w:sz w:val="18"/>
          <w:szCs w:val="18"/>
          <w:shd w:val="clear" w:color="auto" w:fill="FFFFFF"/>
        </w:rPr>
        <w:t xml:space="preserve">της τάξης του </w:t>
      </w:r>
      <w:r w:rsidR="006875FB" w:rsidRPr="00DD6ED0">
        <w:rPr>
          <w:rFonts w:ascii="Verdana" w:hAnsi="Verdana"/>
          <w:sz w:val="18"/>
          <w:szCs w:val="18"/>
          <w:shd w:val="clear" w:color="auto" w:fill="FFFFFF"/>
        </w:rPr>
        <w:t>0,</w:t>
      </w:r>
      <w:r w:rsidR="00D150DC" w:rsidRPr="00DD6ED0">
        <w:rPr>
          <w:rFonts w:ascii="Verdana" w:hAnsi="Verdana"/>
          <w:sz w:val="18"/>
          <w:szCs w:val="18"/>
          <w:shd w:val="clear" w:color="auto" w:fill="FFFFFF"/>
        </w:rPr>
        <w:t>0</w:t>
      </w:r>
      <w:r w:rsidR="00D0157E" w:rsidRPr="00D0157E">
        <w:rPr>
          <w:rFonts w:ascii="Verdana" w:hAnsi="Verdana"/>
          <w:sz w:val="18"/>
          <w:szCs w:val="18"/>
          <w:shd w:val="clear" w:color="auto" w:fill="FFFFFF"/>
        </w:rPr>
        <w:t>8</w:t>
      </w:r>
      <w:r w:rsidRPr="00DD6ED0">
        <w:rPr>
          <w:rFonts w:ascii="Verdana" w:hAnsi="Verdana"/>
          <w:sz w:val="18"/>
          <w:szCs w:val="18"/>
          <w:shd w:val="clear" w:color="auto" w:fill="FFFFFF"/>
        </w:rPr>
        <w:t>% σε σχέση με τον προηγούμενο μήνα.</w:t>
      </w:r>
    </w:p>
    <w:p w14:paraId="5468D811" w14:textId="77777777" w:rsidR="00F832DD" w:rsidRPr="00DD6ED0" w:rsidRDefault="00F832DD" w:rsidP="00F832DD">
      <w:pPr>
        <w:jc w:val="both"/>
        <w:rPr>
          <w:rFonts w:ascii="Verdana" w:hAnsi="Verdana"/>
          <w:sz w:val="18"/>
          <w:szCs w:val="18"/>
          <w:shd w:val="clear" w:color="auto" w:fill="FFFFFF"/>
        </w:rPr>
      </w:pPr>
    </w:p>
    <w:p w14:paraId="5535E5F5" w14:textId="6681F39A" w:rsidR="00F832DD" w:rsidRPr="00FC57A8" w:rsidRDefault="00F832DD" w:rsidP="00F832DD">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w:t>
      </w:r>
      <w:r w:rsidR="00804BDA" w:rsidRPr="00DD6ED0">
        <w:rPr>
          <w:rFonts w:ascii="Verdana" w:hAnsi="Verdana"/>
          <w:sz w:val="18"/>
          <w:szCs w:val="18"/>
          <w:shd w:val="clear" w:color="auto" w:fill="FFFFFF"/>
        </w:rPr>
        <w:t>αύξηση</w:t>
      </w:r>
      <w:r w:rsidR="0080164B" w:rsidRPr="00DD6ED0">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1,</w:t>
      </w:r>
      <w:r w:rsidR="00D0157E" w:rsidRPr="00D0157E">
        <w:rPr>
          <w:rFonts w:ascii="Verdana" w:hAnsi="Verdana"/>
          <w:sz w:val="18"/>
          <w:szCs w:val="18"/>
          <w:shd w:val="clear" w:color="auto" w:fill="FFFFFF"/>
        </w:rPr>
        <w:t>44</w:t>
      </w:r>
      <w:r w:rsidRPr="00DD6ED0">
        <w:rPr>
          <w:rFonts w:ascii="Verdana" w:hAnsi="Verdana"/>
          <w:sz w:val="18"/>
          <w:szCs w:val="18"/>
          <w:shd w:val="clear" w:color="auto" w:fill="FFFFFF"/>
        </w:rPr>
        <w:t xml:space="preserve">%. Κατά κύρια κατηγορία προϊόντων, καταγράφηκαν </w:t>
      </w:r>
      <w:r w:rsidR="00804BDA" w:rsidRPr="00DD6ED0">
        <w:rPr>
          <w:rFonts w:ascii="Verdana" w:hAnsi="Verdana"/>
          <w:sz w:val="18"/>
          <w:szCs w:val="18"/>
          <w:shd w:val="clear" w:color="auto" w:fill="FFFFFF"/>
        </w:rPr>
        <w:t>αυξήσεις</w:t>
      </w:r>
      <w:r w:rsidR="00650CAB">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στα ορυκτά (3,</w:t>
      </w:r>
      <w:r w:rsidR="00D0157E" w:rsidRPr="00D0157E">
        <w:rPr>
          <w:rFonts w:ascii="Verdana" w:hAnsi="Verdana"/>
          <w:sz w:val="18"/>
          <w:szCs w:val="18"/>
          <w:shd w:val="clear" w:color="auto" w:fill="FFFFFF"/>
        </w:rPr>
        <w:t>62</w:t>
      </w:r>
      <w:r w:rsidR="00D976DB" w:rsidRPr="00DD6ED0">
        <w:rPr>
          <w:rFonts w:ascii="Verdana" w:hAnsi="Verdana"/>
          <w:sz w:val="18"/>
          <w:szCs w:val="18"/>
          <w:shd w:val="clear" w:color="auto" w:fill="FFFFFF"/>
        </w:rPr>
        <w:t>%)</w:t>
      </w:r>
      <w:r w:rsidR="00220500">
        <w:rPr>
          <w:rFonts w:ascii="Verdana" w:hAnsi="Verdana"/>
          <w:sz w:val="18"/>
          <w:szCs w:val="18"/>
          <w:shd w:val="clear" w:color="auto" w:fill="FFFFFF"/>
        </w:rPr>
        <w:t xml:space="preserve">, </w:t>
      </w:r>
      <w:r w:rsidR="00220500" w:rsidRPr="00DD6ED0">
        <w:rPr>
          <w:rFonts w:ascii="Verdana" w:hAnsi="Verdana"/>
          <w:sz w:val="18"/>
          <w:szCs w:val="18"/>
          <w:shd w:val="clear" w:color="auto" w:fill="FFFFFF"/>
        </w:rPr>
        <w:t>στα προϊόντα ορυκτών (3,</w:t>
      </w:r>
      <w:r w:rsidR="00220500" w:rsidRPr="00D0157E">
        <w:rPr>
          <w:rFonts w:ascii="Verdana" w:hAnsi="Verdana"/>
          <w:sz w:val="18"/>
          <w:szCs w:val="18"/>
          <w:shd w:val="clear" w:color="auto" w:fill="FFFFFF"/>
        </w:rPr>
        <w:t>30</w:t>
      </w:r>
      <w:r w:rsidR="00220500" w:rsidRPr="00DD6ED0">
        <w:rPr>
          <w:rFonts w:ascii="Verdana" w:hAnsi="Verdana"/>
          <w:sz w:val="18"/>
          <w:szCs w:val="18"/>
          <w:shd w:val="clear" w:color="auto" w:fill="FFFFFF"/>
        </w:rPr>
        <w:t>%)</w:t>
      </w:r>
      <w:r w:rsidR="00220500" w:rsidRPr="00FC57A8">
        <w:rPr>
          <w:rFonts w:ascii="Verdana" w:hAnsi="Verdana"/>
          <w:sz w:val="18"/>
          <w:szCs w:val="18"/>
          <w:shd w:val="clear" w:color="auto" w:fill="FFFFFF"/>
        </w:rPr>
        <w:t>,</w:t>
      </w:r>
      <w:r w:rsidR="00650CAB">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στα προϊόντα από ξύλο, μονωτικά, χημικά και πλαστικά (</w:t>
      </w:r>
      <w:r w:rsidR="00D0157E" w:rsidRPr="00D0157E">
        <w:rPr>
          <w:rFonts w:ascii="Verdana" w:hAnsi="Verdana"/>
          <w:sz w:val="18"/>
          <w:szCs w:val="18"/>
          <w:shd w:val="clear" w:color="auto" w:fill="FFFFFF"/>
        </w:rPr>
        <w:t>1</w:t>
      </w:r>
      <w:r w:rsidR="00D976DB" w:rsidRPr="00DD6ED0">
        <w:rPr>
          <w:rFonts w:ascii="Verdana" w:hAnsi="Verdana"/>
          <w:sz w:val="18"/>
          <w:szCs w:val="18"/>
          <w:shd w:val="clear" w:color="auto" w:fill="FFFFFF"/>
        </w:rPr>
        <w:t>,</w:t>
      </w:r>
      <w:r w:rsidR="00D0157E" w:rsidRPr="00D0157E">
        <w:rPr>
          <w:rFonts w:ascii="Verdana" w:hAnsi="Verdana"/>
          <w:sz w:val="18"/>
          <w:szCs w:val="18"/>
          <w:shd w:val="clear" w:color="auto" w:fill="FFFFFF"/>
        </w:rPr>
        <w:t>05</w:t>
      </w:r>
      <w:r w:rsidR="00804BDA" w:rsidRPr="00DD6ED0">
        <w:rPr>
          <w:rFonts w:ascii="Verdana" w:hAnsi="Verdana"/>
          <w:sz w:val="18"/>
          <w:szCs w:val="18"/>
          <w:shd w:val="clear" w:color="auto" w:fill="FFFFFF"/>
        </w:rPr>
        <w:t>%)</w:t>
      </w:r>
      <w:bookmarkStart w:id="0" w:name="_Hlk182479333"/>
      <w:r w:rsidR="00220500">
        <w:rPr>
          <w:rFonts w:ascii="Verdana" w:hAnsi="Verdana"/>
          <w:sz w:val="18"/>
          <w:szCs w:val="18"/>
          <w:shd w:val="clear" w:color="auto" w:fill="FFFFFF"/>
        </w:rPr>
        <w:t xml:space="preserve"> </w:t>
      </w:r>
      <w:r w:rsidR="00220500" w:rsidRPr="00DD6ED0">
        <w:rPr>
          <w:rFonts w:ascii="Verdana" w:hAnsi="Verdana"/>
          <w:sz w:val="18"/>
          <w:szCs w:val="18"/>
          <w:shd w:val="clear" w:color="auto" w:fill="FFFFFF"/>
        </w:rPr>
        <w:t>και στα ηλεκτρομηχανολογικά είδη (0,</w:t>
      </w:r>
      <w:r w:rsidR="00220500" w:rsidRPr="00D0157E">
        <w:rPr>
          <w:rFonts w:ascii="Verdana" w:hAnsi="Verdana"/>
          <w:sz w:val="18"/>
          <w:szCs w:val="18"/>
          <w:shd w:val="clear" w:color="auto" w:fill="FFFFFF"/>
        </w:rPr>
        <w:t>19</w:t>
      </w:r>
      <w:r w:rsidR="00220500" w:rsidRPr="00DD6ED0">
        <w:rPr>
          <w:rFonts w:ascii="Verdana" w:hAnsi="Verdana"/>
          <w:sz w:val="18"/>
          <w:szCs w:val="18"/>
          <w:shd w:val="clear" w:color="auto" w:fill="FFFFFF"/>
        </w:rPr>
        <w:t>%)</w:t>
      </w:r>
      <w:r w:rsidR="00FC57A8" w:rsidRPr="00FC57A8">
        <w:rPr>
          <w:rFonts w:ascii="Verdana" w:hAnsi="Verdana"/>
          <w:sz w:val="18"/>
          <w:szCs w:val="18"/>
          <w:shd w:val="clear" w:color="auto" w:fill="FFFFFF"/>
        </w:rPr>
        <w:t>,</w:t>
      </w:r>
      <w:r w:rsidR="007C06F1" w:rsidRPr="00DD6ED0">
        <w:rPr>
          <w:rFonts w:ascii="Verdana" w:hAnsi="Verdana"/>
          <w:sz w:val="18"/>
          <w:szCs w:val="18"/>
          <w:shd w:val="clear" w:color="auto" w:fill="FFFFFF"/>
        </w:rPr>
        <w:t xml:space="preserve"> </w:t>
      </w:r>
      <w:bookmarkEnd w:id="0"/>
      <w:r w:rsidR="00804BDA" w:rsidRPr="00DD6ED0">
        <w:rPr>
          <w:rFonts w:ascii="Verdana" w:hAnsi="Verdana"/>
          <w:sz w:val="18"/>
          <w:szCs w:val="18"/>
          <w:shd w:val="clear" w:color="auto" w:fill="FFFFFF"/>
        </w:rPr>
        <w:t xml:space="preserve">ενώ </w:t>
      </w:r>
      <w:r w:rsidR="00220500">
        <w:rPr>
          <w:rFonts w:ascii="Verdana" w:hAnsi="Verdana"/>
          <w:sz w:val="18"/>
          <w:szCs w:val="18"/>
          <w:shd w:val="clear" w:color="auto" w:fill="FFFFFF"/>
        </w:rPr>
        <w:t>μείωση</w:t>
      </w:r>
      <w:r w:rsidR="0080164B" w:rsidRPr="00DD6ED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σημειώθηκ</w:t>
      </w:r>
      <w:r w:rsidR="00220500">
        <w:rPr>
          <w:rFonts w:ascii="Verdana" w:hAnsi="Verdana"/>
          <w:sz w:val="18"/>
          <w:szCs w:val="18"/>
          <w:shd w:val="clear" w:color="auto" w:fill="FFFFFF"/>
        </w:rPr>
        <w:t>ε</w:t>
      </w:r>
      <w:r w:rsidR="00BE541C" w:rsidRPr="00DD6ED0">
        <w:rPr>
          <w:rFonts w:ascii="Verdana" w:hAnsi="Verdana"/>
          <w:sz w:val="18"/>
          <w:szCs w:val="18"/>
          <w:shd w:val="clear" w:color="auto" w:fill="FFFFFF"/>
        </w:rPr>
        <w:t xml:space="preserve"> </w:t>
      </w:r>
      <w:r w:rsidR="00006E6D" w:rsidRPr="00DD6ED0">
        <w:rPr>
          <w:rFonts w:ascii="Verdana" w:hAnsi="Verdana"/>
          <w:sz w:val="18"/>
          <w:szCs w:val="18"/>
          <w:shd w:val="clear" w:color="auto" w:fill="FFFFFF"/>
        </w:rPr>
        <w:t>στα μεταλλικά προϊόντα (</w:t>
      </w:r>
      <w:r w:rsidR="00F92F83" w:rsidRPr="00DD6ED0">
        <w:rPr>
          <w:rFonts w:ascii="Verdana" w:hAnsi="Verdana"/>
          <w:sz w:val="18"/>
          <w:szCs w:val="18"/>
          <w:shd w:val="clear" w:color="auto" w:fill="FFFFFF"/>
        </w:rPr>
        <w:t>-</w:t>
      </w:r>
      <w:r w:rsidR="00650CAB">
        <w:rPr>
          <w:rFonts w:ascii="Verdana" w:hAnsi="Verdana"/>
          <w:sz w:val="18"/>
          <w:szCs w:val="18"/>
          <w:shd w:val="clear" w:color="auto" w:fill="FFFFFF"/>
        </w:rPr>
        <w:t>0,</w:t>
      </w:r>
      <w:r w:rsidR="00D0157E" w:rsidRPr="00D0157E">
        <w:rPr>
          <w:rFonts w:ascii="Verdana" w:hAnsi="Verdana"/>
          <w:sz w:val="18"/>
          <w:szCs w:val="18"/>
          <w:shd w:val="clear" w:color="auto" w:fill="FFFFFF"/>
        </w:rPr>
        <w:t>59</w:t>
      </w:r>
      <w:r w:rsidR="00006E6D" w:rsidRPr="00DD6ED0">
        <w:rPr>
          <w:rFonts w:ascii="Verdana" w:hAnsi="Verdana"/>
          <w:sz w:val="18"/>
          <w:szCs w:val="18"/>
          <w:shd w:val="clear" w:color="auto" w:fill="FFFFFF"/>
        </w:rPr>
        <w:t>%)</w:t>
      </w:r>
      <w:r w:rsidR="00220500">
        <w:rPr>
          <w:rFonts w:ascii="Verdana" w:hAnsi="Verdana"/>
          <w:sz w:val="18"/>
          <w:szCs w:val="18"/>
          <w:shd w:val="clear" w:color="auto" w:fill="FFFFFF"/>
        </w:rPr>
        <w:t>.</w:t>
      </w:r>
    </w:p>
    <w:p w14:paraId="2AC3CAAA" w14:textId="77777777" w:rsidR="00A553E8" w:rsidRPr="00DD6ED0" w:rsidRDefault="00A553E8" w:rsidP="00F832DD">
      <w:pPr>
        <w:jc w:val="both"/>
        <w:rPr>
          <w:rFonts w:ascii="Verdana" w:hAnsi="Verdana"/>
          <w:sz w:val="18"/>
          <w:szCs w:val="18"/>
          <w:shd w:val="clear" w:color="auto" w:fill="FFFFFF"/>
        </w:rPr>
      </w:pPr>
    </w:p>
    <w:p w14:paraId="7A666C7B" w14:textId="1B9B9E28" w:rsidR="00A553E8" w:rsidRPr="00DD6ED0" w:rsidRDefault="00A553E8" w:rsidP="005848E0">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5848E0" w:rsidRPr="005848E0">
        <w:rPr>
          <w:rFonts w:ascii="Verdana" w:hAnsi="Verdana"/>
          <w:sz w:val="18"/>
          <w:szCs w:val="18"/>
          <w:shd w:val="clear" w:color="auto" w:fill="FFFFFF"/>
        </w:rPr>
        <w:t>Σεπτεμβρίου</w:t>
      </w:r>
      <w:r w:rsidR="00E0180E"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920DDD"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ο δείκτης σημείωσε </w:t>
      </w:r>
      <w:r w:rsidR="00D952BB" w:rsidRPr="00DD6ED0">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w:t>
      </w:r>
      <w:r w:rsidR="00EF5953" w:rsidRPr="00DD6ED0">
        <w:rPr>
          <w:rFonts w:ascii="Verdana" w:hAnsi="Verdana"/>
          <w:sz w:val="18"/>
          <w:szCs w:val="18"/>
          <w:shd w:val="clear" w:color="auto" w:fill="FFFFFF"/>
        </w:rPr>
        <w:t>1,</w:t>
      </w:r>
      <w:r w:rsidR="00EB451D" w:rsidRPr="00DD6ED0">
        <w:rPr>
          <w:rFonts w:ascii="Verdana" w:hAnsi="Verdana"/>
          <w:sz w:val="18"/>
          <w:szCs w:val="18"/>
          <w:shd w:val="clear" w:color="auto" w:fill="FFFFFF"/>
        </w:rPr>
        <w:t>2</w:t>
      </w:r>
      <w:r w:rsidR="00D0157E" w:rsidRPr="00D0157E">
        <w:rPr>
          <w:rFonts w:ascii="Verdana" w:hAnsi="Verdana"/>
          <w:sz w:val="18"/>
          <w:szCs w:val="18"/>
          <w:shd w:val="clear" w:color="auto" w:fill="FFFFFF"/>
        </w:rPr>
        <w:t>6</w:t>
      </w:r>
      <w:r w:rsidRPr="00DD6ED0">
        <w:rPr>
          <w:rFonts w:ascii="Verdana" w:hAnsi="Verdana"/>
          <w:sz w:val="18"/>
          <w:szCs w:val="18"/>
          <w:shd w:val="clear" w:color="auto" w:fill="FFFFFF"/>
        </w:rPr>
        <w:t>% σε σχέση με την αντίστοιχη περίοδο του 202</w:t>
      </w:r>
      <w:r w:rsidR="00920DDD" w:rsidRPr="00DD6ED0">
        <w:rPr>
          <w:rFonts w:ascii="Verdana" w:hAnsi="Verdana"/>
          <w:sz w:val="18"/>
          <w:szCs w:val="18"/>
          <w:shd w:val="clear" w:color="auto" w:fill="FFFFFF"/>
        </w:rPr>
        <w:t>4</w:t>
      </w:r>
      <w:r w:rsidRPr="00DD6ED0">
        <w:rPr>
          <w:rFonts w:ascii="Verdana" w:hAnsi="Verdana"/>
          <w:sz w:val="18"/>
          <w:szCs w:val="18"/>
          <w:shd w:val="clear" w:color="auto" w:fill="FFFFFF"/>
        </w:rPr>
        <w:t>.</w:t>
      </w:r>
    </w:p>
    <w:p w14:paraId="16A31E3B" w14:textId="7ABB506A" w:rsidR="00261E76" w:rsidRPr="0094760B" w:rsidRDefault="00261E76" w:rsidP="00B61197">
      <w:pPr>
        <w:jc w:val="both"/>
        <w:rPr>
          <w:rFonts w:ascii="Verdana" w:hAnsi="Verdana"/>
          <w:sz w:val="18"/>
          <w:szCs w:val="18"/>
          <w:shd w:val="clear" w:color="auto" w:fill="FFFFFF"/>
        </w:rPr>
      </w:pPr>
    </w:p>
    <w:p w14:paraId="2E3C5490" w14:textId="30B18A89" w:rsidR="0010022E" w:rsidRPr="00DD6ED0" w:rsidRDefault="00565236" w:rsidP="00C229E1">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4FFE3E4F" wp14:editId="08DA1057">
            <wp:extent cx="6096635" cy="4438015"/>
            <wp:effectExtent l="0" t="0" r="0" b="635"/>
            <wp:docPr id="165239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64216143" w14:textId="77777777" w:rsidR="008A269B" w:rsidRPr="00DD6ED0" w:rsidRDefault="008A269B" w:rsidP="009C4592">
      <w:pPr>
        <w:jc w:val="both"/>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552C0F" w:rsidRPr="00552C0F"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552C0F" w:rsidRDefault="00817F45" w:rsidP="004477C7">
            <w:pPr>
              <w:rPr>
                <w:rFonts w:ascii="Verdana" w:eastAsia="Times New Roman" w:hAnsi="Verdana" w:cs="Arial"/>
                <w:b/>
                <w:bCs/>
                <w:color w:val="366092"/>
                <w:sz w:val="18"/>
                <w:szCs w:val="18"/>
              </w:rPr>
            </w:pPr>
            <w:r w:rsidRPr="00552C0F">
              <w:rPr>
                <w:rFonts w:ascii="Verdana" w:eastAsia="Times New Roman" w:hAnsi="Verdana" w:cs="Arial"/>
                <w:b/>
                <w:bCs/>
                <w:color w:val="366092"/>
                <w:sz w:val="18"/>
                <w:szCs w:val="18"/>
              </w:rPr>
              <w:lastRenderedPageBreak/>
              <w:t xml:space="preserve">Πίνακας </w:t>
            </w:r>
          </w:p>
        </w:tc>
      </w:tr>
      <w:tr w:rsidR="00552C0F" w:rsidRPr="00552C0F"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552C0F" w:rsidRDefault="00817F45" w:rsidP="004477C7">
            <w:pPr>
              <w:rPr>
                <w:rFonts w:ascii="Verdana" w:eastAsia="Malgun Gothic" w:hAnsi="Verdana" w:cs="Arial"/>
                <w:color w:val="366092"/>
                <w:sz w:val="18"/>
                <w:szCs w:val="18"/>
              </w:rPr>
            </w:pPr>
            <w:r w:rsidRPr="00552C0F">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552C0F" w:rsidRDefault="00817F45" w:rsidP="004477C7">
            <w:pPr>
              <w:rPr>
                <w:rFonts w:ascii="Verdana" w:eastAsia="Malgun Gothic" w:hAnsi="Verdana" w:cs="Arial"/>
                <w:b/>
                <w:color w:val="366092"/>
                <w:sz w:val="18"/>
                <w:szCs w:val="18"/>
              </w:rPr>
            </w:pPr>
            <w:r w:rsidRPr="00552C0F">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3735C251" w:rsidR="00817F45" w:rsidRPr="00552C0F" w:rsidRDefault="00817F45" w:rsidP="00381971">
            <w:pPr>
              <w:jc w:val="center"/>
              <w:rPr>
                <w:rFonts w:ascii="Verdana" w:eastAsia="Times New Roman" w:hAnsi="Verdana" w:cs="Arial"/>
                <w:b/>
                <w:bCs/>
                <w:color w:val="366092"/>
                <w:spacing w:val="-6"/>
                <w:sz w:val="18"/>
                <w:szCs w:val="18"/>
              </w:rPr>
            </w:pPr>
            <w:r w:rsidRPr="00552C0F">
              <w:rPr>
                <w:rFonts w:ascii="Verdana" w:eastAsia="Times New Roman" w:hAnsi="Verdana" w:cs="Arial"/>
                <w:b/>
                <w:bCs/>
                <w:color w:val="366092"/>
                <w:spacing w:val="-6"/>
                <w:sz w:val="18"/>
                <w:szCs w:val="18"/>
              </w:rPr>
              <w:t xml:space="preserve">Δείκτης </w:t>
            </w:r>
            <w:r w:rsidR="00381971" w:rsidRPr="00552C0F">
              <w:rPr>
                <w:rFonts w:ascii="Verdana" w:eastAsia="Times New Roman" w:hAnsi="Verdana" w:cs="Arial"/>
                <w:b/>
                <w:bCs/>
                <w:color w:val="366092"/>
                <w:spacing w:val="-6"/>
                <w:sz w:val="18"/>
                <w:szCs w:val="18"/>
              </w:rPr>
              <w:t>Σεπτέμβριος</w:t>
            </w:r>
            <w:r w:rsidR="00BC0352" w:rsidRPr="00552C0F">
              <w:rPr>
                <w:rFonts w:ascii="Verdana" w:eastAsia="Times New Roman" w:hAnsi="Verdana" w:cs="Arial"/>
                <w:b/>
                <w:bCs/>
                <w:color w:val="366092"/>
                <w:spacing w:val="-6"/>
                <w:sz w:val="18"/>
                <w:szCs w:val="18"/>
              </w:rPr>
              <w:t xml:space="preserve"> </w:t>
            </w:r>
            <w:r w:rsidRPr="00552C0F">
              <w:rPr>
                <w:rFonts w:ascii="Verdana" w:eastAsia="Times New Roman" w:hAnsi="Verdana" w:cs="Arial"/>
                <w:b/>
                <w:bCs/>
                <w:color w:val="366092"/>
                <w:spacing w:val="-6"/>
                <w:sz w:val="18"/>
                <w:szCs w:val="18"/>
              </w:rPr>
              <w:t>2025</w:t>
            </w:r>
          </w:p>
          <w:p w14:paraId="74B81467" w14:textId="77777777" w:rsidR="00817F45" w:rsidRPr="00552C0F" w:rsidRDefault="00817F45" w:rsidP="004477C7">
            <w:pPr>
              <w:jc w:val="center"/>
              <w:rPr>
                <w:rFonts w:ascii="Verdana" w:eastAsia="Malgun Gothic" w:hAnsi="Verdana" w:cs="Arial"/>
                <w:b/>
                <w:bCs/>
                <w:color w:val="366092"/>
                <w:spacing w:val="-6"/>
                <w:sz w:val="18"/>
                <w:szCs w:val="18"/>
              </w:rPr>
            </w:pPr>
            <w:r w:rsidRPr="00552C0F">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552C0F" w:rsidRDefault="00817F45" w:rsidP="004477C7">
            <w:pPr>
              <w:jc w:val="center"/>
              <w:rPr>
                <w:rFonts w:ascii="Verdana" w:eastAsia="Malgun Gothic" w:hAnsi="Verdana" w:cs="Arial"/>
                <w:b/>
                <w:color w:val="366092"/>
                <w:spacing w:val="-6"/>
                <w:sz w:val="18"/>
                <w:szCs w:val="18"/>
              </w:rPr>
            </w:pPr>
            <w:r w:rsidRPr="00552C0F">
              <w:rPr>
                <w:rFonts w:ascii="Verdana" w:eastAsia="Malgun Gothic" w:hAnsi="Verdana" w:cs="Arial"/>
                <w:b/>
                <w:color w:val="366092"/>
                <w:spacing w:val="-6"/>
                <w:sz w:val="18"/>
                <w:szCs w:val="18"/>
              </w:rPr>
              <w:t>Ποσοστιαία Μεταβολή</w:t>
            </w:r>
          </w:p>
          <w:p w14:paraId="2019FC4F" w14:textId="77777777" w:rsidR="00817F45" w:rsidRPr="00552C0F" w:rsidRDefault="00817F45" w:rsidP="004477C7">
            <w:pPr>
              <w:jc w:val="center"/>
              <w:rPr>
                <w:rFonts w:ascii="Verdana" w:eastAsia="Malgun Gothic" w:hAnsi="Verdana" w:cs="Arial"/>
                <w:b/>
                <w:color w:val="366092"/>
                <w:spacing w:val="-6"/>
                <w:sz w:val="18"/>
                <w:szCs w:val="18"/>
              </w:rPr>
            </w:pPr>
            <w:r w:rsidRPr="00552C0F">
              <w:rPr>
                <w:rFonts w:ascii="Verdana" w:eastAsia="Malgun Gothic" w:hAnsi="Verdana" w:cs="Arial"/>
                <w:b/>
                <w:color w:val="366092"/>
                <w:spacing w:val="-6"/>
                <w:sz w:val="18"/>
                <w:szCs w:val="18"/>
              </w:rPr>
              <w:t xml:space="preserve"> (%)</w:t>
            </w:r>
          </w:p>
        </w:tc>
      </w:tr>
      <w:tr w:rsidR="00552C0F" w:rsidRPr="00552C0F"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552C0F"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552C0F"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552C0F"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1F44B15B" w:rsidR="00817F45" w:rsidRPr="00552C0F" w:rsidRDefault="00381971" w:rsidP="00381971">
            <w:pPr>
              <w:jc w:val="center"/>
              <w:rPr>
                <w:rFonts w:ascii="Verdana" w:eastAsia="Times New Roman" w:hAnsi="Verdana" w:cs="Arial"/>
                <w:b/>
                <w:bCs/>
                <w:color w:val="366092"/>
                <w:spacing w:val="-6"/>
                <w:sz w:val="18"/>
                <w:szCs w:val="18"/>
              </w:rPr>
            </w:pPr>
            <w:r w:rsidRPr="00552C0F">
              <w:rPr>
                <w:rFonts w:ascii="Verdana" w:eastAsia="Times New Roman" w:hAnsi="Verdana" w:cs="Arial"/>
                <w:b/>
                <w:bCs/>
                <w:color w:val="366092"/>
                <w:spacing w:val="-6"/>
                <w:sz w:val="18"/>
                <w:szCs w:val="18"/>
              </w:rPr>
              <w:t>Σεπ</w:t>
            </w:r>
            <w:r w:rsidR="00E0180E" w:rsidRPr="00552C0F">
              <w:rPr>
                <w:rFonts w:ascii="Verdana" w:eastAsia="Times New Roman" w:hAnsi="Verdana" w:cs="Arial"/>
                <w:b/>
                <w:bCs/>
                <w:color w:val="366092"/>
                <w:spacing w:val="-6"/>
                <w:sz w:val="18"/>
                <w:szCs w:val="18"/>
              </w:rPr>
              <w:t xml:space="preserve"> </w:t>
            </w:r>
            <w:r w:rsidR="00817F45" w:rsidRPr="00552C0F">
              <w:rPr>
                <w:rFonts w:ascii="Verdana" w:eastAsia="Times New Roman" w:hAnsi="Verdana" w:cs="Arial"/>
                <w:b/>
                <w:bCs/>
                <w:color w:val="366092"/>
                <w:spacing w:val="-6"/>
                <w:sz w:val="18"/>
                <w:szCs w:val="18"/>
              </w:rPr>
              <w:t>2025 /</w:t>
            </w:r>
          </w:p>
          <w:p w14:paraId="116D3A23" w14:textId="5AB2353E" w:rsidR="00817F45" w:rsidRPr="00552C0F" w:rsidRDefault="00381971" w:rsidP="00AF3696">
            <w:pPr>
              <w:jc w:val="center"/>
              <w:rPr>
                <w:rFonts w:ascii="Verdana" w:eastAsia="Malgun Gothic" w:hAnsi="Verdana" w:cs="Arial"/>
                <w:b/>
                <w:color w:val="366092"/>
                <w:spacing w:val="-6"/>
                <w:sz w:val="18"/>
                <w:szCs w:val="18"/>
              </w:rPr>
            </w:pPr>
            <w:r w:rsidRPr="00552C0F">
              <w:rPr>
                <w:rFonts w:ascii="Verdana" w:eastAsia="Times New Roman" w:hAnsi="Verdana" w:cs="Arial"/>
                <w:b/>
                <w:bCs/>
                <w:color w:val="366092"/>
                <w:spacing w:val="-6"/>
                <w:sz w:val="18"/>
                <w:szCs w:val="18"/>
              </w:rPr>
              <w:t>Αυγ</w:t>
            </w:r>
            <w:r w:rsidR="00BC0352" w:rsidRPr="00552C0F">
              <w:rPr>
                <w:rFonts w:ascii="Verdana" w:eastAsia="Times New Roman" w:hAnsi="Verdana" w:cs="Arial"/>
                <w:b/>
                <w:bCs/>
                <w:color w:val="366092"/>
                <w:spacing w:val="-6"/>
                <w:sz w:val="18"/>
                <w:szCs w:val="18"/>
              </w:rPr>
              <w:t xml:space="preserve"> </w:t>
            </w:r>
            <w:r w:rsidR="00817F45" w:rsidRPr="00552C0F">
              <w:rPr>
                <w:rFonts w:ascii="Verdana" w:eastAsia="Times New Roman" w:hAnsi="Verdana" w:cs="Arial"/>
                <w:b/>
                <w:bCs/>
                <w:color w:val="366092"/>
                <w:spacing w:val="-6"/>
                <w:sz w:val="18"/>
                <w:szCs w:val="18"/>
              </w:rPr>
              <w:t>20</w:t>
            </w:r>
            <w:r w:rsidR="00817F45" w:rsidRPr="00552C0F">
              <w:rPr>
                <w:rFonts w:ascii="Verdana" w:eastAsia="Malgun Gothic" w:hAnsi="Verdana" w:cs="Arial"/>
                <w:b/>
                <w:color w:val="366092"/>
                <w:spacing w:val="-6"/>
                <w:sz w:val="18"/>
                <w:szCs w:val="18"/>
              </w:rPr>
              <w:t>25</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68151628" w:rsidR="00817F45" w:rsidRPr="00552C0F" w:rsidRDefault="00381971" w:rsidP="00381971">
            <w:pPr>
              <w:jc w:val="center"/>
              <w:rPr>
                <w:rFonts w:ascii="Verdana" w:eastAsia="Times New Roman" w:hAnsi="Verdana" w:cs="Arial"/>
                <w:b/>
                <w:bCs/>
                <w:color w:val="366092"/>
                <w:spacing w:val="-6"/>
                <w:sz w:val="18"/>
                <w:szCs w:val="18"/>
              </w:rPr>
            </w:pPr>
            <w:r w:rsidRPr="00552C0F">
              <w:rPr>
                <w:rFonts w:ascii="Verdana" w:eastAsia="Times New Roman" w:hAnsi="Verdana" w:cs="Arial"/>
                <w:b/>
                <w:bCs/>
                <w:color w:val="366092"/>
                <w:spacing w:val="-6"/>
                <w:sz w:val="18"/>
                <w:szCs w:val="18"/>
              </w:rPr>
              <w:t>Σεπ</w:t>
            </w:r>
            <w:r w:rsidR="00E0180E" w:rsidRPr="00552C0F">
              <w:rPr>
                <w:rFonts w:ascii="Verdana" w:eastAsia="Times New Roman" w:hAnsi="Verdana" w:cs="Arial"/>
                <w:b/>
                <w:bCs/>
                <w:color w:val="366092"/>
                <w:spacing w:val="-6"/>
                <w:sz w:val="18"/>
                <w:szCs w:val="18"/>
              </w:rPr>
              <w:t xml:space="preserve"> </w:t>
            </w:r>
            <w:r w:rsidR="00817F45" w:rsidRPr="00552C0F">
              <w:rPr>
                <w:rFonts w:ascii="Verdana" w:eastAsia="Times New Roman" w:hAnsi="Verdana" w:cs="Arial"/>
                <w:b/>
                <w:bCs/>
                <w:color w:val="366092"/>
                <w:spacing w:val="-6"/>
                <w:sz w:val="18"/>
                <w:szCs w:val="18"/>
              </w:rPr>
              <w:t>2025 /</w:t>
            </w:r>
          </w:p>
          <w:p w14:paraId="32C0817C" w14:textId="7583E97A" w:rsidR="00817F45" w:rsidRPr="00552C0F" w:rsidRDefault="00381971" w:rsidP="00381971">
            <w:pPr>
              <w:jc w:val="center"/>
              <w:rPr>
                <w:rFonts w:ascii="Verdana" w:eastAsia="Malgun Gothic" w:hAnsi="Verdana" w:cs="Arial"/>
                <w:b/>
                <w:color w:val="366092"/>
                <w:spacing w:val="-6"/>
                <w:sz w:val="18"/>
                <w:szCs w:val="18"/>
              </w:rPr>
            </w:pPr>
            <w:r w:rsidRPr="00552C0F">
              <w:rPr>
                <w:rFonts w:ascii="Verdana" w:eastAsia="Times New Roman" w:hAnsi="Verdana" w:cs="Arial"/>
                <w:b/>
                <w:bCs/>
                <w:color w:val="366092"/>
                <w:spacing w:val="-6"/>
                <w:sz w:val="18"/>
                <w:szCs w:val="18"/>
              </w:rPr>
              <w:t>Σεπ</w:t>
            </w:r>
            <w:r w:rsidR="00E0180E" w:rsidRPr="00552C0F">
              <w:rPr>
                <w:rFonts w:ascii="Verdana" w:eastAsia="Times New Roman" w:hAnsi="Verdana" w:cs="Arial"/>
                <w:b/>
                <w:bCs/>
                <w:color w:val="366092"/>
                <w:spacing w:val="-6"/>
                <w:sz w:val="18"/>
                <w:szCs w:val="18"/>
              </w:rPr>
              <w:t xml:space="preserve"> </w:t>
            </w:r>
            <w:r w:rsidR="00817F45" w:rsidRPr="00552C0F">
              <w:rPr>
                <w:rFonts w:ascii="Verdana" w:eastAsia="Times New Roman" w:hAnsi="Verdana" w:cs="Arial"/>
                <w:b/>
                <w:bCs/>
                <w:color w:val="366092"/>
                <w:spacing w:val="-6"/>
                <w:sz w:val="18"/>
                <w:szCs w:val="18"/>
              </w:rPr>
              <w:t>2024</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4C6168F9" w:rsidR="00817F45" w:rsidRPr="00552C0F" w:rsidRDefault="00817F45" w:rsidP="00303A5B">
            <w:pPr>
              <w:jc w:val="center"/>
              <w:rPr>
                <w:rFonts w:ascii="Verdana" w:eastAsia="Times New Roman" w:hAnsi="Verdana" w:cs="Arial"/>
                <w:b/>
                <w:bCs/>
                <w:color w:val="366092"/>
                <w:spacing w:val="-6"/>
                <w:sz w:val="18"/>
                <w:szCs w:val="18"/>
              </w:rPr>
            </w:pPr>
            <w:r w:rsidRPr="00552C0F">
              <w:rPr>
                <w:rFonts w:ascii="Verdana" w:eastAsia="Times New Roman" w:hAnsi="Verdana" w:cs="Arial"/>
                <w:b/>
                <w:bCs/>
                <w:color w:val="366092"/>
                <w:spacing w:val="-6"/>
                <w:sz w:val="18"/>
                <w:szCs w:val="18"/>
              </w:rPr>
              <w:t>Ιαν-</w:t>
            </w:r>
            <w:r w:rsidR="00381971" w:rsidRPr="00552C0F">
              <w:rPr>
                <w:rFonts w:ascii="Verdana" w:eastAsia="Times New Roman" w:hAnsi="Verdana" w:cs="Arial"/>
                <w:b/>
                <w:bCs/>
                <w:color w:val="366092"/>
                <w:spacing w:val="-6"/>
                <w:sz w:val="18"/>
                <w:szCs w:val="18"/>
              </w:rPr>
              <w:t>Σεπ</w:t>
            </w:r>
            <w:r w:rsidR="00BC0352" w:rsidRPr="00552C0F">
              <w:rPr>
                <w:rFonts w:ascii="Verdana" w:eastAsia="Times New Roman" w:hAnsi="Verdana" w:cs="Arial"/>
                <w:b/>
                <w:bCs/>
                <w:color w:val="366092"/>
                <w:spacing w:val="-6"/>
                <w:sz w:val="18"/>
                <w:szCs w:val="18"/>
              </w:rPr>
              <w:t xml:space="preserve"> </w:t>
            </w:r>
            <w:r w:rsidRPr="00552C0F">
              <w:rPr>
                <w:rFonts w:ascii="Verdana" w:eastAsia="Times New Roman" w:hAnsi="Verdana" w:cs="Arial"/>
                <w:b/>
                <w:bCs/>
                <w:color w:val="366092"/>
                <w:spacing w:val="-6"/>
                <w:sz w:val="18"/>
                <w:szCs w:val="18"/>
              </w:rPr>
              <w:t>202</w:t>
            </w:r>
            <w:r w:rsidR="00E353E7" w:rsidRPr="00552C0F">
              <w:rPr>
                <w:rFonts w:ascii="Verdana" w:eastAsia="Times New Roman" w:hAnsi="Verdana" w:cs="Arial"/>
                <w:b/>
                <w:bCs/>
                <w:color w:val="366092"/>
                <w:spacing w:val="-6"/>
                <w:sz w:val="18"/>
                <w:szCs w:val="18"/>
              </w:rPr>
              <w:t>5</w:t>
            </w:r>
            <w:r w:rsidRPr="00552C0F">
              <w:rPr>
                <w:rFonts w:ascii="Verdana" w:eastAsia="Times New Roman" w:hAnsi="Verdana" w:cs="Arial"/>
                <w:b/>
                <w:bCs/>
                <w:color w:val="366092"/>
                <w:spacing w:val="-6"/>
                <w:sz w:val="18"/>
                <w:szCs w:val="18"/>
              </w:rPr>
              <w:t xml:space="preserve"> /</w:t>
            </w:r>
          </w:p>
          <w:p w14:paraId="5364E245" w14:textId="32C5441A" w:rsidR="00817F45" w:rsidRPr="00552C0F" w:rsidRDefault="00817F45" w:rsidP="00303A5B">
            <w:pPr>
              <w:jc w:val="center"/>
              <w:rPr>
                <w:rFonts w:ascii="Verdana" w:eastAsia="Times New Roman" w:hAnsi="Verdana" w:cs="Arial"/>
                <w:b/>
                <w:bCs/>
                <w:color w:val="366092"/>
                <w:spacing w:val="-6"/>
                <w:sz w:val="18"/>
                <w:szCs w:val="18"/>
              </w:rPr>
            </w:pPr>
            <w:r w:rsidRPr="00552C0F">
              <w:rPr>
                <w:rFonts w:ascii="Verdana" w:eastAsia="Times New Roman" w:hAnsi="Verdana" w:cs="Arial"/>
                <w:b/>
                <w:bCs/>
                <w:color w:val="366092"/>
                <w:spacing w:val="-6"/>
                <w:sz w:val="18"/>
                <w:szCs w:val="18"/>
              </w:rPr>
              <w:t>Ιαν-</w:t>
            </w:r>
            <w:r w:rsidR="00381971" w:rsidRPr="00552C0F">
              <w:rPr>
                <w:rFonts w:ascii="Verdana" w:eastAsia="Times New Roman" w:hAnsi="Verdana" w:cs="Arial"/>
                <w:b/>
                <w:bCs/>
                <w:color w:val="366092"/>
                <w:spacing w:val="-6"/>
                <w:sz w:val="18"/>
                <w:szCs w:val="18"/>
              </w:rPr>
              <w:t>Σεπ</w:t>
            </w:r>
            <w:r w:rsidR="00BC0352" w:rsidRPr="00552C0F">
              <w:rPr>
                <w:rFonts w:ascii="Verdana" w:eastAsia="Times New Roman" w:hAnsi="Verdana" w:cs="Arial"/>
                <w:b/>
                <w:bCs/>
                <w:color w:val="366092"/>
                <w:spacing w:val="-6"/>
                <w:sz w:val="18"/>
                <w:szCs w:val="18"/>
              </w:rPr>
              <w:t xml:space="preserve"> </w:t>
            </w:r>
            <w:r w:rsidRPr="00552C0F">
              <w:rPr>
                <w:rFonts w:ascii="Verdana" w:eastAsia="Times New Roman" w:hAnsi="Verdana" w:cs="Arial"/>
                <w:b/>
                <w:bCs/>
                <w:color w:val="366092"/>
                <w:spacing w:val="-6"/>
                <w:sz w:val="18"/>
                <w:szCs w:val="18"/>
              </w:rPr>
              <w:t>2024</w:t>
            </w:r>
          </w:p>
        </w:tc>
      </w:tr>
      <w:tr w:rsidR="00552C0F" w:rsidRPr="00552C0F"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A62E6B" w:rsidRPr="00552C0F" w:rsidRDefault="00A62E6B" w:rsidP="00A62E6B">
            <w:pPr>
              <w:ind w:left="170"/>
              <w:rPr>
                <w:rFonts w:ascii="Verdana" w:eastAsia="Malgun Gothic" w:hAnsi="Verdana" w:cs="Arial"/>
                <w:b/>
                <w:color w:val="366092"/>
                <w:sz w:val="18"/>
                <w:szCs w:val="18"/>
              </w:rPr>
            </w:pPr>
            <w:r w:rsidRPr="00552C0F">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65016A87"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135,71</w:t>
            </w:r>
          </w:p>
        </w:tc>
        <w:tc>
          <w:tcPr>
            <w:tcW w:w="1417" w:type="dxa"/>
            <w:tcBorders>
              <w:top w:val="single" w:sz="4" w:space="0" w:color="366092"/>
              <w:left w:val="nil"/>
              <w:bottom w:val="nil"/>
              <w:right w:val="nil"/>
            </w:tcBorders>
            <w:vAlign w:val="center"/>
          </w:tcPr>
          <w:p w14:paraId="2241AB41" w14:textId="53F2AF70" w:rsidR="00A62E6B" w:rsidRPr="00552C0F" w:rsidRDefault="00A62E6B" w:rsidP="00A62E6B">
            <w:pPr>
              <w:ind w:right="255"/>
              <w:jc w:val="right"/>
              <w:rPr>
                <w:color w:val="366092"/>
              </w:rPr>
            </w:pPr>
            <w:r w:rsidRPr="00552C0F">
              <w:rPr>
                <w:rFonts w:ascii="Verdana" w:hAnsi="Verdana" w:cs="Calibri"/>
                <w:b/>
                <w:bCs/>
                <w:color w:val="366092"/>
                <w:sz w:val="18"/>
                <w:szCs w:val="18"/>
              </w:rPr>
              <w:t>0,18</w:t>
            </w:r>
          </w:p>
        </w:tc>
        <w:tc>
          <w:tcPr>
            <w:tcW w:w="1276" w:type="dxa"/>
            <w:tcBorders>
              <w:top w:val="single" w:sz="4" w:space="0" w:color="366092"/>
              <w:left w:val="nil"/>
              <w:bottom w:val="nil"/>
              <w:right w:val="nil"/>
            </w:tcBorders>
            <w:vAlign w:val="center"/>
          </w:tcPr>
          <w:p w14:paraId="4C539808" w14:textId="01E5D6C1"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3,62</w:t>
            </w:r>
          </w:p>
        </w:tc>
        <w:tc>
          <w:tcPr>
            <w:tcW w:w="1667" w:type="dxa"/>
            <w:tcBorders>
              <w:top w:val="single" w:sz="4" w:space="0" w:color="366092"/>
              <w:left w:val="nil"/>
              <w:bottom w:val="nil"/>
              <w:right w:val="nil"/>
            </w:tcBorders>
            <w:vAlign w:val="center"/>
          </w:tcPr>
          <w:p w14:paraId="3DFC4652" w14:textId="7E2C9191"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3,22</w:t>
            </w:r>
          </w:p>
        </w:tc>
      </w:tr>
      <w:tr w:rsidR="00552C0F" w:rsidRPr="00552C0F"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47449F89"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137,85</w:t>
            </w:r>
          </w:p>
        </w:tc>
        <w:tc>
          <w:tcPr>
            <w:tcW w:w="1417" w:type="dxa"/>
            <w:tcBorders>
              <w:top w:val="nil"/>
              <w:left w:val="nil"/>
              <w:bottom w:val="nil"/>
              <w:right w:val="nil"/>
            </w:tcBorders>
            <w:vAlign w:val="center"/>
          </w:tcPr>
          <w:p w14:paraId="2B995ADE" w14:textId="289835BC"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353FB224" w14:textId="582F8A84"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9,48</w:t>
            </w:r>
          </w:p>
        </w:tc>
        <w:tc>
          <w:tcPr>
            <w:tcW w:w="1667" w:type="dxa"/>
            <w:tcBorders>
              <w:top w:val="nil"/>
              <w:left w:val="nil"/>
              <w:bottom w:val="nil"/>
              <w:right w:val="nil"/>
            </w:tcBorders>
            <w:vAlign w:val="center"/>
          </w:tcPr>
          <w:p w14:paraId="67A1F175" w14:textId="1D572F6F"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7,37</w:t>
            </w:r>
          </w:p>
        </w:tc>
      </w:tr>
      <w:tr w:rsidR="00552C0F" w:rsidRPr="00552C0F"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491F408E"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138,28</w:t>
            </w:r>
          </w:p>
        </w:tc>
        <w:tc>
          <w:tcPr>
            <w:tcW w:w="1417" w:type="dxa"/>
            <w:tcBorders>
              <w:top w:val="nil"/>
              <w:left w:val="nil"/>
              <w:bottom w:val="nil"/>
              <w:right w:val="nil"/>
            </w:tcBorders>
            <w:vAlign w:val="center"/>
          </w:tcPr>
          <w:p w14:paraId="6D90F5E5" w14:textId="45600B2E"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0,41</w:t>
            </w:r>
          </w:p>
        </w:tc>
        <w:tc>
          <w:tcPr>
            <w:tcW w:w="1276" w:type="dxa"/>
            <w:tcBorders>
              <w:top w:val="nil"/>
              <w:left w:val="nil"/>
              <w:bottom w:val="nil"/>
              <w:right w:val="nil"/>
            </w:tcBorders>
            <w:vAlign w:val="center"/>
          </w:tcPr>
          <w:p w14:paraId="6D3648CD" w14:textId="75E41210"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-1,28</w:t>
            </w:r>
          </w:p>
        </w:tc>
        <w:tc>
          <w:tcPr>
            <w:tcW w:w="1667" w:type="dxa"/>
            <w:tcBorders>
              <w:top w:val="nil"/>
              <w:left w:val="nil"/>
              <w:bottom w:val="nil"/>
              <w:right w:val="nil"/>
            </w:tcBorders>
            <w:vAlign w:val="center"/>
          </w:tcPr>
          <w:p w14:paraId="5693CEFE" w14:textId="1722E6D8"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-0,75</w:t>
            </w:r>
          </w:p>
        </w:tc>
      </w:tr>
      <w:tr w:rsidR="00552C0F" w:rsidRPr="00552C0F"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325C4352"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130,20</w:t>
            </w:r>
          </w:p>
        </w:tc>
        <w:tc>
          <w:tcPr>
            <w:tcW w:w="1417" w:type="dxa"/>
            <w:tcBorders>
              <w:top w:val="nil"/>
              <w:left w:val="nil"/>
              <w:bottom w:val="nil"/>
              <w:right w:val="nil"/>
            </w:tcBorders>
            <w:vAlign w:val="center"/>
          </w:tcPr>
          <w:p w14:paraId="64BFFE65" w14:textId="52D36A7F"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348F4800" w14:textId="65E00ECF"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6,36</w:t>
            </w:r>
          </w:p>
        </w:tc>
        <w:tc>
          <w:tcPr>
            <w:tcW w:w="1667" w:type="dxa"/>
            <w:tcBorders>
              <w:top w:val="nil"/>
              <w:left w:val="nil"/>
              <w:bottom w:val="nil"/>
              <w:right w:val="nil"/>
            </w:tcBorders>
            <w:vAlign w:val="center"/>
          </w:tcPr>
          <w:p w14:paraId="77CA03A2" w14:textId="5719E9A4"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5,98</w:t>
            </w:r>
          </w:p>
        </w:tc>
      </w:tr>
      <w:tr w:rsidR="00552C0F" w:rsidRPr="00552C0F"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A62E6B" w:rsidRPr="00552C0F" w:rsidRDefault="00A62E6B" w:rsidP="00A62E6B">
            <w:pPr>
              <w:ind w:left="170"/>
              <w:rPr>
                <w:rFonts w:ascii="Verdana" w:eastAsia="Malgun Gothic" w:hAnsi="Verdana" w:cs="Arial"/>
                <w:b/>
                <w:color w:val="366092"/>
                <w:sz w:val="18"/>
                <w:szCs w:val="18"/>
              </w:rPr>
            </w:pPr>
            <w:r w:rsidRPr="00552C0F">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600CD261"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126,23</w:t>
            </w:r>
          </w:p>
        </w:tc>
        <w:tc>
          <w:tcPr>
            <w:tcW w:w="1417" w:type="dxa"/>
            <w:tcBorders>
              <w:top w:val="nil"/>
              <w:left w:val="nil"/>
              <w:bottom w:val="nil"/>
              <w:right w:val="nil"/>
            </w:tcBorders>
            <w:vAlign w:val="center"/>
          </w:tcPr>
          <w:p w14:paraId="441032F3" w14:textId="1695A9FF" w:rsidR="00A62E6B" w:rsidRPr="00552C0F" w:rsidRDefault="00A62E6B" w:rsidP="00A62E6B">
            <w:pPr>
              <w:ind w:right="255"/>
              <w:jc w:val="right"/>
              <w:rPr>
                <w:rFonts w:ascii="Verdana" w:eastAsia="Malgun Gothic" w:hAnsi="Verdana" w:cs="Arial"/>
                <w:b/>
                <w:color w:val="366092"/>
                <w:sz w:val="18"/>
                <w:szCs w:val="18"/>
              </w:rPr>
            </w:pPr>
            <w:r w:rsidRPr="00552C0F">
              <w:rPr>
                <w:rFonts w:ascii="Verdana" w:hAnsi="Verdana" w:cs="Calibri"/>
                <w:b/>
                <w:bCs/>
                <w:color w:val="366092"/>
                <w:sz w:val="18"/>
                <w:szCs w:val="18"/>
              </w:rPr>
              <w:t>0,00</w:t>
            </w:r>
          </w:p>
        </w:tc>
        <w:tc>
          <w:tcPr>
            <w:tcW w:w="1276" w:type="dxa"/>
            <w:tcBorders>
              <w:top w:val="nil"/>
              <w:left w:val="nil"/>
              <w:bottom w:val="nil"/>
              <w:right w:val="nil"/>
            </w:tcBorders>
            <w:vAlign w:val="center"/>
          </w:tcPr>
          <w:p w14:paraId="3C7F6C9E" w14:textId="5E309F13"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3,30</w:t>
            </w:r>
          </w:p>
        </w:tc>
        <w:tc>
          <w:tcPr>
            <w:tcW w:w="1667" w:type="dxa"/>
            <w:tcBorders>
              <w:top w:val="nil"/>
              <w:left w:val="nil"/>
              <w:bottom w:val="nil"/>
              <w:right w:val="nil"/>
            </w:tcBorders>
            <w:vAlign w:val="center"/>
          </w:tcPr>
          <w:p w14:paraId="7F76C927" w14:textId="3E9C6E69"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3,10</w:t>
            </w:r>
          </w:p>
        </w:tc>
      </w:tr>
      <w:tr w:rsidR="00552C0F" w:rsidRPr="00552C0F"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6C22640D"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126,39</w:t>
            </w:r>
          </w:p>
        </w:tc>
        <w:tc>
          <w:tcPr>
            <w:tcW w:w="1417" w:type="dxa"/>
            <w:tcBorders>
              <w:top w:val="nil"/>
              <w:left w:val="nil"/>
              <w:bottom w:val="nil"/>
              <w:right w:val="nil"/>
            </w:tcBorders>
            <w:vAlign w:val="center"/>
          </w:tcPr>
          <w:p w14:paraId="2100764B" w14:textId="0BD80105"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29C6CCC6" w14:textId="7564FC41"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3,79</w:t>
            </w:r>
          </w:p>
        </w:tc>
        <w:tc>
          <w:tcPr>
            <w:tcW w:w="1667" w:type="dxa"/>
            <w:tcBorders>
              <w:top w:val="nil"/>
              <w:left w:val="nil"/>
              <w:bottom w:val="nil"/>
              <w:right w:val="nil"/>
            </w:tcBorders>
            <w:vAlign w:val="center"/>
          </w:tcPr>
          <w:p w14:paraId="4AAAA43E" w14:textId="11FD9B3A"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3,39</w:t>
            </w:r>
          </w:p>
        </w:tc>
      </w:tr>
      <w:tr w:rsidR="00552C0F" w:rsidRPr="00552C0F"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1F49F3AA"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125,70</w:t>
            </w:r>
          </w:p>
        </w:tc>
        <w:tc>
          <w:tcPr>
            <w:tcW w:w="1417" w:type="dxa"/>
            <w:tcBorders>
              <w:top w:val="nil"/>
              <w:left w:val="nil"/>
              <w:bottom w:val="nil"/>
              <w:right w:val="nil"/>
            </w:tcBorders>
            <w:vAlign w:val="center"/>
          </w:tcPr>
          <w:p w14:paraId="1A35044C" w14:textId="19A5CD22"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7EF2A994" w14:textId="17799A95"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1,66</w:t>
            </w:r>
          </w:p>
        </w:tc>
        <w:tc>
          <w:tcPr>
            <w:tcW w:w="1667" w:type="dxa"/>
            <w:tcBorders>
              <w:top w:val="nil"/>
              <w:left w:val="nil"/>
              <w:bottom w:val="nil"/>
              <w:right w:val="nil"/>
            </w:tcBorders>
            <w:vAlign w:val="center"/>
          </w:tcPr>
          <w:p w14:paraId="3E608807" w14:textId="453BBF2B"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2,15</w:t>
            </w:r>
          </w:p>
        </w:tc>
      </w:tr>
      <w:tr w:rsidR="00552C0F" w:rsidRPr="00552C0F"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A62E6B" w:rsidRPr="00552C0F" w:rsidRDefault="00A62E6B" w:rsidP="00A62E6B">
            <w:pPr>
              <w:ind w:left="170"/>
              <w:rPr>
                <w:rFonts w:ascii="Verdana" w:eastAsia="Malgun Gothic" w:hAnsi="Verdana" w:cs="Arial"/>
                <w:b/>
                <w:color w:val="366092"/>
                <w:sz w:val="18"/>
                <w:szCs w:val="18"/>
              </w:rPr>
            </w:pPr>
            <w:r w:rsidRPr="00552C0F">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49F79677"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120,39</w:t>
            </w:r>
          </w:p>
        </w:tc>
        <w:tc>
          <w:tcPr>
            <w:tcW w:w="1417" w:type="dxa"/>
            <w:tcBorders>
              <w:top w:val="nil"/>
              <w:left w:val="nil"/>
              <w:bottom w:val="nil"/>
              <w:right w:val="nil"/>
            </w:tcBorders>
            <w:vAlign w:val="center"/>
          </w:tcPr>
          <w:p w14:paraId="2190D3A1" w14:textId="4C518631" w:rsidR="00A62E6B" w:rsidRPr="00552C0F" w:rsidRDefault="00A62E6B" w:rsidP="00A62E6B">
            <w:pPr>
              <w:ind w:right="255"/>
              <w:jc w:val="right"/>
              <w:rPr>
                <w:rFonts w:ascii="Verdana" w:eastAsia="Malgun Gothic" w:hAnsi="Verdana" w:cs="Arial"/>
                <w:b/>
                <w:color w:val="366092"/>
                <w:sz w:val="18"/>
                <w:szCs w:val="18"/>
              </w:rPr>
            </w:pPr>
            <w:r w:rsidRPr="00552C0F">
              <w:rPr>
                <w:rFonts w:ascii="Verdana" w:hAnsi="Verdana" w:cs="Calibri"/>
                <w:b/>
                <w:bCs/>
                <w:color w:val="366092"/>
                <w:sz w:val="18"/>
                <w:szCs w:val="18"/>
              </w:rPr>
              <w:t>0,10</w:t>
            </w:r>
          </w:p>
        </w:tc>
        <w:tc>
          <w:tcPr>
            <w:tcW w:w="1276" w:type="dxa"/>
            <w:tcBorders>
              <w:top w:val="nil"/>
              <w:left w:val="nil"/>
              <w:bottom w:val="nil"/>
              <w:right w:val="nil"/>
            </w:tcBorders>
            <w:vAlign w:val="center"/>
          </w:tcPr>
          <w:p w14:paraId="4C138ED2" w14:textId="05EDF10C"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1,05</w:t>
            </w:r>
          </w:p>
        </w:tc>
        <w:tc>
          <w:tcPr>
            <w:tcW w:w="1667" w:type="dxa"/>
            <w:tcBorders>
              <w:top w:val="nil"/>
              <w:left w:val="nil"/>
              <w:bottom w:val="nil"/>
              <w:right w:val="nil"/>
            </w:tcBorders>
            <w:vAlign w:val="center"/>
          </w:tcPr>
          <w:p w14:paraId="255AE522" w14:textId="39BF2BC2"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0,78</w:t>
            </w:r>
          </w:p>
        </w:tc>
      </w:tr>
      <w:tr w:rsidR="00552C0F" w:rsidRPr="00552C0F"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3F3F4A9A"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121,73</w:t>
            </w:r>
          </w:p>
        </w:tc>
        <w:tc>
          <w:tcPr>
            <w:tcW w:w="1417" w:type="dxa"/>
            <w:tcBorders>
              <w:top w:val="nil"/>
              <w:left w:val="nil"/>
              <w:bottom w:val="nil"/>
              <w:right w:val="nil"/>
            </w:tcBorders>
            <w:vAlign w:val="center"/>
          </w:tcPr>
          <w:p w14:paraId="0C70A360" w14:textId="62E1B8E6"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0,12</w:t>
            </w:r>
          </w:p>
        </w:tc>
        <w:tc>
          <w:tcPr>
            <w:tcW w:w="1276" w:type="dxa"/>
            <w:tcBorders>
              <w:top w:val="nil"/>
              <w:left w:val="nil"/>
              <w:bottom w:val="nil"/>
              <w:right w:val="nil"/>
            </w:tcBorders>
            <w:vAlign w:val="center"/>
          </w:tcPr>
          <w:p w14:paraId="58385D29" w14:textId="14E4B104"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0,56</w:t>
            </w:r>
          </w:p>
        </w:tc>
        <w:tc>
          <w:tcPr>
            <w:tcW w:w="1667" w:type="dxa"/>
            <w:tcBorders>
              <w:top w:val="nil"/>
              <w:left w:val="nil"/>
              <w:bottom w:val="nil"/>
              <w:right w:val="nil"/>
            </w:tcBorders>
            <w:vAlign w:val="center"/>
          </w:tcPr>
          <w:p w14:paraId="055ACC15" w14:textId="3840B1D6"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0,54</w:t>
            </w:r>
          </w:p>
        </w:tc>
      </w:tr>
      <w:tr w:rsidR="00552C0F" w:rsidRPr="00552C0F"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21C2FE52"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117,32</w:t>
            </w:r>
          </w:p>
        </w:tc>
        <w:tc>
          <w:tcPr>
            <w:tcW w:w="1417" w:type="dxa"/>
            <w:tcBorders>
              <w:top w:val="nil"/>
              <w:left w:val="nil"/>
              <w:bottom w:val="nil"/>
              <w:right w:val="nil"/>
            </w:tcBorders>
            <w:vAlign w:val="center"/>
          </w:tcPr>
          <w:p w14:paraId="620816A0" w14:textId="24BF7DB4"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6B58D290" w14:textId="58C1B752"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2,87</w:t>
            </w:r>
          </w:p>
        </w:tc>
        <w:tc>
          <w:tcPr>
            <w:tcW w:w="1667" w:type="dxa"/>
            <w:tcBorders>
              <w:top w:val="nil"/>
              <w:left w:val="nil"/>
              <w:bottom w:val="nil"/>
              <w:right w:val="nil"/>
            </w:tcBorders>
            <w:vAlign w:val="center"/>
          </w:tcPr>
          <w:p w14:paraId="4992C15E" w14:textId="6B9B18EF"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2,10</w:t>
            </w:r>
          </w:p>
        </w:tc>
      </w:tr>
      <w:tr w:rsidR="00552C0F" w:rsidRPr="00552C0F"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1E313B9B"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112,84</w:t>
            </w:r>
          </w:p>
        </w:tc>
        <w:tc>
          <w:tcPr>
            <w:tcW w:w="1417" w:type="dxa"/>
            <w:tcBorders>
              <w:top w:val="nil"/>
              <w:left w:val="nil"/>
              <w:bottom w:val="nil"/>
              <w:right w:val="nil"/>
            </w:tcBorders>
            <w:vAlign w:val="center"/>
          </w:tcPr>
          <w:p w14:paraId="2152E958" w14:textId="60B5E481"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0,00</w:t>
            </w:r>
          </w:p>
        </w:tc>
        <w:tc>
          <w:tcPr>
            <w:tcW w:w="1276" w:type="dxa"/>
            <w:tcBorders>
              <w:top w:val="nil"/>
              <w:left w:val="nil"/>
              <w:bottom w:val="nil"/>
              <w:right w:val="nil"/>
            </w:tcBorders>
            <w:vAlign w:val="center"/>
          </w:tcPr>
          <w:p w14:paraId="04CE8CDF" w14:textId="15FDA972"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1,68</w:t>
            </w:r>
          </w:p>
        </w:tc>
        <w:tc>
          <w:tcPr>
            <w:tcW w:w="1667" w:type="dxa"/>
            <w:tcBorders>
              <w:top w:val="nil"/>
              <w:left w:val="nil"/>
              <w:bottom w:val="nil"/>
              <w:right w:val="nil"/>
            </w:tcBorders>
            <w:vAlign w:val="center"/>
          </w:tcPr>
          <w:p w14:paraId="02FEE776" w14:textId="044E5698"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0,91</w:t>
            </w:r>
          </w:p>
        </w:tc>
      </w:tr>
      <w:tr w:rsidR="00552C0F" w:rsidRPr="00552C0F"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A62E6B" w:rsidRPr="00552C0F" w:rsidRDefault="00A62E6B" w:rsidP="00A62E6B">
            <w:pPr>
              <w:ind w:left="-21" w:firstLine="21"/>
              <w:rPr>
                <w:rFonts w:ascii="Verdana" w:eastAsia="Times New Roman" w:hAnsi="Verdana" w:cs="Arial"/>
                <w:color w:val="366092"/>
                <w:sz w:val="18"/>
                <w:szCs w:val="18"/>
              </w:rPr>
            </w:pPr>
            <w:r w:rsidRPr="00552C0F">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1DF52184"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124,47</w:t>
            </w:r>
          </w:p>
        </w:tc>
        <w:tc>
          <w:tcPr>
            <w:tcW w:w="1417" w:type="dxa"/>
            <w:tcBorders>
              <w:top w:val="nil"/>
              <w:left w:val="nil"/>
              <w:bottom w:val="nil"/>
              <w:right w:val="nil"/>
            </w:tcBorders>
            <w:vAlign w:val="center"/>
          </w:tcPr>
          <w:p w14:paraId="3C845FBD" w14:textId="69FC57B8"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0,15</w:t>
            </w:r>
          </w:p>
        </w:tc>
        <w:tc>
          <w:tcPr>
            <w:tcW w:w="1276" w:type="dxa"/>
            <w:tcBorders>
              <w:top w:val="nil"/>
              <w:left w:val="nil"/>
              <w:bottom w:val="nil"/>
              <w:right w:val="nil"/>
            </w:tcBorders>
            <w:vAlign w:val="center"/>
          </w:tcPr>
          <w:p w14:paraId="3D59A3BC" w14:textId="6A21BDBA"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1,47</w:t>
            </w:r>
          </w:p>
        </w:tc>
        <w:tc>
          <w:tcPr>
            <w:tcW w:w="1667" w:type="dxa"/>
            <w:tcBorders>
              <w:top w:val="nil"/>
              <w:left w:val="nil"/>
              <w:bottom w:val="nil"/>
              <w:right w:val="nil"/>
            </w:tcBorders>
            <w:vAlign w:val="center"/>
          </w:tcPr>
          <w:p w14:paraId="32EB477A" w14:textId="4A6602A0"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0,82</w:t>
            </w:r>
          </w:p>
        </w:tc>
      </w:tr>
      <w:tr w:rsidR="00552C0F" w:rsidRPr="00552C0F"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A62E6B" w:rsidRPr="00552C0F" w:rsidRDefault="00A62E6B" w:rsidP="00A62E6B">
            <w:pPr>
              <w:ind w:left="170"/>
              <w:rPr>
                <w:rFonts w:ascii="Verdana" w:eastAsia="Malgun Gothic" w:hAnsi="Verdana" w:cs="Arial"/>
                <w:b/>
                <w:color w:val="366092"/>
                <w:sz w:val="18"/>
                <w:szCs w:val="18"/>
              </w:rPr>
            </w:pPr>
            <w:r w:rsidRPr="00552C0F">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296FCC22"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106,12</w:t>
            </w:r>
          </w:p>
        </w:tc>
        <w:tc>
          <w:tcPr>
            <w:tcW w:w="1417" w:type="dxa"/>
            <w:tcBorders>
              <w:top w:val="nil"/>
              <w:left w:val="nil"/>
              <w:bottom w:val="nil"/>
              <w:right w:val="nil"/>
            </w:tcBorders>
            <w:vAlign w:val="center"/>
          </w:tcPr>
          <w:p w14:paraId="39F35392" w14:textId="5E27FF28" w:rsidR="00A62E6B" w:rsidRPr="00552C0F" w:rsidRDefault="00A62E6B" w:rsidP="00A62E6B">
            <w:pPr>
              <w:ind w:right="255"/>
              <w:jc w:val="right"/>
              <w:rPr>
                <w:rFonts w:ascii="Verdana" w:eastAsia="Malgun Gothic" w:hAnsi="Verdana" w:cs="Arial"/>
                <w:b/>
                <w:color w:val="366092"/>
                <w:sz w:val="18"/>
                <w:szCs w:val="18"/>
              </w:rPr>
            </w:pPr>
            <w:r w:rsidRPr="00552C0F">
              <w:rPr>
                <w:rFonts w:ascii="Verdana" w:hAnsi="Verdana" w:cs="Calibri"/>
                <w:b/>
                <w:bCs/>
                <w:color w:val="366092"/>
                <w:sz w:val="18"/>
                <w:szCs w:val="18"/>
              </w:rPr>
              <w:t>-0,53</w:t>
            </w:r>
          </w:p>
        </w:tc>
        <w:tc>
          <w:tcPr>
            <w:tcW w:w="1276" w:type="dxa"/>
            <w:tcBorders>
              <w:top w:val="nil"/>
              <w:left w:val="nil"/>
              <w:bottom w:val="nil"/>
              <w:right w:val="nil"/>
            </w:tcBorders>
            <w:vAlign w:val="center"/>
          </w:tcPr>
          <w:p w14:paraId="46D9E5D9" w14:textId="747108E0"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-0,59</w:t>
            </w:r>
          </w:p>
        </w:tc>
        <w:tc>
          <w:tcPr>
            <w:tcW w:w="1667" w:type="dxa"/>
            <w:tcBorders>
              <w:top w:val="nil"/>
              <w:left w:val="nil"/>
              <w:bottom w:val="nil"/>
              <w:right w:val="nil"/>
            </w:tcBorders>
            <w:vAlign w:val="center"/>
          </w:tcPr>
          <w:p w14:paraId="30539F8F" w14:textId="3CF00C71"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-0,82</w:t>
            </w:r>
          </w:p>
        </w:tc>
      </w:tr>
      <w:tr w:rsidR="00552C0F" w:rsidRPr="00552C0F"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63A1CC0B"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101,16</w:t>
            </w:r>
          </w:p>
        </w:tc>
        <w:tc>
          <w:tcPr>
            <w:tcW w:w="1417" w:type="dxa"/>
            <w:tcBorders>
              <w:top w:val="nil"/>
              <w:left w:val="nil"/>
              <w:bottom w:val="nil"/>
              <w:right w:val="nil"/>
            </w:tcBorders>
            <w:vAlign w:val="center"/>
          </w:tcPr>
          <w:p w14:paraId="3FD1AF68" w14:textId="7CEF58DC"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-0,86</w:t>
            </w:r>
          </w:p>
        </w:tc>
        <w:tc>
          <w:tcPr>
            <w:tcW w:w="1276" w:type="dxa"/>
            <w:tcBorders>
              <w:top w:val="nil"/>
              <w:left w:val="nil"/>
              <w:bottom w:val="nil"/>
              <w:right w:val="nil"/>
            </w:tcBorders>
            <w:vAlign w:val="center"/>
          </w:tcPr>
          <w:p w14:paraId="6A42F0C9" w14:textId="4289E129"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-1,57</w:t>
            </w:r>
          </w:p>
        </w:tc>
        <w:tc>
          <w:tcPr>
            <w:tcW w:w="1667" w:type="dxa"/>
            <w:tcBorders>
              <w:top w:val="nil"/>
              <w:left w:val="nil"/>
              <w:bottom w:val="nil"/>
              <w:right w:val="nil"/>
            </w:tcBorders>
            <w:vAlign w:val="center"/>
          </w:tcPr>
          <w:p w14:paraId="251C3E37" w14:textId="2BF98345"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-2,02</w:t>
            </w:r>
          </w:p>
        </w:tc>
      </w:tr>
      <w:tr w:rsidR="00552C0F" w:rsidRPr="00552C0F"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5CF6457A"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117,37</w:t>
            </w:r>
          </w:p>
        </w:tc>
        <w:tc>
          <w:tcPr>
            <w:tcW w:w="1417" w:type="dxa"/>
            <w:tcBorders>
              <w:top w:val="nil"/>
              <w:left w:val="nil"/>
              <w:bottom w:val="nil"/>
              <w:right w:val="nil"/>
            </w:tcBorders>
            <w:vAlign w:val="center"/>
          </w:tcPr>
          <w:p w14:paraId="21CFD504" w14:textId="62086C08"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0,11</w:t>
            </w:r>
          </w:p>
        </w:tc>
        <w:tc>
          <w:tcPr>
            <w:tcW w:w="1276" w:type="dxa"/>
            <w:tcBorders>
              <w:top w:val="nil"/>
              <w:left w:val="nil"/>
              <w:bottom w:val="nil"/>
              <w:right w:val="nil"/>
            </w:tcBorders>
            <w:vAlign w:val="center"/>
          </w:tcPr>
          <w:p w14:paraId="3D2BB1C0" w14:textId="4E4420EE"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1,37</w:t>
            </w:r>
          </w:p>
        </w:tc>
        <w:tc>
          <w:tcPr>
            <w:tcW w:w="1667" w:type="dxa"/>
            <w:tcBorders>
              <w:top w:val="nil"/>
              <w:left w:val="nil"/>
              <w:bottom w:val="nil"/>
              <w:right w:val="nil"/>
            </w:tcBorders>
            <w:vAlign w:val="center"/>
          </w:tcPr>
          <w:p w14:paraId="504EEE89" w14:textId="5089D755"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1,68</w:t>
            </w:r>
          </w:p>
        </w:tc>
      </w:tr>
      <w:tr w:rsidR="00552C0F" w:rsidRPr="00552C0F"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A62E6B" w:rsidRPr="00552C0F" w:rsidRDefault="00A62E6B" w:rsidP="00A62E6B">
            <w:pPr>
              <w:ind w:left="170"/>
              <w:rPr>
                <w:rFonts w:ascii="Verdana" w:eastAsia="Malgun Gothic" w:hAnsi="Verdana" w:cs="Arial"/>
                <w:b/>
                <w:color w:val="366092"/>
                <w:sz w:val="18"/>
                <w:szCs w:val="18"/>
              </w:rPr>
            </w:pPr>
            <w:r w:rsidRPr="00552C0F">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Malgun Gothic" w:hAnsi="Verdana" w:cs="Arial"/>
                <w:b/>
                <w:color w:val="366092"/>
                <w:sz w:val="18"/>
                <w:szCs w:val="18"/>
              </w:rPr>
              <w:t>Ηλεκτρο</w:t>
            </w:r>
            <w:r w:rsidRPr="00552C0F">
              <w:rPr>
                <w:rFonts w:ascii="Verdana" w:eastAsia="Times New Roman" w:hAnsi="Verdana" w:cs="Arial"/>
                <w:b/>
                <w:color w:val="366092"/>
                <w:sz w:val="18"/>
                <w:szCs w:val="18"/>
              </w:rPr>
              <w:t>μηχανολογικά ε</w:t>
            </w:r>
            <w:r w:rsidRPr="00552C0F">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277BFF3A"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115,34</w:t>
            </w:r>
          </w:p>
        </w:tc>
        <w:tc>
          <w:tcPr>
            <w:tcW w:w="1417" w:type="dxa"/>
            <w:tcBorders>
              <w:top w:val="nil"/>
              <w:left w:val="nil"/>
              <w:bottom w:val="nil"/>
              <w:right w:val="nil"/>
            </w:tcBorders>
            <w:vAlign w:val="center"/>
          </w:tcPr>
          <w:p w14:paraId="1A771668" w14:textId="6D853EB3" w:rsidR="00A62E6B" w:rsidRPr="00552C0F" w:rsidRDefault="00A62E6B" w:rsidP="00A62E6B">
            <w:pPr>
              <w:ind w:right="255"/>
              <w:jc w:val="right"/>
              <w:rPr>
                <w:rFonts w:ascii="Verdana" w:eastAsia="Malgun Gothic" w:hAnsi="Verdana" w:cs="Arial"/>
                <w:b/>
                <w:color w:val="366092"/>
                <w:sz w:val="18"/>
                <w:szCs w:val="18"/>
              </w:rPr>
            </w:pPr>
            <w:r w:rsidRPr="00552C0F">
              <w:rPr>
                <w:rFonts w:ascii="Verdana" w:hAnsi="Verdana" w:cs="Calibri"/>
                <w:b/>
                <w:bCs/>
                <w:color w:val="366092"/>
                <w:sz w:val="18"/>
                <w:szCs w:val="18"/>
              </w:rPr>
              <w:t>0,15</w:t>
            </w:r>
          </w:p>
        </w:tc>
        <w:tc>
          <w:tcPr>
            <w:tcW w:w="1276" w:type="dxa"/>
            <w:tcBorders>
              <w:top w:val="nil"/>
              <w:left w:val="nil"/>
              <w:bottom w:val="nil"/>
              <w:right w:val="nil"/>
            </w:tcBorders>
            <w:vAlign w:val="center"/>
          </w:tcPr>
          <w:p w14:paraId="65A366F3" w14:textId="7C99E856"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0,19</w:t>
            </w:r>
          </w:p>
        </w:tc>
        <w:tc>
          <w:tcPr>
            <w:tcW w:w="1667" w:type="dxa"/>
            <w:tcBorders>
              <w:top w:val="nil"/>
              <w:left w:val="nil"/>
              <w:bottom w:val="nil"/>
              <w:right w:val="nil"/>
            </w:tcBorders>
            <w:vAlign w:val="center"/>
          </w:tcPr>
          <w:p w14:paraId="48B169F1" w14:textId="596D598A"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0,64</w:t>
            </w:r>
          </w:p>
        </w:tc>
      </w:tr>
      <w:tr w:rsidR="00552C0F" w:rsidRPr="00552C0F"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4C3E887F"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132,49</w:t>
            </w:r>
          </w:p>
        </w:tc>
        <w:tc>
          <w:tcPr>
            <w:tcW w:w="1417" w:type="dxa"/>
            <w:tcBorders>
              <w:top w:val="nil"/>
              <w:left w:val="nil"/>
              <w:bottom w:val="nil"/>
              <w:right w:val="nil"/>
            </w:tcBorders>
            <w:vAlign w:val="center"/>
          </w:tcPr>
          <w:p w14:paraId="3F3E1F1A" w14:textId="2F1E3F78"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0,17</w:t>
            </w:r>
          </w:p>
        </w:tc>
        <w:tc>
          <w:tcPr>
            <w:tcW w:w="1276" w:type="dxa"/>
            <w:tcBorders>
              <w:top w:val="nil"/>
              <w:left w:val="nil"/>
              <w:bottom w:val="nil"/>
              <w:right w:val="nil"/>
            </w:tcBorders>
            <w:vAlign w:val="center"/>
          </w:tcPr>
          <w:p w14:paraId="4D3BFE2A" w14:textId="5CBB714C"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2,32</w:t>
            </w:r>
          </w:p>
        </w:tc>
        <w:tc>
          <w:tcPr>
            <w:tcW w:w="1667" w:type="dxa"/>
            <w:tcBorders>
              <w:top w:val="nil"/>
              <w:left w:val="nil"/>
              <w:bottom w:val="nil"/>
              <w:right w:val="nil"/>
            </w:tcBorders>
            <w:vAlign w:val="center"/>
          </w:tcPr>
          <w:p w14:paraId="1192634F" w14:textId="0ED4B575"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4,16</w:t>
            </w:r>
          </w:p>
        </w:tc>
      </w:tr>
      <w:tr w:rsidR="00552C0F" w:rsidRPr="00552C0F"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A62E6B" w:rsidRPr="00552C0F" w:rsidRDefault="00A62E6B" w:rsidP="00A62E6B">
            <w:pPr>
              <w:ind w:left="-21" w:firstLine="21"/>
              <w:rPr>
                <w:rFonts w:ascii="Verdana" w:eastAsia="Malgun Gothic" w:hAnsi="Verdana" w:cs="Arial"/>
                <w:b/>
                <w:color w:val="366092"/>
                <w:sz w:val="18"/>
                <w:szCs w:val="18"/>
              </w:rPr>
            </w:pPr>
            <w:r w:rsidRPr="00552C0F">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2DDA809B"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95,71</w:t>
            </w:r>
          </w:p>
        </w:tc>
        <w:tc>
          <w:tcPr>
            <w:tcW w:w="1417" w:type="dxa"/>
            <w:tcBorders>
              <w:top w:val="nil"/>
              <w:left w:val="nil"/>
              <w:bottom w:val="nil"/>
              <w:right w:val="nil"/>
            </w:tcBorders>
            <w:vAlign w:val="center"/>
          </w:tcPr>
          <w:p w14:paraId="630248E1" w14:textId="1E7FDDAB"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0,03</w:t>
            </w:r>
          </w:p>
        </w:tc>
        <w:tc>
          <w:tcPr>
            <w:tcW w:w="1276" w:type="dxa"/>
            <w:tcBorders>
              <w:top w:val="nil"/>
              <w:left w:val="nil"/>
              <w:bottom w:val="nil"/>
              <w:right w:val="nil"/>
            </w:tcBorders>
            <w:vAlign w:val="center"/>
          </w:tcPr>
          <w:p w14:paraId="69B2BDC5" w14:textId="63EC8B62"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-5,56</w:t>
            </w:r>
          </w:p>
        </w:tc>
        <w:tc>
          <w:tcPr>
            <w:tcW w:w="1667" w:type="dxa"/>
            <w:tcBorders>
              <w:top w:val="nil"/>
              <w:left w:val="nil"/>
              <w:bottom w:val="nil"/>
              <w:right w:val="nil"/>
            </w:tcBorders>
            <w:vAlign w:val="center"/>
          </w:tcPr>
          <w:p w14:paraId="09272D33" w14:textId="57598262"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-6,14</w:t>
            </w:r>
          </w:p>
        </w:tc>
      </w:tr>
      <w:tr w:rsidR="00552C0F" w:rsidRPr="00552C0F"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A62E6B" w:rsidRPr="00552C0F" w:rsidRDefault="00A62E6B" w:rsidP="00A62E6B">
            <w:pPr>
              <w:ind w:left="170"/>
              <w:rPr>
                <w:rFonts w:ascii="Verdana" w:eastAsia="Malgun Gothic" w:hAnsi="Verdana" w:cs="Arial"/>
                <w:color w:val="366092"/>
                <w:sz w:val="18"/>
                <w:szCs w:val="18"/>
              </w:rPr>
            </w:pPr>
            <w:r w:rsidRPr="00552C0F">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A62E6B" w:rsidRPr="00552C0F" w:rsidRDefault="00A62E6B" w:rsidP="00A62E6B">
            <w:pPr>
              <w:ind w:left="-21" w:right="-104" w:firstLine="21"/>
              <w:rPr>
                <w:rFonts w:ascii="Verdana" w:eastAsia="Malgun Gothic" w:hAnsi="Verdana" w:cs="Arial"/>
                <w:b/>
                <w:color w:val="366092"/>
                <w:sz w:val="18"/>
                <w:szCs w:val="18"/>
              </w:rPr>
            </w:pPr>
            <w:r w:rsidRPr="00552C0F">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36E007BE" w:rsidR="00A62E6B" w:rsidRPr="00552C0F" w:rsidRDefault="00A62E6B" w:rsidP="00A62E6B">
            <w:pPr>
              <w:ind w:right="227"/>
              <w:jc w:val="right"/>
              <w:rPr>
                <w:rFonts w:ascii="Verdana" w:eastAsia="Malgun Gothic" w:hAnsi="Verdana" w:cs="Arial"/>
                <w:color w:val="366092"/>
                <w:sz w:val="18"/>
                <w:szCs w:val="18"/>
              </w:rPr>
            </w:pPr>
            <w:r w:rsidRPr="00552C0F">
              <w:rPr>
                <w:rFonts w:ascii="Verdana" w:hAnsi="Verdana" w:cs="Calibri"/>
                <w:color w:val="366092"/>
                <w:sz w:val="18"/>
                <w:szCs w:val="18"/>
              </w:rPr>
              <w:t>116,23</w:t>
            </w:r>
          </w:p>
        </w:tc>
        <w:tc>
          <w:tcPr>
            <w:tcW w:w="1417" w:type="dxa"/>
            <w:tcBorders>
              <w:top w:val="nil"/>
              <w:left w:val="nil"/>
              <w:bottom w:val="single" w:sz="4" w:space="0" w:color="366092"/>
              <w:right w:val="nil"/>
            </w:tcBorders>
            <w:vAlign w:val="center"/>
          </w:tcPr>
          <w:p w14:paraId="7B7D7058" w14:textId="50339008" w:rsidR="00A62E6B" w:rsidRPr="00552C0F" w:rsidRDefault="00A62E6B" w:rsidP="00A62E6B">
            <w:pPr>
              <w:ind w:right="255"/>
              <w:jc w:val="right"/>
              <w:rPr>
                <w:rFonts w:ascii="Verdana" w:eastAsia="Malgun Gothic" w:hAnsi="Verdana" w:cs="Arial"/>
                <w:color w:val="366092"/>
                <w:sz w:val="18"/>
                <w:szCs w:val="18"/>
              </w:rPr>
            </w:pPr>
            <w:r w:rsidRPr="00552C0F">
              <w:rPr>
                <w:rFonts w:ascii="Verdana" w:hAnsi="Verdana" w:cs="Calibri"/>
                <w:color w:val="366092"/>
                <w:sz w:val="18"/>
                <w:szCs w:val="18"/>
              </w:rPr>
              <w:t>0,22</w:t>
            </w:r>
          </w:p>
        </w:tc>
        <w:tc>
          <w:tcPr>
            <w:tcW w:w="1276" w:type="dxa"/>
            <w:tcBorders>
              <w:top w:val="nil"/>
              <w:left w:val="nil"/>
              <w:bottom w:val="single" w:sz="4" w:space="0" w:color="366092"/>
              <w:right w:val="nil"/>
            </w:tcBorders>
            <w:vAlign w:val="center"/>
          </w:tcPr>
          <w:p w14:paraId="164BE63E" w14:textId="0227D6E9" w:rsidR="00A62E6B" w:rsidRPr="00552C0F" w:rsidRDefault="00A62E6B" w:rsidP="00A62E6B">
            <w:pPr>
              <w:ind w:right="340"/>
              <w:jc w:val="right"/>
              <w:rPr>
                <w:rFonts w:ascii="Verdana" w:eastAsia="Malgun Gothic" w:hAnsi="Verdana" w:cs="Arial"/>
                <w:color w:val="366092"/>
                <w:sz w:val="18"/>
                <w:szCs w:val="18"/>
              </w:rPr>
            </w:pPr>
            <w:r w:rsidRPr="00552C0F">
              <w:rPr>
                <w:rFonts w:ascii="Verdana" w:hAnsi="Verdana" w:cs="Calibri"/>
                <w:color w:val="366092"/>
                <w:sz w:val="18"/>
                <w:szCs w:val="18"/>
              </w:rPr>
              <w:t>2,90</w:t>
            </w:r>
          </w:p>
        </w:tc>
        <w:tc>
          <w:tcPr>
            <w:tcW w:w="1667" w:type="dxa"/>
            <w:tcBorders>
              <w:top w:val="nil"/>
              <w:left w:val="nil"/>
              <w:bottom w:val="single" w:sz="4" w:space="0" w:color="366092"/>
              <w:right w:val="nil"/>
            </w:tcBorders>
            <w:vAlign w:val="center"/>
          </w:tcPr>
          <w:p w14:paraId="78CC9F2D" w14:textId="52CEAF26" w:rsidR="00A62E6B" w:rsidRPr="00552C0F" w:rsidRDefault="00A62E6B" w:rsidP="00A62E6B">
            <w:pPr>
              <w:spacing w:line="276" w:lineRule="auto"/>
              <w:ind w:right="454"/>
              <w:jc w:val="right"/>
              <w:rPr>
                <w:rFonts w:ascii="Verdana" w:eastAsia="Malgun Gothic" w:hAnsi="Verdana" w:cs="Arial"/>
                <w:color w:val="366092"/>
                <w:sz w:val="18"/>
                <w:szCs w:val="18"/>
              </w:rPr>
            </w:pPr>
            <w:r w:rsidRPr="00552C0F">
              <w:rPr>
                <w:rFonts w:ascii="Verdana" w:hAnsi="Verdana" w:cs="Calibri"/>
                <w:color w:val="366092"/>
                <w:sz w:val="18"/>
                <w:szCs w:val="18"/>
              </w:rPr>
              <w:t>2,54</w:t>
            </w:r>
          </w:p>
        </w:tc>
      </w:tr>
      <w:tr w:rsidR="00552C0F" w:rsidRPr="00552C0F"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A62E6B" w:rsidRPr="00552C0F" w:rsidRDefault="00A62E6B" w:rsidP="00A62E6B">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A62E6B" w:rsidRPr="00552C0F" w:rsidRDefault="00A62E6B" w:rsidP="00A62E6B">
            <w:pPr>
              <w:rPr>
                <w:rFonts w:ascii="Verdana" w:eastAsia="Malgun Gothic" w:hAnsi="Verdana" w:cs="Arial"/>
                <w:b/>
                <w:color w:val="366092"/>
                <w:sz w:val="18"/>
                <w:szCs w:val="18"/>
              </w:rPr>
            </w:pPr>
            <w:r w:rsidRPr="00552C0F">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5EDEA786" w:rsidR="00A62E6B" w:rsidRPr="00552C0F" w:rsidRDefault="00A62E6B" w:rsidP="00A62E6B">
            <w:pPr>
              <w:ind w:right="227"/>
              <w:jc w:val="right"/>
              <w:rPr>
                <w:rFonts w:ascii="Verdana" w:eastAsia="Malgun Gothic" w:hAnsi="Verdana" w:cs="Arial"/>
                <w:b/>
                <w:color w:val="366092"/>
                <w:sz w:val="18"/>
                <w:szCs w:val="18"/>
              </w:rPr>
            </w:pPr>
            <w:r w:rsidRPr="00552C0F">
              <w:rPr>
                <w:rFonts w:ascii="Verdana" w:hAnsi="Verdana" w:cs="Calibri"/>
                <w:b/>
                <w:bCs/>
                <w:color w:val="366092"/>
                <w:sz w:val="18"/>
                <w:szCs w:val="18"/>
              </w:rPr>
              <w:t>118,96</w:t>
            </w:r>
          </w:p>
        </w:tc>
        <w:tc>
          <w:tcPr>
            <w:tcW w:w="1417" w:type="dxa"/>
            <w:tcBorders>
              <w:top w:val="single" w:sz="4" w:space="0" w:color="366092"/>
              <w:left w:val="nil"/>
              <w:bottom w:val="single" w:sz="4" w:space="0" w:color="366092"/>
              <w:right w:val="nil"/>
            </w:tcBorders>
            <w:vAlign w:val="center"/>
          </w:tcPr>
          <w:p w14:paraId="7E6AD932" w14:textId="54082CA3" w:rsidR="00A62E6B" w:rsidRPr="00552C0F" w:rsidRDefault="00A62E6B" w:rsidP="00A62E6B">
            <w:pPr>
              <w:ind w:right="255"/>
              <w:jc w:val="right"/>
              <w:rPr>
                <w:rFonts w:ascii="Verdana" w:eastAsia="Malgun Gothic" w:hAnsi="Verdana" w:cs="Arial"/>
                <w:b/>
                <w:color w:val="366092"/>
                <w:sz w:val="18"/>
                <w:szCs w:val="18"/>
              </w:rPr>
            </w:pPr>
            <w:r w:rsidRPr="00552C0F">
              <w:rPr>
                <w:rFonts w:ascii="Verdana" w:hAnsi="Verdana" w:cs="Calibri"/>
                <w:b/>
                <w:bCs/>
                <w:color w:val="366092"/>
                <w:sz w:val="18"/>
                <w:szCs w:val="18"/>
              </w:rPr>
              <w:t>-0,08</w:t>
            </w:r>
          </w:p>
        </w:tc>
        <w:tc>
          <w:tcPr>
            <w:tcW w:w="1276" w:type="dxa"/>
            <w:tcBorders>
              <w:top w:val="single" w:sz="4" w:space="0" w:color="366092"/>
              <w:left w:val="nil"/>
              <w:bottom w:val="single" w:sz="4" w:space="0" w:color="366092"/>
              <w:right w:val="nil"/>
            </w:tcBorders>
            <w:vAlign w:val="center"/>
          </w:tcPr>
          <w:p w14:paraId="641B5E4E" w14:textId="59C1E276" w:rsidR="00A62E6B" w:rsidRPr="00552C0F" w:rsidRDefault="00A62E6B" w:rsidP="00A62E6B">
            <w:pPr>
              <w:ind w:right="340"/>
              <w:jc w:val="right"/>
              <w:rPr>
                <w:rFonts w:ascii="Verdana" w:eastAsia="Malgun Gothic" w:hAnsi="Verdana" w:cs="Arial"/>
                <w:b/>
                <w:color w:val="366092"/>
                <w:sz w:val="18"/>
                <w:szCs w:val="18"/>
              </w:rPr>
            </w:pPr>
            <w:r w:rsidRPr="00552C0F">
              <w:rPr>
                <w:rFonts w:ascii="Verdana" w:hAnsi="Verdana" w:cs="Calibri"/>
                <w:b/>
                <w:bCs/>
                <w:color w:val="366092"/>
                <w:sz w:val="18"/>
                <w:szCs w:val="18"/>
              </w:rPr>
              <w:t>1,44</w:t>
            </w:r>
          </w:p>
        </w:tc>
        <w:tc>
          <w:tcPr>
            <w:tcW w:w="1667" w:type="dxa"/>
            <w:tcBorders>
              <w:top w:val="single" w:sz="4" w:space="0" w:color="366092"/>
              <w:left w:val="nil"/>
              <w:bottom w:val="single" w:sz="4" w:space="0" w:color="366092"/>
              <w:right w:val="nil"/>
            </w:tcBorders>
            <w:vAlign w:val="center"/>
          </w:tcPr>
          <w:p w14:paraId="08FDBC04" w14:textId="38784BF2" w:rsidR="00A62E6B" w:rsidRPr="00552C0F" w:rsidRDefault="00A62E6B" w:rsidP="00A62E6B">
            <w:pPr>
              <w:spacing w:line="276" w:lineRule="auto"/>
              <w:ind w:right="454"/>
              <w:jc w:val="right"/>
              <w:rPr>
                <w:rFonts w:ascii="Verdana" w:eastAsia="Malgun Gothic" w:hAnsi="Verdana" w:cs="Arial"/>
                <w:b/>
                <w:bCs/>
                <w:color w:val="366092"/>
                <w:sz w:val="18"/>
                <w:szCs w:val="18"/>
              </w:rPr>
            </w:pPr>
            <w:r w:rsidRPr="00552C0F">
              <w:rPr>
                <w:rFonts w:ascii="Verdana" w:hAnsi="Verdana" w:cs="Calibri"/>
                <w:b/>
                <w:bCs/>
                <w:color w:val="366092"/>
                <w:sz w:val="18"/>
                <w:szCs w:val="18"/>
              </w:rPr>
              <w:t>1,26</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3DDC6361" w14:textId="195821D4" w:rsidR="003E1B5A" w:rsidRPr="00DD6ED0" w:rsidRDefault="003E1B5A" w:rsidP="003F79D5">
      <w:pPr>
        <w:jc w:val="both"/>
        <w:rPr>
          <w:rFonts w:ascii="Verdana" w:eastAsia="Malgun Gothic" w:hAnsi="Verdana" w:cs="Arial"/>
          <w:b/>
          <w:u w:val="single"/>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F832DD">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F832DD">
      <w:pPr>
        <w:jc w:val="both"/>
        <w:rPr>
          <w:rFonts w:ascii="Verdana" w:eastAsia="Malgun Gothic" w:hAnsi="Verdana" w:cs="Arial"/>
          <w:sz w:val="18"/>
          <w:szCs w:val="18"/>
        </w:rPr>
      </w:pPr>
    </w:p>
    <w:p w14:paraId="1311BBA3" w14:textId="77777777"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F832DD">
      <w:pPr>
        <w:jc w:val="both"/>
        <w:rPr>
          <w:rFonts w:ascii="Verdana" w:eastAsia="Malgun Gothic" w:hAnsi="Verdana" w:cs="Arial"/>
          <w:sz w:val="18"/>
          <w:szCs w:val="18"/>
        </w:rPr>
      </w:pPr>
    </w:p>
    <w:p w14:paraId="1016C2B3" w14:textId="492C8A5D" w:rsidR="00F832DD" w:rsidRPr="00DD6ED0" w:rsidRDefault="00F832DD" w:rsidP="00F832DD">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F832DD">
      <w:pPr>
        <w:jc w:val="both"/>
        <w:rPr>
          <w:rFonts w:ascii="Verdana" w:hAnsi="Verdana" w:cs="Arial"/>
          <w:color w:val="000000"/>
          <w:sz w:val="18"/>
          <w:szCs w:val="18"/>
          <w:shd w:val="clear" w:color="auto" w:fill="FFFFFF"/>
        </w:rPr>
      </w:pPr>
    </w:p>
    <w:p w14:paraId="041EDF0A" w14:textId="1F7B7A6B"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F832DD">
      <w:pPr>
        <w:jc w:val="both"/>
        <w:rPr>
          <w:rFonts w:ascii="Verdana" w:eastAsia="Malgun Gothic" w:hAnsi="Verdana" w:cs="Arial"/>
          <w:sz w:val="18"/>
          <w:szCs w:val="18"/>
        </w:rPr>
      </w:pPr>
    </w:p>
    <w:p w14:paraId="714731E1" w14:textId="37BE7FC0" w:rsidR="00F832DD" w:rsidRPr="00DD6ED0" w:rsidRDefault="00F832DD" w:rsidP="00F832DD">
      <w:pPr>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F832DD">
      <w:pPr>
        <w:jc w:val="both"/>
        <w:rPr>
          <w:rFonts w:ascii="Verdana" w:eastAsia="Malgun Gothic" w:hAnsi="Verdana" w:cs="Arial"/>
          <w:sz w:val="18"/>
          <w:szCs w:val="18"/>
        </w:rPr>
      </w:pPr>
    </w:p>
    <w:p w14:paraId="756C5113" w14:textId="34660406"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F832DD">
      <w:pPr>
        <w:ind w:right="-79"/>
        <w:jc w:val="both"/>
        <w:rPr>
          <w:rFonts w:ascii="Verdana" w:hAnsi="Verdana" w:cs="Arial"/>
          <w:color w:val="000000"/>
          <w:sz w:val="18"/>
          <w:szCs w:val="18"/>
        </w:rPr>
      </w:pPr>
    </w:p>
    <w:p w14:paraId="64039E6B" w14:textId="34C02FEE"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F832DD">
      <w:pPr>
        <w:ind w:right="-79"/>
        <w:jc w:val="both"/>
        <w:rPr>
          <w:rFonts w:ascii="Verdana" w:eastAsia="Malgun Gothic" w:hAnsi="Verdana" w:cs="Arial"/>
          <w:sz w:val="18"/>
          <w:szCs w:val="18"/>
        </w:rPr>
      </w:pPr>
      <w:bookmarkStart w:id="1" w:name="_Hlk98337064"/>
    </w:p>
    <w:p w14:paraId="3DB66016" w14:textId="49B735A2"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1"/>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7363F88C"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2" w:name="_Hlk55987714"/>
      <w:proofErr w:type="spellEnd"/>
      <w:r w:rsidRPr="00DD6ED0">
        <w:rPr>
          <w:rFonts w:ascii="Verdana" w:eastAsia="Malgun Gothic" w:hAnsi="Verdana" w:cs="Arial"/>
          <w:sz w:val="18"/>
          <w:szCs w:val="18"/>
        </w:rPr>
        <w:t>: +</w:t>
      </w:r>
      <w:bookmarkEnd w:id="2"/>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proofErr w:type="spellEnd"/>
      <w:r w:rsidRPr="00DD6ED0">
        <w:rPr>
          <w:rFonts w:ascii="Verdana" w:eastAsia="Malgun Gothic" w:hAnsi="Verdana" w:cs="Arial"/>
          <w:sz w:val="18"/>
          <w:szCs w:val="18"/>
        </w:rPr>
        <w:t xml:space="preserve">: +357 22 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410F" w14:textId="77777777" w:rsidR="000B2393" w:rsidRPr="00DD6ED0" w:rsidRDefault="000B2393" w:rsidP="00FB398F">
      <w:r w:rsidRPr="00DD6ED0">
        <w:separator/>
      </w:r>
    </w:p>
  </w:endnote>
  <w:endnote w:type="continuationSeparator" w:id="0">
    <w:p w14:paraId="2E6FDE18" w14:textId="77777777" w:rsidR="000B2393" w:rsidRPr="00DD6ED0" w:rsidRDefault="000B2393"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A10E" w14:textId="77777777" w:rsidR="000B2393" w:rsidRPr="00DD6ED0" w:rsidRDefault="000B2393" w:rsidP="00FB398F">
      <w:r w:rsidRPr="00DD6ED0">
        <w:separator/>
      </w:r>
    </w:p>
  </w:footnote>
  <w:footnote w:type="continuationSeparator" w:id="0">
    <w:p w14:paraId="48D70548" w14:textId="77777777" w:rsidR="000B2393" w:rsidRPr="00DD6ED0" w:rsidRDefault="000B2393"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70E9"/>
    <w:rsid w:val="000932CF"/>
    <w:rsid w:val="00094577"/>
    <w:rsid w:val="00096ED8"/>
    <w:rsid w:val="000A1A88"/>
    <w:rsid w:val="000A2B5C"/>
    <w:rsid w:val="000A3601"/>
    <w:rsid w:val="000A656D"/>
    <w:rsid w:val="000A6FA8"/>
    <w:rsid w:val="000B2393"/>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E00D1"/>
    <w:rsid w:val="001E0E58"/>
    <w:rsid w:val="001E14F3"/>
    <w:rsid w:val="001E15ED"/>
    <w:rsid w:val="001E277D"/>
    <w:rsid w:val="001E61AA"/>
    <w:rsid w:val="001F1417"/>
    <w:rsid w:val="001F1489"/>
    <w:rsid w:val="001F20CC"/>
    <w:rsid w:val="001F3468"/>
    <w:rsid w:val="001F4065"/>
    <w:rsid w:val="0020019F"/>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3AFD"/>
    <w:rsid w:val="003342A5"/>
    <w:rsid w:val="00334616"/>
    <w:rsid w:val="003354E7"/>
    <w:rsid w:val="003365AC"/>
    <w:rsid w:val="00336C36"/>
    <w:rsid w:val="00343815"/>
    <w:rsid w:val="00345400"/>
    <w:rsid w:val="003458C6"/>
    <w:rsid w:val="00345B86"/>
    <w:rsid w:val="00346706"/>
    <w:rsid w:val="003522BB"/>
    <w:rsid w:val="00352F6C"/>
    <w:rsid w:val="003556EA"/>
    <w:rsid w:val="00365D4B"/>
    <w:rsid w:val="00372758"/>
    <w:rsid w:val="00377A0A"/>
    <w:rsid w:val="00381971"/>
    <w:rsid w:val="00383CF2"/>
    <w:rsid w:val="00386FC7"/>
    <w:rsid w:val="00390A32"/>
    <w:rsid w:val="00391276"/>
    <w:rsid w:val="003A1E91"/>
    <w:rsid w:val="003A35BC"/>
    <w:rsid w:val="003A3693"/>
    <w:rsid w:val="003A40F2"/>
    <w:rsid w:val="003A50D1"/>
    <w:rsid w:val="003A5341"/>
    <w:rsid w:val="003A6B99"/>
    <w:rsid w:val="003A724F"/>
    <w:rsid w:val="003B196D"/>
    <w:rsid w:val="003B2710"/>
    <w:rsid w:val="003B4608"/>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80BC2"/>
    <w:rsid w:val="00480FF8"/>
    <w:rsid w:val="004845C3"/>
    <w:rsid w:val="00486482"/>
    <w:rsid w:val="004909A2"/>
    <w:rsid w:val="004913B8"/>
    <w:rsid w:val="00491CAF"/>
    <w:rsid w:val="004929C2"/>
    <w:rsid w:val="00492D72"/>
    <w:rsid w:val="00493FDD"/>
    <w:rsid w:val="0049586B"/>
    <w:rsid w:val="004A3E44"/>
    <w:rsid w:val="004A520C"/>
    <w:rsid w:val="004B2018"/>
    <w:rsid w:val="004B2896"/>
    <w:rsid w:val="004B38E9"/>
    <w:rsid w:val="004B3FBA"/>
    <w:rsid w:val="004B6599"/>
    <w:rsid w:val="004C0E5E"/>
    <w:rsid w:val="004C344E"/>
    <w:rsid w:val="004C527A"/>
    <w:rsid w:val="004C6CA7"/>
    <w:rsid w:val="004D4357"/>
    <w:rsid w:val="004D4950"/>
    <w:rsid w:val="004D6CAA"/>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334D"/>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2C0F"/>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79D7"/>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53EF"/>
    <w:rsid w:val="0065643E"/>
    <w:rsid w:val="00656D2F"/>
    <w:rsid w:val="00656D31"/>
    <w:rsid w:val="00666BCA"/>
    <w:rsid w:val="00666DA8"/>
    <w:rsid w:val="00667E07"/>
    <w:rsid w:val="00670715"/>
    <w:rsid w:val="00671785"/>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548A"/>
    <w:rsid w:val="007277A6"/>
    <w:rsid w:val="007437AB"/>
    <w:rsid w:val="00745425"/>
    <w:rsid w:val="00751C4A"/>
    <w:rsid w:val="007534F8"/>
    <w:rsid w:val="007545AD"/>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DDD"/>
    <w:rsid w:val="00923E93"/>
    <w:rsid w:val="00926D82"/>
    <w:rsid w:val="00930754"/>
    <w:rsid w:val="00934F68"/>
    <w:rsid w:val="009355AC"/>
    <w:rsid w:val="00935CF6"/>
    <w:rsid w:val="00935F38"/>
    <w:rsid w:val="00936DA8"/>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C81"/>
    <w:rsid w:val="00983EA1"/>
    <w:rsid w:val="00987488"/>
    <w:rsid w:val="009879F4"/>
    <w:rsid w:val="009913D8"/>
    <w:rsid w:val="00992CEF"/>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402B3"/>
    <w:rsid w:val="00A44989"/>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4798"/>
    <w:rsid w:val="00B750C6"/>
    <w:rsid w:val="00B75AE5"/>
    <w:rsid w:val="00B76CCF"/>
    <w:rsid w:val="00B800C0"/>
    <w:rsid w:val="00B8132B"/>
    <w:rsid w:val="00B84C5A"/>
    <w:rsid w:val="00B858F5"/>
    <w:rsid w:val="00B90B3B"/>
    <w:rsid w:val="00B9272F"/>
    <w:rsid w:val="00B93668"/>
    <w:rsid w:val="00BA09CD"/>
    <w:rsid w:val="00BA0EC4"/>
    <w:rsid w:val="00BA5D64"/>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C0128C"/>
    <w:rsid w:val="00C016F3"/>
    <w:rsid w:val="00C06D1B"/>
    <w:rsid w:val="00C1317F"/>
    <w:rsid w:val="00C142D4"/>
    <w:rsid w:val="00C15193"/>
    <w:rsid w:val="00C15343"/>
    <w:rsid w:val="00C15609"/>
    <w:rsid w:val="00C15F6A"/>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338A"/>
    <w:rsid w:val="00C54ABA"/>
    <w:rsid w:val="00C54EF9"/>
    <w:rsid w:val="00C56BBF"/>
    <w:rsid w:val="00C572AA"/>
    <w:rsid w:val="00C57A9A"/>
    <w:rsid w:val="00C6016A"/>
    <w:rsid w:val="00C60B3F"/>
    <w:rsid w:val="00C623EB"/>
    <w:rsid w:val="00C625F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3A9A"/>
    <w:rsid w:val="00CB0030"/>
    <w:rsid w:val="00CB05A2"/>
    <w:rsid w:val="00CB0BC4"/>
    <w:rsid w:val="00CB6BC1"/>
    <w:rsid w:val="00CB7021"/>
    <w:rsid w:val="00CB7157"/>
    <w:rsid w:val="00CB75BE"/>
    <w:rsid w:val="00CC390F"/>
    <w:rsid w:val="00CC3A6A"/>
    <w:rsid w:val="00CC5673"/>
    <w:rsid w:val="00CD3294"/>
    <w:rsid w:val="00CD4524"/>
    <w:rsid w:val="00CD784D"/>
    <w:rsid w:val="00CE0C0D"/>
    <w:rsid w:val="00CE4B6D"/>
    <w:rsid w:val="00CE5117"/>
    <w:rsid w:val="00CF35A0"/>
    <w:rsid w:val="00CF3A1C"/>
    <w:rsid w:val="00CF40F8"/>
    <w:rsid w:val="00D008DA"/>
    <w:rsid w:val="00D0157E"/>
    <w:rsid w:val="00D0416F"/>
    <w:rsid w:val="00D04624"/>
    <w:rsid w:val="00D05851"/>
    <w:rsid w:val="00D10FED"/>
    <w:rsid w:val="00D11736"/>
    <w:rsid w:val="00D11A23"/>
    <w:rsid w:val="00D12EE8"/>
    <w:rsid w:val="00D14CDF"/>
    <w:rsid w:val="00D150DC"/>
    <w:rsid w:val="00D15FF1"/>
    <w:rsid w:val="00D167F4"/>
    <w:rsid w:val="00D178C4"/>
    <w:rsid w:val="00D2092A"/>
    <w:rsid w:val="00D2216D"/>
    <w:rsid w:val="00D2439D"/>
    <w:rsid w:val="00D3192D"/>
    <w:rsid w:val="00D31A6F"/>
    <w:rsid w:val="00D3331F"/>
    <w:rsid w:val="00D33778"/>
    <w:rsid w:val="00D353D1"/>
    <w:rsid w:val="00D367DB"/>
    <w:rsid w:val="00D36E05"/>
    <w:rsid w:val="00D41EBA"/>
    <w:rsid w:val="00D44DFE"/>
    <w:rsid w:val="00D44F27"/>
    <w:rsid w:val="00D45304"/>
    <w:rsid w:val="00D45D69"/>
    <w:rsid w:val="00D46165"/>
    <w:rsid w:val="00D461C7"/>
    <w:rsid w:val="00D47A71"/>
    <w:rsid w:val="00D503C3"/>
    <w:rsid w:val="00D50424"/>
    <w:rsid w:val="00D525C9"/>
    <w:rsid w:val="00D57D3E"/>
    <w:rsid w:val="00D6520F"/>
    <w:rsid w:val="00D70D93"/>
    <w:rsid w:val="00D746AB"/>
    <w:rsid w:val="00D76249"/>
    <w:rsid w:val="00D77A93"/>
    <w:rsid w:val="00D80ABF"/>
    <w:rsid w:val="00D80B58"/>
    <w:rsid w:val="00D82E0F"/>
    <w:rsid w:val="00D8482E"/>
    <w:rsid w:val="00D952BB"/>
    <w:rsid w:val="00D976DB"/>
    <w:rsid w:val="00DA116E"/>
    <w:rsid w:val="00DA14FE"/>
    <w:rsid w:val="00DA1CD2"/>
    <w:rsid w:val="00DA7D12"/>
    <w:rsid w:val="00DB2AC9"/>
    <w:rsid w:val="00DC23CF"/>
    <w:rsid w:val="00DC53EF"/>
    <w:rsid w:val="00DC6562"/>
    <w:rsid w:val="00DD140D"/>
    <w:rsid w:val="00DD50F1"/>
    <w:rsid w:val="00DD6ED0"/>
    <w:rsid w:val="00DE130D"/>
    <w:rsid w:val="00DE24CF"/>
    <w:rsid w:val="00DE407C"/>
    <w:rsid w:val="00DE7C7D"/>
    <w:rsid w:val="00DE7DB6"/>
    <w:rsid w:val="00DF1B40"/>
    <w:rsid w:val="00DF2838"/>
    <w:rsid w:val="00DF2992"/>
    <w:rsid w:val="00DF2D0C"/>
    <w:rsid w:val="00DF42C6"/>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4544</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140</cp:revision>
  <cp:lastPrinted>2025-10-20T08:17:00Z</cp:lastPrinted>
  <dcterms:created xsi:type="dcterms:W3CDTF">2024-10-07T08:02:00Z</dcterms:created>
  <dcterms:modified xsi:type="dcterms:W3CDTF">2025-10-20T08:20:00Z</dcterms:modified>
</cp:coreProperties>
</file>