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0B10" w14:textId="77777777" w:rsidR="00B3279C" w:rsidRPr="00A12E81" w:rsidRDefault="00B3279C" w:rsidP="00370D2D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5D473C07" w14:textId="77777777" w:rsidR="00B3279C" w:rsidRDefault="00B3279C" w:rsidP="00B3279C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0D6C2DF" w14:textId="2A940185" w:rsidR="00B3279C" w:rsidRPr="009B62B6" w:rsidRDefault="00423A4F" w:rsidP="00B3279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8 </w:t>
      </w:r>
      <w:r w:rsidR="000C43CE"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 w:rsidR="008D2F0A">
        <w:rPr>
          <w:rFonts w:ascii="Verdana" w:eastAsia="Malgun Gothic" w:hAnsi="Verdana" w:cs="Arial"/>
          <w:sz w:val="18"/>
          <w:szCs w:val="18"/>
          <w:lang w:val="el-GR"/>
        </w:rPr>
        <w:t>, 2023</w:t>
      </w:r>
    </w:p>
    <w:p w14:paraId="19FE8ED3" w14:textId="77777777" w:rsidR="00B3279C" w:rsidRDefault="00B3279C" w:rsidP="00B3279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55B9F5C4" w14:textId="77777777" w:rsidR="00B3279C" w:rsidRPr="00336C36" w:rsidRDefault="00B3279C" w:rsidP="00B3279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5A16341F" w14:textId="77777777" w:rsidR="00B3279C" w:rsidRPr="00CF40F8" w:rsidRDefault="00B3279C" w:rsidP="00B3279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20DA73E3" w14:textId="77777777" w:rsidR="00B3279C" w:rsidRDefault="00B3279C" w:rsidP="00B3279C">
      <w:pPr>
        <w:rPr>
          <w:rFonts w:ascii="Verdana" w:eastAsia="Malgun Gothic" w:hAnsi="Verdana" w:cs="Arial"/>
          <w:lang w:val="el-GR"/>
        </w:rPr>
      </w:pPr>
    </w:p>
    <w:p w14:paraId="779C9125" w14:textId="77777777" w:rsidR="00B3279C" w:rsidRPr="005C36C3" w:rsidRDefault="00B3279C" w:rsidP="00B3279C">
      <w:pPr>
        <w:rPr>
          <w:rFonts w:ascii="Verdana" w:eastAsia="Malgun Gothic" w:hAnsi="Verdana" w:cs="Arial"/>
          <w:lang w:val="el-GR"/>
        </w:rPr>
      </w:pPr>
    </w:p>
    <w:p w14:paraId="4C7935CC" w14:textId="4393709D" w:rsidR="00B3279C" w:rsidRPr="00F017E4" w:rsidRDefault="00B3279C" w:rsidP="00B3279C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ΕΓΓΡΑΦΕΣ ΜΗΧΑΝΟΚΙΝΗΤΩΝ ΟΧΗΜΑΤΩΝ</w:t>
      </w:r>
      <w:r w:rsidRPr="009A5E8A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ΙΑΝΟΥΑΡΙΟΣ</w:t>
      </w:r>
      <w:r w:rsidR="00055D41"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A421E4" w:rsidRPr="00A421E4">
        <w:rPr>
          <w:rFonts w:ascii="Verdana" w:hAnsi="Verdana"/>
          <w:szCs w:val="22"/>
          <w:shd w:val="clear" w:color="auto" w:fill="FFFFFF"/>
        </w:rPr>
        <w:t>-</w:t>
      </w:r>
      <w:r w:rsidR="00055D41"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0C43CE">
        <w:rPr>
          <w:rFonts w:ascii="Verdana" w:hAnsi="Verdana"/>
          <w:szCs w:val="22"/>
          <w:shd w:val="clear" w:color="auto" w:fill="FFFFFF"/>
        </w:rPr>
        <w:t>ΑΥΓΟΥΣΤΟΣ</w:t>
      </w:r>
      <w:r>
        <w:rPr>
          <w:rFonts w:ascii="Verdana" w:hAnsi="Verdana"/>
          <w:szCs w:val="22"/>
          <w:shd w:val="clear" w:color="auto" w:fill="FFFFFF"/>
        </w:rPr>
        <w:t xml:space="preserve"> 202</w:t>
      </w:r>
      <w:r w:rsidR="007B5663">
        <w:rPr>
          <w:rFonts w:ascii="Verdana" w:hAnsi="Verdana"/>
          <w:szCs w:val="22"/>
          <w:shd w:val="clear" w:color="auto" w:fill="FFFFFF"/>
        </w:rPr>
        <w:t>3</w:t>
      </w:r>
    </w:p>
    <w:p w14:paraId="7D7DFF72" w14:textId="77777777" w:rsidR="00B3279C" w:rsidRPr="00AF704B" w:rsidRDefault="00B3279C" w:rsidP="00B3279C">
      <w:pPr>
        <w:rPr>
          <w:rFonts w:ascii="Verdana" w:eastAsia="Malgun Gothic" w:hAnsi="Verdana" w:cs="Arial"/>
          <w:sz w:val="24"/>
          <w:szCs w:val="24"/>
          <w:lang w:val="el-GR"/>
        </w:rPr>
      </w:pPr>
    </w:p>
    <w:p w14:paraId="65BDC102" w14:textId="3D118485" w:rsidR="00B3279C" w:rsidRPr="00716401" w:rsidRDefault="00B3279C" w:rsidP="00B3279C">
      <w:pPr>
        <w:jc w:val="center"/>
        <w:rPr>
          <w:rFonts w:ascii="Verdana" w:eastAsia="Malgun Gothic" w:hAnsi="Verdana" w:cs="Arial"/>
          <w:b/>
          <w:lang w:val="el-GR"/>
        </w:rPr>
      </w:pPr>
      <w:r w:rsidRPr="005B3641">
        <w:rPr>
          <w:rFonts w:ascii="Verdana" w:eastAsia="Malgun Gothic" w:hAnsi="Verdana" w:cs="Arial"/>
          <w:b/>
          <w:lang w:val="el-GR"/>
        </w:rPr>
        <w:t xml:space="preserve">Συνολικές Εγγραφές </w:t>
      </w:r>
      <w:r w:rsidR="007B5663">
        <w:rPr>
          <w:rFonts w:ascii="Verdana" w:eastAsia="Malgun Gothic" w:hAnsi="Verdana" w:cs="Arial"/>
          <w:b/>
          <w:lang w:val="el-GR"/>
        </w:rPr>
        <w:t>+</w:t>
      </w:r>
      <w:r w:rsidR="00423A4F">
        <w:rPr>
          <w:rFonts w:ascii="Verdana" w:eastAsia="Malgun Gothic" w:hAnsi="Verdana" w:cs="Arial"/>
          <w:b/>
          <w:lang w:val="el-GR"/>
        </w:rPr>
        <w:t>2</w:t>
      </w:r>
      <w:r w:rsidR="000C43CE">
        <w:rPr>
          <w:rFonts w:ascii="Verdana" w:eastAsia="Malgun Gothic" w:hAnsi="Verdana" w:cs="Arial"/>
          <w:b/>
          <w:lang w:val="el-GR"/>
        </w:rPr>
        <w:t>8</w:t>
      </w:r>
      <w:r w:rsidR="00423A4F">
        <w:rPr>
          <w:rFonts w:ascii="Verdana" w:eastAsia="Malgun Gothic" w:hAnsi="Verdana" w:cs="Arial"/>
          <w:b/>
          <w:lang w:val="el-GR"/>
        </w:rPr>
        <w:t>,</w:t>
      </w:r>
      <w:r w:rsidR="000C43CE">
        <w:rPr>
          <w:rFonts w:ascii="Verdana" w:eastAsia="Malgun Gothic" w:hAnsi="Verdana" w:cs="Arial"/>
          <w:b/>
          <w:lang w:val="el-GR"/>
        </w:rPr>
        <w:t>1</w:t>
      </w:r>
      <w:r w:rsidRPr="005B3641">
        <w:rPr>
          <w:rFonts w:ascii="Verdana" w:eastAsia="Malgun Gothic" w:hAnsi="Verdana" w:cs="Arial"/>
          <w:b/>
          <w:lang w:val="el-GR"/>
        </w:rPr>
        <w:t>%</w:t>
      </w:r>
    </w:p>
    <w:p w14:paraId="3BA248A9" w14:textId="77777777" w:rsidR="00B3279C" w:rsidRPr="00AD1654" w:rsidRDefault="00B3279C" w:rsidP="00B3279C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12A622B" w14:textId="7831F314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την έκδοση της έκθεσης "Εγγραφές Μηχανοκίνητων Οχημάτων" που καλύπτει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0C43CE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2204C88A" w14:textId="77777777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C8E2376" w14:textId="743D5043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Αύγουστο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εγγραφές μηχανοκίνητων οχημάτων έφτασαν τις </w:t>
      </w:r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3.211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533649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29,3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σχέση με </w:t>
      </w:r>
      <w:r w:rsidR="00423A4F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484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Αύγουστο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Οι εγγραφές επιβατηγών αυτοκινήτων σαλούν </w:t>
      </w:r>
      <w:r w:rsidR="00533649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28,8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2.599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526420" w:rsidRPr="00526420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018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Αύγουστο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3F32AB9" w14:textId="77777777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2BAF8A4" w14:textId="392D10FF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κυριότερες εξελίξεις που σημειώθηκαν στις εγγραφές οχημάτων κατά την περίοδο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</w:t>
      </w:r>
      <w:r w:rsidR="000174F8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0C43CE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0239E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421E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σε σύγκριση με την αντίστοιχη περίοδο του 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συνοψίζονται στα ακόλουθα:</w:t>
      </w:r>
    </w:p>
    <w:p w14:paraId="59E1619A" w14:textId="77777777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6A295D" w14:textId="6F7236BF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(α) Ο συνολικός αριθμός των εγγραφέντων οχημάτων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28,1</w:t>
      </w:r>
      <w:r w:rsidRPr="00A306E4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</w:t>
      </w:r>
      <w:r w:rsidR="000174F8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0C43CE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0239E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421E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έφτασε τις </w:t>
      </w:r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29.673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23.169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κατά την ίδια περίοδο του 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21C1AC27" w14:textId="77777777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DF62611" w14:textId="30332B8A" w:rsidR="00BB121F" w:rsidRPr="0090297E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(β) Οι εγγραφές επιβατηγών αυτοκινήτων σαλούν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28,9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και έφτασαν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23.777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18.445</w:t>
      </w:r>
      <w:r w:rsidR="008D51E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την αντίστοιχη περίοδο του 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Από το σύνολο των επιβατηγών αυτοκινήτων σαλούν, </w:t>
      </w:r>
      <w:bookmarkStart w:id="0" w:name="_Hlk71195435"/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9.</w:t>
      </w:r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964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0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41,9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ήταν καινούρια και </w:t>
      </w:r>
      <w:bookmarkStart w:id="1" w:name="_Hlk71195454"/>
      <w:r w:rsidR="000C43CE">
        <w:rPr>
          <w:rFonts w:ascii="Verdana" w:hAnsi="Verdana"/>
          <w:sz w:val="18"/>
          <w:szCs w:val="18"/>
          <w:shd w:val="clear" w:color="auto" w:fill="FFFFFF"/>
          <w:lang w:val="el-GR"/>
        </w:rPr>
        <w:t>13.813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58,1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% ήταν μεταχειρισμένα αυτοκίνητα.</w:t>
      </w:r>
      <w:r w:rsidRPr="0090297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αυτοκίνητα ενοικίασης ειδικότερα παρουσίασαν </w:t>
      </w:r>
      <w:r w:rsidR="00533649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533649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40,5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4.405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CFDB22C" w14:textId="77777777" w:rsidR="002A7D4D" w:rsidRDefault="002A7D4D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06C4E08" w14:textId="4DF52884" w:rsidR="00BB121F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(γ) Οι εγγραφές λεωφορείων </w:t>
      </w:r>
      <w:r w:rsidR="001C1FBB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1C1FBB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231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</w:t>
      </w:r>
      <w:r w:rsidR="000174F8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0C43CE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0239E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421E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D97AA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56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5FA7C25" w14:textId="77777777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5797F37" w14:textId="41AF42BA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των οχημάτων μεταφοράς φορτίου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BE19E8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788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</w:t>
      </w:r>
      <w:r w:rsidR="000174F8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0C43CE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0239E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421E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497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αντίστοιχη περίοδο του 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11,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Συγκεκριμένα, τα ελαφρά φορτηγά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8,4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2.171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τα βαριά φορτηγά κατά 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32,7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345</w:t>
      </w:r>
      <w:r w:rsidR="008D51E9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B228B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ελκυστήρες δρόμου (ρυμουλκά) κατά 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48,2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στους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83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D51E9">
        <w:rPr>
          <w:rFonts w:ascii="Verdana" w:hAnsi="Verdana"/>
          <w:sz w:val="18"/>
          <w:szCs w:val="18"/>
          <w:shd w:val="clear" w:color="auto" w:fill="FFFFFF"/>
          <w:lang w:val="el-GR"/>
        </w:rPr>
        <w:t>και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τα οχήματα ενοικίασης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6,2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189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11250C6" w14:textId="77777777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6B19612" w14:textId="6DF92F41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μοτοποδηλάτων &lt; 50κε 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A44E56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206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</w:t>
      </w:r>
      <w:r w:rsidR="000174F8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0C43CE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0239E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9315D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191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κατά την ίδια περίοδο του 202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05D6F7BA" w14:textId="77777777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2EA3D1D" w14:textId="4AFB83DC" w:rsidR="00BB121F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</w:t>
      </w:r>
      <w:proofErr w:type="spellEnd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μοτοσικλετών &gt; 50κε 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BE19E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BE19E8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324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</w:t>
      </w:r>
      <w:r w:rsidR="00B228B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περίοδο 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</w:t>
      </w:r>
      <w:r w:rsidR="000174F8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0C43CE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0239E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9315D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BE19E8">
        <w:rPr>
          <w:rFonts w:ascii="Verdana" w:hAnsi="Verdana"/>
          <w:sz w:val="18"/>
          <w:szCs w:val="18"/>
          <w:shd w:val="clear" w:color="auto" w:fill="FFFFFF"/>
          <w:lang w:val="el-GR"/>
        </w:rPr>
        <w:t>1.</w:t>
      </w:r>
      <w:r w:rsidR="00A44E56">
        <w:rPr>
          <w:rFonts w:ascii="Verdana" w:hAnsi="Verdana"/>
          <w:sz w:val="18"/>
          <w:szCs w:val="18"/>
          <w:shd w:val="clear" w:color="auto" w:fill="FFFFFF"/>
          <w:lang w:val="el-GR"/>
        </w:rPr>
        <w:t>745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202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166A8221" w14:textId="0F0EF259" w:rsidR="00360679" w:rsidRDefault="00360679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DC69F76" w14:textId="77777777" w:rsidR="00B3279C" w:rsidRPr="009A4959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08D8D9" w14:textId="738B4636" w:rsidR="00B3279C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41116C45" w14:textId="4E047466" w:rsidR="00AF704B" w:rsidRDefault="00AF704B">
      <w:pPr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br w:type="page"/>
      </w:r>
    </w:p>
    <w:p w14:paraId="1BF241BA" w14:textId="77777777" w:rsidR="00D47D07" w:rsidRPr="00B73980" w:rsidRDefault="00D47D07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0073D5A0" w14:textId="33191D99" w:rsidR="00B3279C" w:rsidRPr="00BC2257" w:rsidRDefault="00AF704B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468C016B" wp14:editId="37C59CB2">
            <wp:extent cx="6084570" cy="3932555"/>
            <wp:effectExtent l="0" t="0" r="0" b="0"/>
            <wp:docPr id="254965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93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717F7" w14:textId="07ECE545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6244429" w14:textId="5857A64B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937D70" w14:textId="77777777" w:rsidR="003A4BEB" w:rsidRPr="00B73980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73"/>
        <w:gridCol w:w="1136"/>
        <w:gridCol w:w="1136"/>
        <w:gridCol w:w="1273"/>
        <w:gridCol w:w="1273"/>
        <w:gridCol w:w="276"/>
        <w:gridCol w:w="1403"/>
        <w:gridCol w:w="1403"/>
      </w:tblGrid>
      <w:tr w:rsidR="00E005D1" w:rsidRPr="007A2C60" w14:paraId="7403EBDB" w14:textId="77777777" w:rsidTr="003D03FD">
        <w:trPr>
          <w:trHeight w:val="284"/>
          <w:jc w:val="center"/>
        </w:trPr>
        <w:tc>
          <w:tcPr>
            <w:tcW w:w="28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20D4284" w14:textId="1E680DEC" w:rsidR="00E005D1" w:rsidRPr="00E005D1" w:rsidRDefault="00E005D1" w:rsidP="00E005D1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Πίνακας</w:t>
            </w:r>
          </w:p>
        </w:tc>
        <w:tc>
          <w:tcPr>
            <w:tcW w:w="1136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1BD76B4" w14:textId="77777777" w:rsidR="00E005D1" w:rsidRPr="007A2C60" w:rsidRDefault="00E005D1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C7FAC6E" w14:textId="77777777" w:rsidR="00E005D1" w:rsidRPr="007A2C60" w:rsidRDefault="00E005D1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906FE62" w14:textId="77777777" w:rsidR="00E005D1" w:rsidRPr="007A2C60" w:rsidRDefault="00E005D1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C59CA59" w14:textId="77777777" w:rsidR="00E005D1" w:rsidRPr="007A2C60" w:rsidRDefault="00E005D1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BB47C85" w14:textId="77777777" w:rsidR="00E005D1" w:rsidRPr="007A2C60" w:rsidRDefault="00E005D1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619B909" w14:textId="77777777" w:rsidR="00E005D1" w:rsidRPr="007A2C60" w:rsidRDefault="00E005D1" w:rsidP="00BD3866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3DC4305" w14:textId="77777777" w:rsidR="00E005D1" w:rsidRPr="007A2C60" w:rsidRDefault="00E005D1" w:rsidP="00665ED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3D03FD" w:rsidRPr="007A2C60" w14:paraId="3B2011F9" w14:textId="77777777" w:rsidTr="003D03FD">
        <w:trPr>
          <w:trHeight w:val="870"/>
          <w:jc w:val="center"/>
        </w:trPr>
        <w:tc>
          <w:tcPr>
            <w:tcW w:w="2873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002D8C0" w14:textId="77777777" w:rsidR="003D03FD" w:rsidRPr="007A2C60" w:rsidRDefault="003D03FD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Κα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τηγορί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 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br/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Μηχ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ανοκίνητων 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Οχημάτων</w:t>
            </w:r>
            <w:proofErr w:type="spellEnd"/>
          </w:p>
        </w:tc>
        <w:tc>
          <w:tcPr>
            <w:tcW w:w="4818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841FD24" w14:textId="52D2F7E1" w:rsidR="003D03FD" w:rsidRPr="007A2C60" w:rsidRDefault="003D03FD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Αριθμός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Εγγρ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αφών</w:t>
            </w:r>
          </w:p>
        </w:tc>
        <w:tc>
          <w:tcPr>
            <w:tcW w:w="27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91B2F" w14:textId="77777777" w:rsidR="003D03FD" w:rsidRPr="007A2C60" w:rsidRDefault="003D03FD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AB48A07" w14:textId="0E5BFCF2" w:rsidR="003D03FD" w:rsidRPr="007A2C60" w:rsidRDefault="003D03FD" w:rsidP="00665ED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αβολή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(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%)</w:t>
            </w:r>
          </w:p>
        </w:tc>
      </w:tr>
      <w:tr w:rsidR="00665ED2" w:rsidRPr="007A2C60" w14:paraId="7758D961" w14:textId="77777777" w:rsidTr="00E005D1">
        <w:trPr>
          <w:trHeight w:val="585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85E58B8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554E469" w14:textId="696C4631" w:rsidR="00D06EBD" w:rsidRPr="00112DD2" w:rsidRDefault="00112DD2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Α</w:t>
            </w:r>
            <w:r w:rsidR="00AF704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υ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γ</w:t>
            </w:r>
          </w:p>
          <w:p w14:paraId="367E6DD3" w14:textId="757F7268" w:rsidR="00A6368E" w:rsidRPr="007A2C60" w:rsidRDefault="00A6368E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2023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15F3602" w14:textId="647CF9B1" w:rsidR="00112DD2" w:rsidRPr="00112DD2" w:rsidRDefault="00112DD2" w:rsidP="00112DD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Α</w:t>
            </w:r>
            <w:r w:rsidR="00AF704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υ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γ</w:t>
            </w:r>
          </w:p>
          <w:p w14:paraId="2B480F78" w14:textId="14CB67E3" w:rsidR="00A6368E" w:rsidRPr="007A2C60" w:rsidRDefault="00A6368E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2022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AD0C47C" w14:textId="436C028A" w:rsidR="00112DD2" w:rsidRPr="00112DD2" w:rsidRDefault="00A6368E" w:rsidP="00112DD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 w:rsidR="00112DD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Α</w:t>
            </w:r>
            <w:r w:rsidR="00AF704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υ</w:t>
            </w:r>
            <w:r w:rsidR="00112DD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γ</w:t>
            </w:r>
          </w:p>
          <w:p w14:paraId="068643F1" w14:textId="39C7E78B" w:rsidR="00A6368E" w:rsidRPr="007A2C60" w:rsidRDefault="00ED00E5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r w:rsidR="00A6368E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2023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8E66EC4" w14:textId="1DD3E68F" w:rsidR="00112DD2" w:rsidRPr="00112DD2" w:rsidRDefault="00112DD2" w:rsidP="00112DD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Α</w:t>
            </w:r>
            <w:r w:rsidR="00AF704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υ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γ</w:t>
            </w:r>
          </w:p>
          <w:p w14:paraId="67E923C1" w14:textId="40A80577" w:rsidR="00A6368E" w:rsidRPr="007A2C60" w:rsidRDefault="00A6368E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2022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D8D95" w14:textId="77777777" w:rsidR="00A6368E" w:rsidRPr="007A2C60" w:rsidRDefault="00A6368E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0FD919B" w14:textId="00E993FE" w:rsidR="00A6368E" w:rsidRPr="007A2C60" w:rsidRDefault="00112DD2" w:rsidP="00BD3866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Α</w:t>
            </w:r>
            <w:r w:rsidR="00AF704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υ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γ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r w:rsidR="00A6368E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2023/2022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2DF00E" w14:textId="5C918CBF" w:rsidR="008D51E9" w:rsidRPr="007A2C60" w:rsidRDefault="000E63D2" w:rsidP="00BD3866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 w:rsidR="00112DD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Α</w:t>
            </w:r>
            <w:r w:rsidR="00AF704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υ</w:t>
            </w:r>
            <w:r w:rsidR="00112DD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γ</w:t>
            </w:r>
          </w:p>
          <w:p w14:paraId="1AC7A02F" w14:textId="4D5F088D" w:rsidR="00A6368E" w:rsidRPr="007A2C60" w:rsidRDefault="00A6368E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2023/2022</w:t>
            </w:r>
          </w:p>
        </w:tc>
      </w:tr>
      <w:tr w:rsidR="00665ED2" w:rsidRPr="007A2C60" w14:paraId="6E0DDFEA" w14:textId="77777777" w:rsidTr="00E005D1">
        <w:trPr>
          <w:trHeight w:val="570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26984D52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BDB1463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EA9EC62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7DE6450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69BB1C70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EEA8D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6AB8F258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43612FA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D85CFF" w:rsidRPr="007A2C60" w14:paraId="29AF54C6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40AFF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Επιβα</w:t>
            </w: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τηγά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 xml:space="preserve"> α</w:t>
            </w: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υτοκίνητ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69D33" w14:textId="610C509C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2.599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68B8" w14:textId="5E831803" w:rsidR="00D85CFF" w:rsidRPr="00AE0EC9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2.</w:t>
            </w:r>
            <w:r w:rsidR="00AE0EC9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018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347B7" w14:textId="57179216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23.777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30E65" w14:textId="468C6705" w:rsidR="00D85CFF" w:rsidRPr="00AE0EC9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18.445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C2D81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A8E99" w14:textId="4B5D33D7" w:rsidR="00D85CFF" w:rsidRPr="007A2C60" w:rsidRDefault="000C43CE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28</w:t>
            </w:r>
            <w:r w:rsidR="00423A4F">
              <w:rPr>
                <w:rFonts w:ascii="Verdana" w:hAnsi="Verdana" w:cs="Calibri"/>
                <w:color w:val="365F91"/>
                <w:sz w:val="18"/>
                <w:szCs w:val="18"/>
              </w:rPr>
              <w:t>,8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D4A2B" w14:textId="357EE485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28,9</w:t>
            </w:r>
          </w:p>
        </w:tc>
      </w:tr>
      <w:tr w:rsidR="00D85CFF" w:rsidRPr="007A2C60" w14:paraId="41FECC19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3EA99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Λεωφορεί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D20A" w14:textId="49965FC1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970A" w14:textId="526DDC88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0019" w14:textId="0F96C4BB" w:rsidR="00D85CFF" w:rsidRPr="00423A4F" w:rsidRDefault="001A73BC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</w:t>
            </w:r>
            <w:r w:rsidR="00AE0EC9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</w:t>
            </w: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09208" w14:textId="0DF09656" w:rsidR="00D85CFF" w:rsidRPr="00AE0EC9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EF34E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8CC3A" w14:textId="7A8CEFF7" w:rsidR="00D85CFF" w:rsidRPr="007A2C60" w:rsidRDefault="000C43CE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122,2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FC58F" w14:textId="4E122A13" w:rsidR="00D85CFF" w:rsidRPr="000C43CE" w:rsidRDefault="000C43CE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312,5</w:t>
            </w:r>
          </w:p>
        </w:tc>
      </w:tr>
      <w:tr w:rsidR="00D85CFF" w:rsidRPr="007A2C60" w14:paraId="0B731E9D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8A915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Οχήμ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 xml:space="preserve">ατα </w:t>
            </w: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 xml:space="preserve">αφοράς </w:t>
            </w: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φορτίου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B67D8" w14:textId="0353A306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B7B71" w14:textId="5D534527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</w:t>
            </w:r>
            <w:r w:rsidR="00B17C42"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45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A42C" w14:textId="529C36DA" w:rsidR="00D85CFF" w:rsidRPr="00423A4F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2.</w:t>
            </w:r>
            <w:r w:rsidR="00AE0EC9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788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60B37" w14:textId="16BD598A" w:rsidR="00D85CFF" w:rsidRPr="00AE0EC9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2.</w:t>
            </w:r>
            <w:r w:rsidR="00AE0EC9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497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93803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6AEAB" w14:textId="7F445C6E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0C43C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,7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7BF53" w14:textId="531D25B3" w:rsidR="00D85CFF" w:rsidRPr="000C43CE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11,</w:t>
            </w:r>
            <w:r w:rsidR="000C43C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</w:t>
            </w:r>
          </w:p>
        </w:tc>
      </w:tr>
      <w:tr w:rsidR="00D85CFF" w:rsidRPr="007A2C60" w14:paraId="06414B9F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A151F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Μοτο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 xml:space="preserve">ποδήλατα &lt; 50κε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926EC" w14:textId="7C28058D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6EB5A" w14:textId="48C7611E" w:rsidR="00D85CFF" w:rsidRPr="00AE0EC9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F9756" w14:textId="1D3FBAF2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206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DAE8F" w14:textId="49D96FB5" w:rsidR="00D85CFF" w:rsidRPr="00AE0EC9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191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E8894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A6D6E" w14:textId="43A3ECA5" w:rsidR="00D85CFF" w:rsidRPr="000C43CE" w:rsidRDefault="000C43CE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266,7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02BC" w14:textId="07D2EA40" w:rsidR="00D85CFF" w:rsidRPr="000C43CE" w:rsidRDefault="000C43CE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7,9</w:t>
            </w:r>
          </w:p>
        </w:tc>
      </w:tr>
      <w:tr w:rsidR="00D85CFF" w:rsidRPr="007A2C60" w14:paraId="59DB16D5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ECD6F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Μοτοσικλέτες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 xml:space="preserve"> &gt; 50κε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BD76A" w14:textId="7CE4C599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3F147" w14:textId="5FAFF3E7" w:rsidR="00D85CFF" w:rsidRPr="00AE0EC9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183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D655" w14:textId="55FDEFD8" w:rsidR="00D85CFF" w:rsidRPr="00423A4F" w:rsidRDefault="001A73BC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AE0EC9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324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54CB" w14:textId="74617827" w:rsidR="00D85CFF" w:rsidRPr="00AE0EC9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1.</w:t>
            </w:r>
            <w:r w:rsidR="00AE0EC9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745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3DF63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DCBAE" w14:textId="4A88B744" w:rsidR="00D85CFF" w:rsidRPr="000C43CE" w:rsidRDefault="000C43CE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27,9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BAFA6" w14:textId="13E21516" w:rsidR="00D85CFF" w:rsidRPr="000C43CE" w:rsidRDefault="000C43CE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33,2</w:t>
            </w:r>
          </w:p>
        </w:tc>
      </w:tr>
      <w:tr w:rsidR="00D85CFF" w:rsidRPr="007A2C60" w14:paraId="08C19F37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7C996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Ελκυστήρες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6206" w14:textId="7160DCED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6548D" w14:textId="3BEDF76B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6CED" w14:textId="04BE3BB0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152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DB9C9" w14:textId="1829009C" w:rsidR="00D85CFF" w:rsidRPr="00423A4F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</w:t>
            </w:r>
            <w:r w:rsidR="00AE0EC9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</w:t>
            </w: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D06E5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E65D8" w14:textId="79EB95E0" w:rsidR="00D85CFF" w:rsidRPr="007A2C60" w:rsidRDefault="000C43CE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</w:t>
            </w:r>
            <w:r w:rsidR="00423A4F">
              <w:rPr>
                <w:rFonts w:ascii="Verdana" w:hAnsi="Verdana" w:cs="Calibri"/>
                <w:color w:val="365F91"/>
                <w:sz w:val="18"/>
                <w:szCs w:val="18"/>
              </w:rPr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5E39C" w14:textId="11CFE531" w:rsidR="00D85CFF" w:rsidRPr="000C43CE" w:rsidRDefault="000C43CE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29,9</w:t>
            </w:r>
          </w:p>
        </w:tc>
      </w:tr>
      <w:tr w:rsidR="00D85CFF" w:rsidRPr="007A2C60" w14:paraId="405BA737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705B2BD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Άλλ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 xml:space="preserve">α </w:t>
            </w: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οχήμ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ατα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00A6A128" w14:textId="581FCA72" w:rsidR="00D85CFF" w:rsidRPr="00423A4F" w:rsidRDefault="00356220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</w:t>
            </w:r>
            <w:r w:rsidR="00AE0EC9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3811A41" w14:textId="426477CF" w:rsidR="00D85CFF" w:rsidRPr="00AE0EC9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AD8F539" w14:textId="70F423DA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044673B" w14:textId="0E4B7382" w:rsidR="00D85CFF" w:rsidRPr="00AE0EC9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11</w:t>
            </w:r>
            <w:r w:rsidR="00AE0EC9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2A95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B238267" w14:textId="6536A47D" w:rsidR="00D85CFF" w:rsidRPr="000C43CE" w:rsidRDefault="000C43CE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C4E6F06" w14:textId="2E82E36F" w:rsidR="00D85CFF" w:rsidRPr="000C43CE" w:rsidRDefault="000C43CE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65,3</w:t>
            </w:r>
          </w:p>
        </w:tc>
      </w:tr>
      <w:tr w:rsidR="00D85CFF" w:rsidRPr="007A2C60" w14:paraId="7B1C3827" w14:textId="77777777" w:rsidTr="00E005D1">
        <w:trPr>
          <w:trHeight w:val="402"/>
          <w:jc w:val="center"/>
        </w:trPr>
        <w:tc>
          <w:tcPr>
            <w:tcW w:w="28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72AC525" w14:textId="77777777" w:rsidR="00D85CFF" w:rsidRPr="007A2C60" w:rsidRDefault="00D85CFF" w:rsidP="00D85CFF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Σύνολο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5ED9DFF3" w14:textId="056F9042" w:rsidR="00D85CFF" w:rsidRPr="00AE0EC9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3.211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771605D" w14:textId="2A1E1927" w:rsidR="00D85CFF" w:rsidRPr="00AE0EC9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</w:rPr>
              <w:t>2.</w:t>
            </w:r>
            <w:r w:rsidR="00AE0EC9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38ACFFE" w14:textId="2DE53FFB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29.673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F59EE94" w14:textId="42DE7F5F" w:rsidR="00D85CFF" w:rsidRPr="00AE0EC9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23.169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2A385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3E7F39E" w14:textId="20AFEA7F" w:rsidR="00D85CFF" w:rsidRPr="000C43CE" w:rsidRDefault="000C43CE" w:rsidP="00D85CFF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29,3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479C71F" w14:textId="36772C1A" w:rsidR="00D85CFF" w:rsidRPr="000C43CE" w:rsidRDefault="000C43CE" w:rsidP="00D85CFF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28,1</w:t>
            </w:r>
          </w:p>
        </w:tc>
      </w:tr>
      <w:tr w:rsidR="00D85CFF" w:rsidRPr="007A2C60" w14:paraId="3C893D0A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2788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 xml:space="preserve">   Κα</w:t>
            </w: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ινούρι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04D86" w14:textId="2DB644F9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1.129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ABB3D" w14:textId="0D6239EC" w:rsidR="00D85CFF" w:rsidRPr="00AE0EC9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957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D76D" w14:textId="7E3B2275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13.913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26EC" w14:textId="1ADCBFDF" w:rsidR="00D85CFF" w:rsidRPr="00AE0EC9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11.211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7F9A9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19EA3" w14:textId="4FDA63C7" w:rsidR="00D85CFF" w:rsidRPr="000C43CE" w:rsidRDefault="000C43CE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18,0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FAFAD" w14:textId="00D98295" w:rsidR="00D85CFF" w:rsidRPr="000C43CE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24,</w:t>
            </w:r>
            <w:r w:rsidR="000C43C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</w:p>
        </w:tc>
      </w:tr>
      <w:tr w:rsidR="00D85CFF" w:rsidRPr="007A2C60" w14:paraId="00104579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7F783F8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 xml:space="preserve">   </w:t>
            </w: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αχειρισμένα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D8EAB0A" w14:textId="65BEA0EB" w:rsidR="00D85CFF" w:rsidRPr="00AE0EC9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2.082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54498D8" w14:textId="01817E91" w:rsidR="00D85CFF" w:rsidRPr="00AE0EC9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1.</w:t>
            </w:r>
            <w:r w:rsidR="00AE0EC9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3A853D7" w14:textId="11F33613" w:rsidR="00D85CFF" w:rsidRPr="00423A4F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15.760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BA50983" w14:textId="7AEA722B" w:rsidR="00D85CFF" w:rsidRPr="00AE0EC9" w:rsidRDefault="00AE0EC9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11.958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56ADF73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00B182A" w14:textId="14B68D2C" w:rsidR="00D85CFF" w:rsidRPr="000C43CE" w:rsidRDefault="000C43CE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36,3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4AAF7D9" w14:textId="66CB52F0" w:rsidR="00D85CFF" w:rsidRPr="000C43CE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31,</w:t>
            </w:r>
            <w:r w:rsidR="000C43C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</w:t>
            </w:r>
          </w:p>
        </w:tc>
      </w:tr>
    </w:tbl>
    <w:p w14:paraId="2E4FC1EA" w14:textId="5488D1CD" w:rsidR="00B3279C" w:rsidRPr="00AD1654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9E7A6D" w14:textId="77777777" w:rsidR="000C66E6" w:rsidRDefault="000C66E6" w:rsidP="00B3279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1F0168" w14:textId="77777777" w:rsidR="00AF704B" w:rsidRDefault="00AF704B">
      <w:pPr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</w:p>
    <w:p w14:paraId="056671A9" w14:textId="77777777" w:rsidR="00AF704B" w:rsidRPr="00AF704B" w:rsidRDefault="00AF704B" w:rsidP="00B3279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1B7C20C" w14:textId="0C85D5C4" w:rsidR="00B3279C" w:rsidRPr="00AD1654" w:rsidRDefault="00B3279C" w:rsidP="00B3279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019C018F" w14:textId="77777777" w:rsidR="00B3279C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F46B18" w14:textId="77777777" w:rsidR="00B3279C" w:rsidRPr="00AD1654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BD65A2" w14:textId="06F35ACB" w:rsidR="00B3279C" w:rsidRPr="0089556E" w:rsidRDefault="00B3279C" w:rsidP="00B3279C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3F0D07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87B470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 xml:space="preserve">Στοιχεία για τις Εγγραφές Μηχανοκίνητων Οχημάτων συλλέγονται σε μηνιαία βάση. </w:t>
      </w:r>
      <w:r>
        <w:rPr>
          <w:rFonts w:ascii="Verdana" w:hAnsi="Verdana"/>
          <w:sz w:val="18"/>
          <w:szCs w:val="18"/>
          <w:lang w:val="el-GR"/>
        </w:rPr>
        <w:t>Αφορούν</w:t>
      </w:r>
      <w:r w:rsidRPr="0089556E">
        <w:rPr>
          <w:rFonts w:ascii="Verdana" w:hAnsi="Verdana"/>
          <w:sz w:val="18"/>
          <w:szCs w:val="18"/>
          <w:lang w:val="el-GR"/>
        </w:rPr>
        <w:t xml:space="preserve"> τις νέες εγγραφές μηχανοκίνητων οχημάτων όπως καταγράφονται από το Τμήμα Οδικών Μεταφορών.</w:t>
      </w:r>
    </w:p>
    <w:p w14:paraId="3C613F99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D198C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>Οι εγγραφές παρουσιάζονται κατά κατηγορία, μάρκα, τύπο ενέργειας, νέα ή μεταχειρισμένα, κυβική ικανότητα κινητήρα, χώρα κατασκευής και προέλευσης και άλλα χαρακτηριστικά των οχημάτων, με βάση τις πληροφορίες που τηρεί η Υπηρεσία Εγγραφής Μηχανοκίνητων Οχημάτων στο Τμήμα Οδικών Μεταφορών.</w:t>
      </w:r>
    </w:p>
    <w:p w14:paraId="4E35E37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04633002" w14:textId="41ECE9DC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6C357AEA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AB95A11" w14:textId="7E1D2B2F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από τη Στατιστική Υπηρεσία, η οποία λαμβάνει τα απαραίτητα 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στοιχεία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το Τμήμα Οδικών Μεταφορών. </w:t>
      </w:r>
    </w:p>
    <w:p w14:paraId="7560B97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AB88CD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34FEB50C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744AA7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«Μηχανοκίνητο όχημα» σημαίνει οποιοδήποτε όχημα με κινητήρα, ο οποίος αποτελεί το μοναδικό μέσο προώθησής του,  που προορίζεται για οδική χρήση και χρησιμοποιείται κυρίως για τη μεταφορά προσώπων ή εμπορευμάτων, δηλαδή:</w:t>
      </w:r>
    </w:p>
    <w:p w14:paraId="4A60B279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Επιβατηγά αυτοκίνητα τύπου σαλούν, τα οποία περιλαμβάνουν ιδιωτικά αυτοκίνητα, ταξί, αυτοκίνητα ενοικίασης, εκπαιδευτικά οχήματα και οχήματα για αναπήρους</w:t>
      </w:r>
    </w:p>
    <w:p w14:paraId="7AABA292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Λεωφορεία, ιδιωτικά και δημόσιας χρήσης</w:t>
      </w:r>
    </w:p>
    <w:p w14:paraId="2588BA58" w14:textId="2F6AC7D4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Οχήματα μεταφοράς φορτίου, τα οποία περιλαμβάνουν βαριά και ελαφρά οχήματα μεταφοράς φορτίου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, ενοικιαζόμενα οχήματα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ελκυστήρες δρόμου (ρυμουλκά)</w:t>
      </w:r>
    </w:p>
    <w:p w14:paraId="09618CD3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Μοτοποδήλατα ή Μοτοσικλέτες, τα οποία περιλαμβάνουν μοτοποδήλατα, τρίκυκλα, μοτοσικλέτες και μοτοσικλέτες ενοικίασης</w:t>
      </w:r>
    </w:p>
    <w:p w14:paraId="7E643FBC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Ελκυστήρες, γεωργικής και μη γεωργικής χρήσης</w:t>
      </w:r>
    </w:p>
    <w:p w14:paraId="66EDFB44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Άλλα οχήματα, τα οποία περιλαμβάνουν οδοστρωτήρες, μηχανοκίνητους γερανούς, βαριά οχήματα και άλλα οχήματα ειδικού τύπου και χρήσης.</w:t>
      </w:r>
    </w:p>
    <w:p w14:paraId="2A6F69C4" w14:textId="77777777" w:rsidR="00B3279C" w:rsidRPr="005C4310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395C3F" w14:textId="4B91D4DB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Μηνιαία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Έ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κδοση</w:t>
      </w:r>
    </w:p>
    <w:p w14:paraId="2694A0C6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EE89523" w14:textId="5AE3CF63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έκθεση «Εγγραφές Μηχανοκίνητων Οχημάτων» δημοσιεύεται σε μηνιαία βάση από το 1982 και διατίθεται δωρεάν σε ηλεκτρονική μορφή στη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διαδικτυακή πύλη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Στατιστικής Υπηρεσίας.</w:t>
      </w:r>
    </w:p>
    <w:p w14:paraId="2BAE24F3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C51D2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6BD370" w14:textId="77777777" w:rsidR="00B3279C" w:rsidRPr="00AC2590" w:rsidRDefault="00B3279C" w:rsidP="00B3279C">
      <w:pPr>
        <w:rPr>
          <w:rFonts w:ascii="Verdana" w:hAnsi="Verdana"/>
          <w:i/>
          <w:sz w:val="18"/>
          <w:szCs w:val="18"/>
          <w:lang w:val="el-GR"/>
        </w:rPr>
      </w:pPr>
      <w:r w:rsidRPr="00AC259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5A9B239D" w14:textId="77777777" w:rsidR="00B3279C" w:rsidRPr="00AC2590" w:rsidRDefault="00B3279C" w:rsidP="00B3279C">
      <w:pPr>
        <w:rPr>
          <w:rFonts w:ascii="Verdana" w:hAnsi="Verdana"/>
          <w:sz w:val="18"/>
          <w:szCs w:val="18"/>
          <w:lang w:val="el-GR"/>
        </w:rPr>
      </w:pPr>
      <w:r w:rsidRPr="00AC259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CB21328" w14:textId="10915325" w:rsidR="00B3279C" w:rsidRDefault="00000000" w:rsidP="00B3279C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B3279C"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="00B3279C"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B3279C"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B3279C"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22F6206" w14:textId="2245767B" w:rsidR="007B3C7F" w:rsidRPr="00EC5992" w:rsidRDefault="00000000" w:rsidP="007B3C7F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7B3C7F" w:rsidRPr="00AC259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7B3C7F" w:rsidRPr="00AC2590">
        <w:rPr>
          <w:rFonts w:ascii="Verdana" w:hAnsi="Verdana"/>
          <w:sz w:val="18"/>
          <w:szCs w:val="18"/>
          <w:lang w:val="el-GR"/>
        </w:rPr>
        <w:t xml:space="preserve"> (</w:t>
      </w:r>
      <w:r w:rsidR="007B3C7F" w:rsidRPr="00040F97">
        <w:rPr>
          <w:rFonts w:ascii="Verdana" w:hAnsi="Verdana"/>
          <w:sz w:val="18"/>
          <w:szCs w:val="18"/>
        </w:rPr>
        <w:t>Excel</w:t>
      </w:r>
      <w:r w:rsidR="007B3C7F" w:rsidRPr="00AC2590">
        <w:rPr>
          <w:rFonts w:ascii="Verdana" w:hAnsi="Verdana"/>
          <w:sz w:val="18"/>
          <w:szCs w:val="18"/>
          <w:lang w:val="el-GR"/>
        </w:rPr>
        <w:t>)</w:t>
      </w:r>
    </w:p>
    <w:p w14:paraId="56159CA3" w14:textId="5F0BEC7A" w:rsidR="00B3279C" w:rsidRDefault="00000000" w:rsidP="00B3279C">
      <w:pPr>
        <w:rPr>
          <w:rFonts w:ascii="Verdana" w:hAnsi="Verdana"/>
          <w:sz w:val="18"/>
          <w:szCs w:val="18"/>
          <w:lang w:val="el-GR"/>
        </w:rPr>
      </w:pPr>
      <w:hyperlink r:id="rId12" w:tooltip="Εκδόσεις" w:history="1">
        <w:r w:rsidR="00B3279C" w:rsidRPr="006347C8">
          <w:rPr>
            <w:rStyle w:val="Hyperlink"/>
            <w:rFonts w:ascii="Verdana" w:hAnsi="Verdana"/>
            <w:sz w:val="18"/>
            <w:szCs w:val="18"/>
            <w:lang w:val="el-GR"/>
          </w:rPr>
          <w:t>Εκδόσεις</w:t>
        </w:r>
      </w:hyperlink>
      <w:r w:rsidR="00B3279C" w:rsidRPr="00B3279C">
        <w:rPr>
          <w:rFonts w:ascii="Verdana" w:hAnsi="Verdana"/>
          <w:sz w:val="18"/>
          <w:szCs w:val="18"/>
          <w:lang w:val="el-GR"/>
        </w:rPr>
        <w:t xml:space="preserve"> (</w:t>
      </w:r>
      <w:r w:rsidR="00B3279C">
        <w:rPr>
          <w:rFonts w:ascii="Verdana" w:hAnsi="Verdana"/>
          <w:sz w:val="18"/>
          <w:szCs w:val="18"/>
        </w:rPr>
        <w:t>Pdf</w:t>
      </w:r>
      <w:r w:rsidR="00B3279C" w:rsidRPr="00B3279C">
        <w:rPr>
          <w:rFonts w:ascii="Verdana" w:hAnsi="Verdana"/>
          <w:sz w:val="18"/>
          <w:szCs w:val="18"/>
          <w:lang w:val="el-GR"/>
        </w:rPr>
        <w:t>)</w:t>
      </w:r>
    </w:p>
    <w:p w14:paraId="677BF0AA" w14:textId="18CC9CA0" w:rsidR="007B3C7F" w:rsidRDefault="007B3C7F" w:rsidP="00B3279C">
      <w:pPr>
        <w:rPr>
          <w:rFonts w:ascii="Verdana" w:hAnsi="Verdana"/>
          <w:sz w:val="18"/>
          <w:szCs w:val="18"/>
          <w:lang w:val="el-GR"/>
        </w:rPr>
      </w:pPr>
    </w:p>
    <w:p w14:paraId="7CA16B0E" w14:textId="0FB76964" w:rsidR="007B3C7F" w:rsidRPr="005E3EC4" w:rsidRDefault="007B3C7F" w:rsidP="00EC5992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E3EC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E3EC4">
        <w:rPr>
          <w:rFonts w:ascii="Verdana" w:hAnsi="Verdana"/>
          <w:b/>
          <w:bCs/>
          <w:sz w:val="18"/>
          <w:szCs w:val="18"/>
        </w:rPr>
        <w:t>Excel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Δεκέμβριο</w:t>
      </w:r>
      <w:r w:rsidR="00EC5992"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του 202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2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. Για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 xml:space="preserve">Ιανουάριο 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2023 και μετά η ενημέρωση γίνεται μόνο στη Βάση Δεδομένων </w:t>
      </w:r>
      <w:r w:rsidRPr="005E3EC4">
        <w:rPr>
          <w:rFonts w:ascii="Verdana" w:hAnsi="Verdana"/>
          <w:b/>
          <w:bCs/>
          <w:sz w:val="18"/>
          <w:szCs w:val="18"/>
        </w:rPr>
        <w:t>CYSTAT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E3EC4">
        <w:rPr>
          <w:rFonts w:ascii="Verdana" w:hAnsi="Verdana"/>
          <w:b/>
          <w:bCs/>
          <w:sz w:val="18"/>
          <w:szCs w:val="18"/>
        </w:rPr>
        <w:t>DB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1626F634" w14:textId="77777777" w:rsidR="00B3279C" w:rsidRPr="005E3EC4" w:rsidRDefault="00B3279C" w:rsidP="00B3279C">
      <w:pPr>
        <w:rPr>
          <w:rFonts w:ascii="Verdana" w:hAnsi="Verdana"/>
          <w:sz w:val="18"/>
          <w:szCs w:val="18"/>
          <w:lang w:val="en-CY"/>
        </w:rPr>
      </w:pPr>
    </w:p>
    <w:p w14:paraId="6FBFEC53" w14:textId="77777777" w:rsidR="00B3279C" w:rsidRPr="0089556E" w:rsidRDefault="00B3279C" w:rsidP="00B3279C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89556E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30DA1846" w14:textId="77777777" w:rsidR="00B3279C" w:rsidRPr="0089556E" w:rsidRDefault="00B3279C" w:rsidP="00B3279C">
      <w:pPr>
        <w:rPr>
          <w:rFonts w:ascii="Verdana" w:eastAsia="Malgun Gothic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2" w:name="_Hlk68780968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2240</w:t>
      </w:r>
      <w:bookmarkEnd w:id="2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89556E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3" w:name="_Hlk68780974"/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amilidoni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  <w:bookmarkEnd w:id="3"/>
    </w:p>
    <w:p w14:paraId="39E21377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947F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7AA4E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15FB4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56A5B1" w14:textId="77777777" w:rsidR="00B3279C" w:rsidRPr="00A12E81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6D0B" w14:textId="77777777" w:rsidR="00E1167A" w:rsidRDefault="00E1167A" w:rsidP="00FB398F">
      <w:r>
        <w:separator/>
      </w:r>
    </w:p>
  </w:endnote>
  <w:endnote w:type="continuationSeparator" w:id="0">
    <w:p w14:paraId="26E5B133" w14:textId="77777777" w:rsidR="00E1167A" w:rsidRDefault="00E1167A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AF704B">
      <w:rPr>
        <w:rFonts w:ascii="Arial" w:hAnsi="Arial" w:cs="Arial"/>
        <w:i/>
        <w:iCs/>
        <w:sz w:val="16"/>
        <w:szCs w:val="16"/>
        <w:lang w:val="pt-PT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</w:t>
    </w:r>
    <w:proofErr w:type="spellStart"/>
    <w:r w:rsidRPr="00233FBF">
      <w:rPr>
        <w:rFonts w:ascii="Arial" w:hAnsi="Arial" w:cs="Arial"/>
        <w:i/>
        <w:iCs/>
        <w:sz w:val="16"/>
        <w:szCs w:val="16"/>
        <w:lang w:val="de-DE"/>
      </w:rPr>
      <w:t>E-mail</w:t>
    </w:r>
    <w:proofErr w:type="spellEnd"/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6BC5" w14:textId="77777777" w:rsidR="00E1167A" w:rsidRDefault="00E1167A" w:rsidP="00FB398F">
      <w:r>
        <w:separator/>
      </w:r>
    </w:p>
  </w:footnote>
  <w:footnote w:type="continuationSeparator" w:id="0">
    <w:p w14:paraId="3E5AE666" w14:textId="77777777" w:rsidR="00E1167A" w:rsidRDefault="00E1167A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5"/>
  </w:num>
  <w:num w:numId="2" w16cid:durableId="894270092">
    <w:abstractNumId w:val="2"/>
  </w:num>
  <w:num w:numId="3" w16cid:durableId="593363562">
    <w:abstractNumId w:val="3"/>
  </w:num>
  <w:num w:numId="4" w16cid:durableId="1130973206">
    <w:abstractNumId w:val="4"/>
  </w:num>
  <w:num w:numId="5" w16cid:durableId="994458099">
    <w:abstractNumId w:val="1"/>
  </w:num>
  <w:num w:numId="6" w16cid:durableId="1395081476">
    <w:abstractNumId w:val="6"/>
  </w:num>
  <w:num w:numId="7" w16cid:durableId="16996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174F8"/>
    <w:rsid w:val="00021F1B"/>
    <w:rsid w:val="000239E7"/>
    <w:rsid w:val="00025A39"/>
    <w:rsid w:val="00027853"/>
    <w:rsid w:val="00030E18"/>
    <w:rsid w:val="00031D32"/>
    <w:rsid w:val="0003603D"/>
    <w:rsid w:val="00040368"/>
    <w:rsid w:val="00045088"/>
    <w:rsid w:val="00045A06"/>
    <w:rsid w:val="000466E6"/>
    <w:rsid w:val="00050391"/>
    <w:rsid w:val="00055291"/>
    <w:rsid w:val="00055D41"/>
    <w:rsid w:val="000563D3"/>
    <w:rsid w:val="00057E44"/>
    <w:rsid w:val="00061299"/>
    <w:rsid w:val="00070576"/>
    <w:rsid w:val="000752BB"/>
    <w:rsid w:val="00081ADF"/>
    <w:rsid w:val="00084A02"/>
    <w:rsid w:val="00084BF7"/>
    <w:rsid w:val="00086034"/>
    <w:rsid w:val="000870E9"/>
    <w:rsid w:val="00090227"/>
    <w:rsid w:val="000932CF"/>
    <w:rsid w:val="00096ED8"/>
    <w:rsid w:val="00097D94"/>
    <w:rsid w:val="000A1A88"/>
    <w:rsid w:val="000A2B5C"/>
    <w:rsid w:val="000A3601"/>
    <w:rsid w:val="000A6FA8"/>
    <w:rsid w:val="000B38BC"/>
    <w:rsid w:val="000C1070"/>
    <w:rsid w:val="000C43CE"/>
    <w:rsid w:val="000C4E72"/>
    <w:rsid w:val="000C66E6"/>
    <w:rsid w:val="000D1E7A"/>
    <w:rsid w:val="000E24B1"/>
    <w:rsid w:val="000E2735"/>
    <w:rsid w:val="000E32D6"/>
    <w:rsid w:val="000E4CB0"/>
    <w:rsid w:val="000E57F2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106852"/>
    <w:rsid w:val="00110F9D"/>
    <w:rsid w:val="00112DD2"/>
    <w:rsid w:val="00114A67"/>
    <w:rsid w:val="001253B6"/>
    <w:rsid w:val="001262C3"/>
    <w:rsid w:val="00127320"/>
    <w:rsid w:val="00127456"/>
    <w:rsid w:val="001312D8"/>
    <w:rsid w:val="0013137B"/>
    <w:rsid w:val="00133834"/>
    <w:rsid w:val="0015118B"/>
    <w:rsid w:val="001519CE"/>
    <w:rsid w:val="00161CF3"/>
    <w:rsid w:val="00162C00"/>
    <w:rsid w:val="001639EF"/>
    <w:rsid w:val="0016589F"/>
    <w:rsid w:val="001712CF"/>
    <w:rsid w:val="0017769A"/>
    <w:rsid w:val="00183DFC"/>
    <w:rsid w:val="00184384"/>
    <w:rsid w:val="00186717"/>
    <w:rsid w:val="00187FFC"/>
    <w:rsid w:val="0019391C"/>
    <w:rsid w:val="001A2018"/>
    <w:rsid w:val="001A73BC"/>
    <w:rsid w:val="001B2C39"/>
    <w:rsid w:val="001B3675"/>
    <w:rsid w:val="001B5E10"/>
    <w:rsid w:val="001B6AB3"/>
    <w:rsid w:val="001B73D5"/>
    <w:rsid w:val="001C0681"/>
    <w:rsid w:val="001C1FBB"/>
    <w:rsid w:val="001C62B3"/>
    <w:rsid w:val="001C7C8C"/>
    <w:rsid w:val="001D0D6A"/>
    <w:rsid w:val="001D20A4"/>
    <w:rsid w:val="001E00D1"/>
    <w:rsid w:val="001E0E58"/>
    <w:rsid w:val="001E14F3"/>
    <w:rsid w:val="001E15ED"/>
    <w:rsid w:val="001E48F5"/>
    <w:rsid w:val="001E61AA"/>
    <w:rsid w:val="0020309E"/>
    <w:rsid w:val="0020346E"/>
    <w:rsid w:val="00206000"/>
    <w:rsid w:val="00210B58"/>
    <w:rsid w:val="00222423"/>
    <w:rsid w:val="00225B28"/>
    <w:rsid w:val="00226891"/>
    <w:rsid w:val="00230D9B"/>
    <w:rsid w:val="002313AC"/>
    <w:rsid w:val="00235FB2"/>
    <w:rsid w:val="00237BC1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67A43"/>
    <w:rsid w:val="00273EEE"/>
    <w:rsid w:val="0028338F"/>
    <w:rsid w:val="002915C4"/>
    <w:rsid w:val="00291D3E"/>
    <w:rsid w:val="00297E6B"/>
    <w:rsid w:val="002A1D1C"/>
    <w:rsid w:val="002A4D64"/>
    <w:rsid w:val="002A6A01"/>
    <w:rsid w:val="002A7D4D"/>
    <w:rsid w:val="002B4969"/>
    <w:rsid w:val="002B6554"/>
    <w:rsid w:val="002C237E"/>
    <w:rsid w:val="002C7E19"/>
    <w:rsid w:val="002D05F0"/>
    <w:rsid w:val="002D2829"/>
    <w:rsid w:val="002D5819"/>
    <w:rsid w:val="002D7D4A"/>
    <w:rsid w:val="002E3846"/>
    <w:rsid w:val="002E3F78"/>
    <w:rsid w:val="002F0E1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6D48"/>
    <w:rsid w:val="00327549"/>
    <w:rsid w:val="003342A5"/>
    <w:rsid w:val="00334616"/>
    <w:rsid w:val="00336C36"/>
    <w:rsid w:val="00343815"/>
    <w:rsid w:val="003522BB"/>
    <w:rsid w:val="00352F6C"/>
    <w:rsid w:val="003556EA"/>
    <w:rsid w:val="00356220"/>
    <w:rsid w:val="00360679"/>
    <w:rsid w:val="00370D2D"/>
    <w:rsid w:val="00386FC7"/>
    <w:rsid w:val="00390A32"/>
    <w:rsid w:val="003A10AA"/>
    <w:rsid w:val="003A1E91"/>
    <w:rsid w:val="003A40F2"/>
    <w:rsid w:val="003A4BEB"/>
    <w:rsid w:val="003A50D1"/>
    <w:rsid w:val="003B196D"/>
    <w:rsid w:val="003B2710"/>
    <w:rsid w:val="003B4608"/>
    <w:rsid w:val="003B554B"/>
    <w:rsid w:val="003C2392"/>
    <w:rsid w:val="003C5174"/>
    <w:rsid w:val="003C5240"/>
    <w:rsid w:val="003C76E6"/>
    <w:rsid w:val="003D03FD"/>
    <w:rsid w:val="003D14E0"/>
    <w:rsid w:val="003D1EA5"/>
    <w:rsid w:val="003D3348"/>
    <w:rsid w:val="003D4E63"/>
    <w:rsid w:val="003D6822"/>
    <w:rsid w:val="003D724C"/>
    <w:rsid w:val="003E0CE2"/>
    <w:rsid w:val="003E4364"/>
    <w:rsid w:val="003F49E4"/>
    <w:rsid w:val="003F4AC1"/>
    <w:rsid w:val="003F4D2F"/>
    <w:rsid w:val="003F5E32"/>
    <w:rsid w:val="003F75F6"/>
    <w:rsid w:val="00404670"/>
    <w:rsid w:val="004052CF"/>
    <w:rsid w:val="00406A6C"/>
    <w:rsid w:val="00414CA0"/>
    <w:rsid w:val="00422F54"/>
    <w:rsid w:val="00423A4F"/>
    <w:rsid w:val="00431516"/>
    <w:rsid w:val="004361B3"/>
    <w:rsid w:val="0044249D"/>
    <w:rsid w:val="0044379F"/>
    <w:rsid w:val="004446D7"/>
    <w:rsid w:val="00444FCC"/>
    <w:rsid w:val="00446FB1"/>
    <w:rsid w:val="00452753"/>
    <w:rsid w:val="0046078F"/>
    <w:rsid w:val="00463214"/>
    <w:rsid w:val="0046325A"/>
    <w:rsid w:val="0046434D"/>
    <w:rsid w:val="004656FA"/>
    <w:rsid w:val="00471D77"/>
    <w:rsid w:val="00475587"/>
    <w:rsid w:val="00480BC2"/>
    <w:rsid w:val="004818DA"/>
    <w:rsid w:val="004845C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6599"/>
    <w:rsid w:val="004C0371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1107B"/>
    <w:rsid w:val="00512F9C"/>
    <w:rsid w:val="005202A6"/>
    <w:rsid w:val="00526420"/>
    <w:rsid w:val="00527CDB"/>
    <w:rsid w:val="00531CC4"/>
    <w:rsid w:val="00533649"/>
    <w:rsid w:val="005341C9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80AC3"/>
    <w:rsid w:val="005828AA"/>
    <w:rsid w:val="005978D4"/>
    <w:rsid w:val="005A23FA"/>
    <w:rsid w:val="005A56D0"/>
    <w:rsid w:val="005B2A67"/>
    <w:rsid w:val="005B3DCD"/>
    <w:rsid w:val="005B4AD4"/>
    <w:rsid w:val="005C2798"/>
    <w:rsid w:val="005C36C3"/>
    <w:rsid w:val="005C56EE"/>
    <w:rsid w:val="005D1714"/>
    <w:rsid w:val="005D7638"/>
    <w:rsid w:val="005E3408"/>
    <w:rsid w:val="005E3EC4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1217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5ED2"/>
    <w:rsid w:val="00667E07"/>
    <w:rsid w:val="00671785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7019"/>
    <w:rsid w:val="006B38A7"/>
    <w:rsid w:val="006B46D5"/>
    <w:rsid w:val="006B46F4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16E31"/>
    <w:rsid w:val="007171CE"/>
    <w:rsid w:val="0072548A"/>
    <w:rsid w:val="007277A6"/>
    <w:rsid w:val="007437AB"/>
    <w:rsid w:val="00745425"/>
    <w:rsid w:val="007534F8"/>
    <w:rsid w:val="007545AD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4367"/>
    <w:rsid w:val="007B0867"/>
    <w:rsid w:val="007B1AC1"/>
    <w:rsid w:val="007B3C7F"/>
    <w:rsid w:val="007B5663"/>
    <w:rsid w:val="007B5A08"/>
    <w:rsid w:val="007B693D"/>
    <w:rsid w:val="007C4CDC"/>
    <w:rsid w:val="007D7B96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DAD"/>
    <w:rsid w:val="00801793"/>
    <w:rsid w:val="00803642"/>
    <w:rsid w:val="008049F6"/>
    <w:rsid w:val="00806EA2"/>
    <w:rsid w:val="00812A2B"/>
    <w:rsid w:val="00814A4C"/>
    <w:rsid w:val="00820ADB"/>
    <w:rsid w:val="00827178"/>
    <w:rsid w:val="00831AAB"/>
    <w:rsid w:val="00833BCD"/>
    <w:rsid w:val="00834B82"/>
    <w:rsid w:val="0083574E"/>
    <w:rsid w:val="0083640C"/>
    <w:rsid w:val="008374E3"/>
    <w:rsid w:val="00837978"/>
    <w:rsid w:val="008379F2"/>
    <w:rsid w:val="0084157B"/>
    <w:rsid w:val="00842BFB"/>
    <w:rsid w:val="00844EF2"/>
    <w:rsid w:val="00846B85"/>
    <w:rsid w:val="00847DC3"/>
    <w:rsid w:val="00847F49"/>
    <w:rsid w:val="008535C5"/>
    <w:rsid w:val="00853765"/>
    <w:rsid w:val="0085516F"/>
    <w:rsid w:val="008611A2"/>
    <w:rsid w:val="00867186"/>
    <w:rsid w:val="00870AF6"/>
    <w:rsid w:val="00877452"/>
    <w:rsid w:val="00880684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2F0A"/>
    <w:rsid w:val="008D51E9"/>
    <w:rsid w:val="008D5717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14A23"/>
    <w:rsid w:val="00914B26"/>
    <w:rsid w:val="00917380"/>
    <w:rsid w:val="00930754"/>
    <w:rsid w:val="00934F68"/>
    <w:rsid w:val="009355AC"/>
    <w:rsid w:val="00935F38"/>
    <w:rsid w:val="00937586"/>
    <w:rsid w:val="00940D92"/>
    <w:rsid w:val="00947889"/>
    <w:rsid w:val="009478BD"/>
    <w:rsid w:val="00960E98"/>
    <w:rsid w:val="00963A82"/>
    <w:rsid w:val="00972912"/>
    <w:rsid w:val="00976D1F"/>
    <w:rsid w:val="00981C81"/>
    <w:rsid w:val="00987490"/>
    <w:rsid w:val="009A2B93"/>
    <w:rsid w:val="009A2D24"/>
    <w:rsid w:val="009A456C"/>
    <w:rsid w:val="009A71CD"/>
    <w:rsid w:val="009B00E0"/>
    <w:rsid w:val="009B292A"/>
    <w:rsid w:val="009B76D5"/>
    <w:rsid w:val="009C165D"/>
    <w:rsid w:val="009C3CEA"/>
    <w:rsid w:val="009C583D"/>
    <w:rsid w:val="009C5C87"/>
    <w:rsid w:val="009C62CB"/>
    <w:rsid w:val="009D2611"/>
    <w:rsid w:val="009D6B27"/>
    <w:rsid w:val="009D79D2"/>
    <w:rsid w:val="009E247C"/>
    <w:rsid w:val="009E31BA"/>
    <w:rsid w:val="009F0528"/>
    <w:rsid w:val="009F0806"/>
    <w:rsid w:val="009F233B"/>
    <w:rsid w:val="00A05D16"/>
    <w:rsid w:val="00A0659F"/>
    <w:rsid w:val="00A079BA"/>
    <w:rsid w:val="00A10A17"/>
    <w:rsid w:val="00A14E8C"/>
    <w:rsid w:val="00A20C70"/>
    <w:rsid w:val="00A232AB"/>
    <w:rsid w:val="00A33875"/>
    <w:rsid w:val="00A35F83"/>
    <w:rsid w:val="00A360A1"/>
    <w:rsid w:val="00A402B3"/>
    <w:rsid w:val="00A421E4"/>
    <w:rsid w:val="00A44E56"/>
    <w:rsid w:val="00A544B7"/>
    <w:rsid w:val="00A5692C"/>
    <w:rsid w:val="00A57FB9"/>
    <w:rsid w:val="00A618CF"/>
    <w:rsid w:val="00A62770"/>
    <w:rsid w:val="00A62EEB"/>
    <w:rsid w:val="00A6368E"/>
    <w:rsid w:val="00A63820"/>
    <w:rsid w:val="00A660FF"/>
    <w:rsid w:val="00A73395"/>
    <w:rsid w:val="00A75537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0EC9"/>
    <w:rsid w:val="00AE1C04"/>
    <w:rsid w:val="00AE5ADA"/>
    <w:rsid w:val="00AF3982"/>
    <w:rsid w:val="00AF6145"/>
    <w:rsid w:val="00AF704B"/>
    <w:rsid w:val="00B01386"/>
    <w:rsid w:val="00B01915"/>
    <w:rsid w:val="00B01BB5"/>
    <w:rsid w:val="00B026CC"/>
    <w:rsid w:val="00B04AF4"/>
    <w:rsid w:val="00B05214"/>
    <w:rsid w:val="00B17C42"/>
    <w:rsid w:val="00B228BE"/>
    <w:rsid w:val="00B30D97"/>
    <w:rsid w:val="00B31074"/>
    <w:rsid w:val="00B3181A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3668"/>
    <w:rsid w:val="00BA68C6"/>
    <w:rsid w:val="00BB121F"/>
    <w:rsid w:val="00BB12F1"/>
    <w:rsid w:val="00BB276E"/>
    <w:rsid w:val="00BB3FEE"/>
    <w:rsid w:val="00BB5EB0"/>
    <w:rsid w:val="00BC245A"/>
    <w:rsid w:val="00BD16FA"/>
    <w:rsid w:val="00BD3866"/>
    <w:rsid w:val="00BD41C3"/>
    <w:rsid w:val="00BD488B"/>
    <w:rsid w:val="00BD7C42"/>
    <w:rsid w:val="00BD7CCC"/>
    <w:rsid w:val="00BE002A"/>
    <w:rsid w:val="00BE0283"/>
    <w:rsid w:val="00BE19E8"/>
    <w:rsid w:val="00BE1BC9"/>
    <w:rsid w:val="00BE5CDA"/>
    <w:rsid w:val="00BE608F"/>
    <w:rsid w:val="00BF0F08"/>
    <w:rsid w:val="00BF23BB"/>
    <w:rsid w:val="00BF33DD"/>
    <w:rsid w:val="00BF5755"/>
    <w:rsid w:val="00BF684B"/>
    <w:rsid w:val="00C016F3"/>
    <w:rsid w:val="00C075D0"/>
    <w:rsid w:val="00C07ED7"/>
    <w:rsid w:val="00C15193"/>
    <w:rsid w:val="00C15609"/>
    <w:rsid w:val="00C15B53"/>
    <w:rsid w:val="00C15F6A"/>
    <w:rsid w:val="00C23EA7"/>
    <w:rsid w:val="00C256F3"/>
    <w:rsid w:val="00C26989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4A02"/>
    <w:rsid w:val="00C84B8A"/>
    <w:rsid w:val="00C85E65"/>
    <w:rsid w:val="00C87CA1"/>
    <w:rsid w:val="00C911B4"/>
    <w:rsid w:val="00C91612"/>
    <w:rsid w:val="00C91B3B"/>
    <w:rsid w:val="00C94262"/>
    <w:rsid w:val="00C976E1"/>
    <w:rsid w:val="00CA148E"/>
    <w:rsid w:val="00CA3A9A"/>
    <w:rsid w:val="00CA3D6C"/>
    <w:rsid w:val="00CB0093"/>
    <w:rsid w:val="00CB6BC1"/>
    <w:rsid w:val="00CB7021"/>
    <w:rsid w:val="00CC640C"/>
    <w:rsid w:val="00CD3294"/>
    <w:rsid w:val="00CD4524"/>
    <w:rsid w:val="00CD6598"/>
    <w:rsid w:val="00CD784D"/>
    <w:rsid w:val="00CF3A1C"/>
    <w:rsid w:val="00CF40F8"/>
    <w:rsid w:val="00CF7D02"/>
    <w:rsid w:val="00D008DA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7F4"/>
    <w:rsid w:val="00D17F9B"/>
    <w:rsid w:val="00D2092A"/>
    <w:rsid w:val="00D2216D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2436"/>
    <w:rsid w:val="00D525C9"/>
    <w:rsid w:val="00D53F94"/>
    <w:rsid w:val="00D56469"/>
    <w:rsid w:val="00D57348"/>
    <w:rsid w:val="00D57D3E"/>
    <w:rsid w:val="00D76249"/>
    <w:rsid w:val="00D83951"/>
    <w:rsid w:val="00D85CFF"/>
    <w:rsid w:val="00D9315D"/>
    <w:rsid w:val="00DA7D12"/>
    <w:rsid w:val="00DC23CF"/>
    <w:rsid w:val="00DC6562"/>
    <w:rsid w:val="00DE130D"/>
    <w:rsid w:val="00DE24CF"/>
    <w:rsid w:val="00DE407C"/>
    <w:rsid w:val="00DE7C7D"/>
    <w:rsid w:val="00DF2992"/>
    <w:rsid w:val="00DF2D0C"/>
    <w:rsid w:val="00E00058"/>
    <w:rsid w:val="00E005D1"/>
    <w:rsid w:val="00E01B9D"/>
    <w:rsid w:val="00E0468F"/>
    <w:rsid w:val="00E04F5E"/>
    <w:rsid w:val="00E0522E"/>
    <w:rsid w:val="00E1167A"/>
    <w:rsid w:val="00E120F4"/>
    <w:rsid w:val="00E17172"/>
    <w:rsid w:val="00E209B0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6B80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6B0E"/>
    <w:rsid w:val="00EA7136"/>
    <w:rsid w:val="00EA7606"/>
    <w:rsid w:val="00EB325A"/>
    <w:rsid w:val="00EC02A5"/>
    <w:rsid w:val="00EC176B"/>
    <w:rsid w:val="00EC2659"/>
    <w:rsid w:val="00EC33CD"/>
    <w:rsid w:val="00EC5028"/>
    <w:rsid w:val="00EC51F4"/>
    <w:rsid w:val="00EC5992"/>
    <w:rsid w:val="00EC5BE5"/>
    <w:rsid w:val="00ED00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0791"/>
    <w:rsid w:val="00F44F43"/>
    <w:rsid w:val="00F450E1"/>
    <w:rsid w:val="00F5069B"/>
    <w:rsid w:val="00F5077F"/>
    <w:rsid w:val="00F50DF4"/>
    <w:rsid w:val="00F5336E"/>
    <w:rsid w:val="00F57AFE"/>
    <w:rsid w:val="00F6278E"/>
    <w:rsid w:val="00F63C41"/>
    <w:rsid w:val="00F63E96"/>
    <w:rsid w:val="00F701E3"/>
    <w:rsid w:val="00F71008"/>
    <w:rsid w:val="00F71F8C"/>
    <w:rsid w:val="00F75FFF"/>
    <w:rsid w:val="00F86AD4"/>
    <w:rsid w:val="00F90E81"/>
    <w:rsid w:val="00F978E2"/>
    <w:rsid w:val="00FA0113"/>
    <w:rsid w:val="00FA12B2"/>
    <w:rsid w:val="00FA7610"/>
    <w:rsid w:val="00FB02BD"/>
    <w:rsid w:val="00FB2E91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2F78"/>
    <w:rsid w:val="00FD4A6B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PublicationList?s=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Service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5184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Sophocleous  Ester</cp:lastModifiedBy>
  <cp:revision>78</cp:revision>
  <cp:lastPrinted>2023-06-09T07:57:00Z</cp:lastPrinted>
  <dcterms:created xsi:type="dcterms:W3CDTF">2022-06-09T08:07:00Z</dcterms:created>
  <dcterms:modified xsi:type="dcterms:W3CDTF">2023-09-08T07:09:00Z</dcterms:modified>
</cp:coreProperties>
</file>