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407E8657" w:rsidR="00D0351C" w:rsidRPr="008E2A5E" w:rsidRDefault="00012228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E24CB">
        <w:rPr>
          <w:rFonts w:ascii="Verdana" w:eastAsia="Malgun Gothic" w:hAnsi="Verdana" w:cs="Arial"/>
          <w:sz w:val="18"/>
          <w:szCs w:val="18"/>
          <w:lang w:val="el-GR"/>
        </w:rPr>
        <w:t>Φεβρουαρίου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ADFC517" w14:textId="77777777" w:rsidR="00D0351C" w:rsidRPr="00CF40F8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598AE11" w14:textId="77777777" w:rsidR="00D0351C" w:rsidRDefault="00D0351C" w:rsidP="00D0351C">
      <w:pPr>
        <w:rPr>
          <w:rFonts w:ascii="Verdana" w:eastAsia="Malgun Gothic" w:hAnsi="Verdana" w:cs="Arial"/>
          <w:lang w:val="el-GR"/>
        </w:rPr>
      </w:pPr>
    </w:p>
    <w:p w14:paraId="0D5A8A2F" w14:textId="77777777" w:rsidR="00D0351C" w:rsidRPr="005C36C3" w:rsidRDefault="00D0351C" w:rsidP="00D0351C">
      <w:pPr>
        <w:rPr>
          <w:rFonts w:ascii="Verdana" w:eastAsia="Malgun Gothic" w:hAnsi="Verdana" w:cs="Arial"/>
          <w:lang w:val="el-GR"/>
        </w:rPr>
      </w:pPr>
    </w:p>
    <w:p w14:paraId="6573F5E7" w14:textId="50FB39E8" w:rsidR="00D0351C" w:rsidRPr="00BA3479" w:rsidRDefault="00D0351C" w:rsidP="00D0351C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="00BA3479" w:rsidRPr="00BA3479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202</w:t>
      </w:r>
      <w:r w:rsidR="00012228">
        <w:rPr>
          <w:rFonts w:ascii="Verdana" w:hAnsi="Verdana"/>
          <w:szCs w:val="22"/>
          <w:shd w:val="clear" w:color="auto" w:fill="FFFFFF"/>
        </w:rPr>
        <w:t>6</w:t>
      </w:r>
    </w:p>
    <w:p w14:paraId="2CAD8E0A" w14:textId="77777777" w:rsidR="00D0351C" w:rsidRPr="00EE279B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50FB173" w14:textId="77777777" w:rsidR="00392F35" w:rsidRDefault="00392F35" w:rsidP="00D0351C">
      <w:pPr>
        <w:jc w:val="center"/>
        <w:rPr>
          <w:rFonts w:ascii="Verdana" w:eastAsia="Malgun Gothic" w:hAnsi="Verdana" w:cs="Arial"/>
          <w:b/>
        </w:rPr>
      </w:pPr>
    </w:p>
    <w:p w14:paraId="192ED76C" w14:textId="5F0A313C" w:rsidR="00D0351C" w:rsidRPr="00716401" w:rsidRDefault="00D0351C" w:rsidP="00D0351C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012228">
        <w:rPr>
          <w:rFonts w:ascii="Verdana" w:eastAsia="Malgun Gothic" w:hAnsi="Verdana" w:cs="Arial"/>
          <w:b/>
          <w:lang w:val="el-GR"/>
        </w:rPr>
        <w:t>+6,7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0B1025" w14:textId="77777777" w:rsidR="00D0351C" w:rsidRPr="00AD1654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94EE329" w14:textId="77777777" w:rsidR="00392F35" w:rsidRDefault="00392F35" w:rsidP="00D0351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47720FB" w14:textId="66175CC5" w:rsidR="00D0351C" w:rsidRPr="006B58F4" w:rsidRDefault="00D0351C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την έκδοση της έκθεσης "Εγγραφές Μηχανοκίνητων Οχημάτων" </w:t>
      </w:r>
      <w:r w:rsidR="00D1621E">
        <w:rPr>
          <w:rFonts w:ascii="Verdana" w:hAnsi="Verdana"/>
          <w:sz w:val="18"/>
          <w:szCs w:val="18"/>
          <w:shd w:val="clear" w:color="auto" w:fill="FFFFFF"/>
          <w:lang w:val="el-GR"/>
        </w:rPr>
        <w:t>για τον Ιανουάριο</w:t>
      </w:r>
      <w:r w:rsidR="00BA34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38DFE0" w14:textId="77777777" w:rsidR="00D0351C" w:rsidRPr="006B58F4" w:rsidRDefault="00D0351C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4D2C97B" w14:textId="137B49B7" w:rsidR="00D0351C" w:rsidRPr="00C03443" w:rsidRDefault="00D0351C" w:rsidP="00C0344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κυριότερες εξελίξεις </w:t>
      </w:r>
      <w:r w:rsidR="00C03443" w:rsidRPr="00C0344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Ιανουάριο του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C03443" w:rsidRPr="00C0344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σύγκριση με τον αντίστοιχο μήνα του 202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C03443" w:rsidRPr="00C0344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συνοψίζονται ως εξής:</w:t>
      </w:r>
    </w:p>
    <w:p w14:paraId="65885503" w14:textId="77777777" w:rsidR="00D0351C" w:rsidRPr="006B58F4" w:rsidRDefault="00D0351C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7B5A02F" w14:textId="244FBFC0" w:rsidR="0085362E" w:rsidRPr="006B58F4" w:rsidRDefault="00D0351C" w:rsidP="0085362E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τον 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Ιανουάριο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συνολικές εγγραφές μηχανοκίνητων οχημάτων έφτασαν τις 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>4.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350</w:t>
      </w:r>
      <w:r w:rsidR="00D1621E" w:rsidRPr="00D162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1621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σχέση με </w:t>
      </w:r>
      <w:r w:rsidR="00D1621E">
        <w:rPr>
          <w:rFonts w:ascii="Verdana" w:hAnsi="Verdana"/>
          <w:sz w:val="18"/>
          <w:szCs w:val="18"/>
          <w:shd w:val="clear" w:color="auto" w:fill="FFFFFF"/>
          <w:lang w:val="el-GR"/>
        </w:rPr>
        <w:t>4.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077</w:t>
      </w:r>
      <w:r w:rsidR="00D162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1621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</w:t>
      </w:r>
      <w:r w:rsidR="00D1621E">
        <w:rPr>
          <w:rFonts w:ascii="Verdana" w:hAnsi="Verdana"/>
          <w:sz w:val="18"/>
          <w:szCs w:val="18"/>
          <w:shd w:val="clear" w:color="auto" w:fill="FFFFFF"/>
          <w:lang w:val="el-GR"/>
        </w:rPr>
        <w:t>Ιανουάριο 202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σημειώνοντας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6,7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%. </w:t>
      </w:r>
    </w:p>
    <w:p w14:paraId="3790B627" w14:textId="3DCF0C68" w:rsidR="00D0351C" w:rsidRPr="006B58F4" w:rsidRDefault="00D0351C" w:rsidP="0085362E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C561155" w14:textId="023859A6" w:rsidR="007E4CD7" w:rsidRPr="0090297E" w:rsidRDefault="00D0351C" w:rsidP="007E4CD7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(β) 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εγγραφές επιβατηγών αυτοκινήτων σαλούν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στις 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>3.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317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3.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17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>Ιανουάριο 202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85362E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Από το σύνολο των επιβατηγών αυτοκινήτων σαλούν, </w:t>
      </w:r>
      <w:bookmarkStart w:id="0" w:name="_Hlk71195435"/>
      <w:r w:rsidR="0085362E">
        <w:rPr>
          <w:rFonts w:ascii="Verdana" w:hAnsi="Verdana"/>
          <w:sz w:val="18"/>
          <w:szCs w:val="18"/>
          <w:shd w:val="clear" w:color="auto" w:fill="FFFFFF"/>
          <w:lang w:val="el-GR"/>
        </w:rPr>
        <w:t>1.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294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0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ή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39,0</w:t>
      </w:r>
      <w:r w:rsidR="00086DEC" w:rsidRPr="00086DEC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086DE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ήταν καινούρια και </w:t>
      </w:r>
      <w:bookmarkStart w:id="1" w:name="_Hlk71195454"/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2.023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ή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61,0</w:t>
      </w:r>
      <w:r w:rsidR="00086DEC" w:rsidRPr="00086DEC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086DE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ήταν μεταχειρισμένα αυτοκίνητα.</w:t>
      </w:r>
      <w:r w:rsidRPr="0090297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E4CD7" w:rsidRPr="002E53F9">
        <w:rPr>
          <w:rFonts w:ascii="Verdana" w:hAnsi="Verdana"/>
          <w:sz w:val="18"/>
          <w:szCs w:val="18"/>
          <w:lang w:val="el-GR"/>
        </w:rPr>
        <w:t xml:space="preserve">Τα αυτοκίνητα ενοικίασης ειδικότερα παρουσίασαν </w:t>
      </w:r>
      <w:r w:rsidR="007E4CD7">
        <w:rPr>
          <w:rFonts w:ascii="Verdana" w:hAnsi="Verdana"/>
          <w:sz w:val="18"/>
          <w:szCs w:val="18"/>
          <w:lang w:val="el-GR"/>
        </w:rPr>
        <w:t>μείωση</w:t>
      </w:r>
      <w:r w:rsidR="007E4CD7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7E4CD7">
        <w:rPr>
          <w:rFonts w:ascii="Verdana" w:hAnsi="Verdana"/>
          <w:sz w:val="18"/>
          <w:szCs w:val="18"/>
          <w:lang w:val="el-GR"/>
        </w:rPr>
        <w:t>22,8</w:t>
      </w:r>
      <w:r w:rsidR="007E4CD7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7E4CD7">
        <w:rPr>
          <w:rFonts w:ascii="Verdana" w:hAnsi="Verdana"/>
          <w:sz w:val="18"/>
          <w:szCs w:val="18"/>
          <w:lang w:val="el-GR"/>
        </w:rPr>
        <w:t>159</w:t>
      </w:r>
      <w:r w:rsidR="007E4CD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660A3FE" w14:textId="77777777" w:rsidR="00D0351C" w:rsidRDefault="00D0351C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E78F1D6" w14:textId="432878BC" w:rsidR="00F11DEF" w:rsidRPr="00477AB3" w:rsidRDefault="00D0351C" w:rsidP="00F11DEF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16D8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(γ) </w:t>
      </w:r>
      <w:r w:rsidR="00F11DEF" w:rsidRPr="00477AB3">
        <w:rPr>
          <w:rFonts w:ascii="Verdana" w:eastAsia="Malgun Gothic" w:hAnsi="Verdana" w:cs="Arial"/>
          <w:sz w:val="18"/>
          <w:szCs w:val="18"/>
          <w:lang w:val="el-GR"/>
        </w:rPr>
        <w:t xml:space="preserve">Το μερίδιο των </w:t>
      </w:r>
      <w:r w:rsidR="009219C4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βενζινοκίνητων</w:t>
      </w:r>
      <w:r w:rsidR="009219C4" w:rsidRPr="00477AB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11DEF" w:rsidRPr="00477AB3">
        <w:rPr>
          <w:rFonts w:ascii="Verdana" w:eastAsia="Malgun Gothic" w:hAnsi="Verdana" w:cs="Arial"/>
          <w:sz w:val="18"/>
          <w:szCs w:val="18"/>
          <w:lang w:val="el-GR"/>
        </w:rPr>
        <w:t xml:space="preserve">αυτοκινήτων σαλούν στο σύνολο αυτής της κατηγορίας οχημάτων μειώθηκε </w:t>
      </w:r>
      <w:r w:rsidR="00D1621E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Ιανουάριο </w:t>
      </w:r>
      <w:r w:rsidR="00012228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D1621E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 </w:t>
      </w:r>
      <w:r w:rsidR="00F06711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35,8</w:t>
      </w:r>
      <w:r w:rsidR="0056280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(από </w:t>
      </w:r>
      <w:r w:rsidR="00F06711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42,</w:t>
      </w:r>
      <w:r w:rsidR="00477AB3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r w:rsidR="003671D9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τον αντίστοιχο μήνα του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F06711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F06711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C16D8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Αντίθετα, αυξήθηκε το </w:t>
      </w:r>
      <w:r w:rsidR="0053690B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μερίδιο</w:t>
      </w:r>
      <w:r w:rsidR="00E72566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A4C63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</w:t>
      </w:r>
      <w:r w:rsidR="003A4C63" w:rsidRPr="00477AB3">
        <w:rPr>
          <w:rFonts w:ascii="Verdana" w:eastAsia="Malgun Gothic" w:hAnsi="Verdana" w:cs="Arial"/>
          <w:sz w:val="18"/>
          <w:szCs w:val="18"/>
          <w:lang w:val="el-GR"/>
        </w:rPr>
        <w:t xml:space="preserve">πετρελαιοκίνητων </w:t>
      </w:r>
      <w:r w:rsidR="003A4C63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(από 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8,1</w:t>
      </w:r>
      <w:r w:rsidR="003A4C63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3A4C63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</w:t>
      </w:r>
      <w:r w:rsidR="00C16D8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8,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3A4C63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το </w:t>
      </w:r>
      <w:r w:rsidR="00012228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),</w:t>
      </w:r>
      <w:r w:rsidR="00C16D8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ηλεκτροκίνητων (από 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5,6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6,9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το </w:t>
      </w:r>
      <w:r w:rsidR="00012228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των υβριδικών (από 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43,</w:t>
      </w:r>
      <w:r w:rsidR="00477AB3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="007E4CD7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48,8</w:t>
      </w:r>
      <w:r w:rsidR="00F11DEF" w:rsidRPr="00477AB3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741A5E9E" w14:textId="00E2A611" w:rsidR="00F11DEF" w:rsidRDefault="00F11DEF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48044B3" w14:textId="689096A8" w:rsidR="00D0351C" w:rsidRDefault="00F11DEF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εγγραφές λεωφορείων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23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162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Ιανουάριο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D0351C" w:rsidRPr="00D97AAF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1621E">
        <w:rPr>
          <w:rFonts w:ascii="Verdana" w:hAnsi="Verdana"/>
          <w:sz w:val="18"/>
          <w:szCs w:val="18"/>
          <w:shd w:val="clear" w:color="auto" w:fill="FFFFFF"/>
          <w:lang w:val="el-GR"/>
        </w:rPr>
        <w:t>τον ίδιο μήνα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του </w:t>
      </w:r>
      <w:r w:rsidR="000C05D1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889ED" w14:textId="77777777" w:rsidR="00D0351C" w:rsidRPr="006B58F4" w:rsidRDefault="00D0351C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9302F86" w14:textId="0B32C353" w:rsidR="00D0351C" w:rsidRPr="00F06711" w:rsidRDefault="00F11DEF" w:rsidP="00D0351C">
      <w:pPr>
        <w:jc w:val="both"/>
        <w:rPr>
          <w:rFonts w:ascii="Verdana" w:hAnsi="Verdana"/>
          <w:color w:val="EE0000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>(ε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εγγραφές των οχημάτων μεταφοράς φορτίου 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αυξήθηκαν 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5D6D21" w:rsidRPr="004308F2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654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Ιανουάριο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σε σύγκριση με 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480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654D2" w:rsidRPr="00C03443">
        <w:rPr>
          <w:rFonts w:ascii="Verdana" w:hAnsi="Verdana"/>
          <w:sz w:val="18"/>
          <w:szCs w:val="18"/>
          <w:shd w:val="clear" w:color="auto" w:fill="FFFFFF"/>
          <w:lang w:val="el-GR"/>
        </w:rPr>
        <w:t>τον αντίστοιχο μήνα του 202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σημειώνοντας </w:t>
      </w:r>
      <w:r w:rsidR="003654D2">
        <w:rPr>
          <w:rFonts w:ascii="Verdana" w:hAnsi="Verdana"/>
          <w:sz w:val="18"/>
          <w:szCs w:val="18"/>
          <w:shd w:val="clear" w:color="auto" w:fill="FFFFFF"/>
          <w:lang w:val="el-GR"/>
        </w:rPr>
        <w:t>άνοδο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17,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%. 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Συγκεκριμένα, τα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βαριά 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φορτηγά αυξήθηκαν κατά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43,8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στα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69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οι ελκυστήρες δρόμου (ρυμουλκά) κατά 18,8% στους 19</w:t>
      </w:r>
      <w:r w:rsidR="005D7538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ελαφρά 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φορτηγά κατά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16</w:t>
      </w:r>
      <w:r w:rsidR="005055D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στα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471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0A139F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ενώ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τα οχήματα ενοικίασης </w:t>
      </w:r>
      <w:r w:rsidR="000A139F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μειώθηκαν </w:t>
      </w:r>
      <w:r w:rsidR="00010ED2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70,0</w:t>
      </w:r>
      <w:r w:rsidR="00010ED2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στα </w:t>
      </w:r>
      <w:r w:rsidR="007E4CD7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D0351C" w:rsidRPr="005D7538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589C0D35" w14:textId="77777777" w:rsidR="00D0351C" w:rsidRPr="006B58F4" w:rsidRDefault="00D0351C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5B388CF" w14:textId="70F17CA8" w:rsidR="00D0351C" w:rsidRPr="006B58F4" w:rsidRDefault="00F11DEF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proofErr w:type="spellEnd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εγγραφές μοτοποδηλάτων &lt; 50κε </w:t>
      </w:r>
      <w:r w:rsidR="00F06711" w:rsidRPr="00F0671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μειώθηκαν 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630D7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Ιανουάριο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σύγκριση με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0351C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630D72">
        <w:rPr>
          <w:rFonts w:ascii="Verdana" w:hAnsi="Verdana"/>
          <w:sz w:val="18"/>
          <w:szCs w:val="18"/>
          <w:shd w:val="clear" w:color="auto" w:fill="FFFFFF"/>
          <w:lang w:val="el-GR"/>
        </w:rPr>
        <w:t>τον ίδιο μήνα του 202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D0351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0394763F" w14:textId="4670A10B" w:rsidR="00D0351C" w:rsidRPr="0053690B" w:rsidRDefault="0053690B" w:rsidP="0053690B">
      <w:pPr>
        <w:tabs>
          <w:tab w:val="left" w:pos="159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ab/>
      </w:r>
    </w:p>
    <w:p w14:paraId="71890AE7" w14:textId="7D13AA63" w:rsidR="00D0351C" w:rsidRDefault="00D0351C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F11DEF"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Οι εγγραφές μοτοσικλετών &gt; 50κε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αυξήθηκαν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13,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στις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387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630D7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Ιανουάριο 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σε σύγκριση με </w:t>
      </w:r>
      <w:r w:rsidR="00F06711">
        <w:rPr>
          <w:rFonts w:ascii="Verdana" w:hAnsi="Verdana"/>
          <w:sz w:val="18"/>
          <w:szCs w:val="18"/>
          <w:shd w:val="clear" w:color="auto" w:fill="FFFFFF"/>
          <w:lang w:val="el-GR"/>
        </w:rPr>
        <w:t>34</w:t>
      </w:r>
      <w:r w:rsidR="00471F5B" w:rsidRPr="00471F5B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671D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</w:t>
      </w:r>
      <w:r w:rsidR="00630D72" w:rsidRPr="00C03443">
        <w:rPr>
          <w:rFonts w:ascii="Verdana" w:hAnsi="Verdana"/>
          <w:sz w:val="18"/>
          <w:szCs w:val="18"/>
          <w:shd w:val="clear" w:color="auto" w:fill="FFFFFF"/>
          <w:lang w:val="el-GR"/>
        </w:rPr>
        <w:t>αντίστοιχο μήνα του 202</w:t>
      </w:r>
      <w:r w:rsidR="00012228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073D5A0" w14:textId="5A848C32" w:rsidR="00B3279C" w:rsidRPr="00D1621E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17F7" w14:textId="34EC72BE" w:rsidR="00B3279C" w:rsidRDefault="00392F35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3031CCF2" wp14:editId="4FF112E3">
            <wp:extent cx="6048375" cy="4041775"/>
            <wp:effectExtent l="0" t="0" r="9525" b="0"/>
            <wp:docPr id="17544450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937D70" w14:textId="77777777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002"/>
        <w:gridCol w:w="1154"/>
        <w:gridCol w:w="566"/>
        <w:gridCol w:w="1391"/>
        <w:gridCol w:w="168"/>
        <w:gridCol w:w="98"/>
        <w:gridCol w:w="185"/>
        <w:gridCol w:w="2934"/>
      </w:tblGrid>
      <w:tr w:rsidR="00392F35" w:rsidRPr="00392F35" w14:paraId="5769D419" w14:textId="77777777" w:rsidTr="00392F35">
        <w:trPr>
          <w:trHeight w:val="315"/>
        </w:trPr>
        <w:tc>
          <w:tcPr>
            <w:tcW w:w="300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FB59AB4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4FCED04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61D9596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58005AF5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0AE3D13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 </w:t>
            </w:r>
          </w:p>
        </w:tc>
      </w:tr>
      <w:tr w:rsidR="00392F35" w:rsidRPr="00392F35" w14:paraId="3F282DEB" w14:textId="77777777" w:rsidTr="00392F35">
        <w:trPr>
          <w:trHeight w:val="540"/>
        </w:trPr>
        <w:tc>
          <w:tcPr>
            <w:tcW w:w="3002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1FAA6E4" w14:textId="77777777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Κατηγορία </w:t>
            </w:r>
          </w:p>
          <w:p w14:paraId="57E12A34" w14:textId="77777777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Μηχανοκίνητων Οχημάτων</w:t>
            </w:r>
          </w:p>
        </w:tc>
        <w:tc>
          <w:tcPr>
            <w:tcW w:w="3279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41D01A0" w14:textId="77777777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Αριθμός Εγγραφών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4572E" w14:textId="77777777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934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8214385" w14:textId="5932768D" w:rsidR="00D50A70" w:rsidRPr="00392F35" w:rsidRDefault="00D50A70" w:rsidP="00A804EC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Ποσοστιαία</w:t>
            </w:r>
            <w:r w:rsidR="00A804EC"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Μεταβολή (%)</w:t>
            </w:r>
          </w:p>
        </w:tc>
      </w:tr>
      <w:tr w:rsidR="00392F35" w:rsidRPr="00392F35" w14:paraId="3206C68E" w14:textId="77777777" w:rsidTr="00392F35">
        <w:trPr>
          <w:trHeight w:val="300"/>
        </w:trPr>
        <w:tc>
          <w:tcPr>
            <w:tcW w:w="3002" w:type="dxa"/>
            <w:vMerge/>
            <w:tcBorders>
              <w:top w:val="single" w:sz="8" w:space="0" w:color="2F5496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37659BB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6E5D07BD" w14:textId="4C37A2BB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 202</w:t>
            </w:r>
            <w:r w:rsidR="00517F12"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01FECF55" w14:textId="7D48F885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Ιαν </w:t>
            </w:r>
            <w:r w:rsidR="00012228"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2025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764921F" w14:textId="77777777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897A" w14:textId="77777777" w:rsidR="00D50A70" w:rsidRPr="00392F35" w:rsidRDefault="00D50A70" w:rsidP="00D50A70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</w:p>
          <w:p w14:paraId="2FA6EE0A" w14:textId="1D500CE8" w:rsidR="00D50A70" w:rsidRPr="00392F35" w:rsidRDefault="00D50A70" w:rsidP="000C24DE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 202</w:t>
            </w:r>
            <w:r w:rsidR="00517F12"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</w:t>
            </w: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/</w:t>
            </w:r>
            <w:r w:rsidR="00012228"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2025</w:t>
            </w:r>
          </w:p>
        </w:tc>
      </w:tr>
      <w:tr w:rsidR="00392F35" w:rsidRPr="00392F35" w14:paraId="164748AF" w14:textId="77777777" w:rsidTr="00392F35">
        <w:trPr>
          <w:trHeight w:val="182"/>
        </w:trPr>
        <w:tc>
          <w:tcPr>
            <w:tcW w:w="3002" w:type="dxa"/>
            <w:vMerge/>
            <w:tcBorders>
              <w:top w:val="single" w:sz="8" w:space="0" w:color="2F5496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8FC1605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09E58EE4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6A788D6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4394293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3BBCA28" w14:textId="77777777" w:rsidR="00D50A70" w:rsidRPr="00392F35" w:rsidRDefault="00D50A70" w:rsidP="00D50A70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392F35" w:rsidRPr="00392F35" w14:paraId="141108C5" w14:textId="77777777" w:rsidTr="00392F35">
        <w:trPr>
          <w:trHeight w:val="499"/>
        </w:trPr>
        <w:tc>
          <w:tcPr>
            <w:tcW w:w="3002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47BC277B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38595" w14:textId="377D710A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3.</w:t>
            </w: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317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86E2E" w14:textId="526FB939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3.17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7DEBC" w14:textId="2488916E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8AE3D" w14:textId="6E680BDF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4,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</w:tr>
      <w:tr w:rsidR="00392F35" w:rsidRPr="00392F35" w14:paraId="35FC0333" w14:textId="77777777" w:rsidTr="00A804EC">
        <w:trPr>
          <w:trHeight w:val="499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A204A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398F2" w14:textId="5BAA2851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23</w:t>
            </w:r>
          </w:p>
          <w:p w14:paraId="0A05B5F7" w14:textId="536242DD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E012" w14:textId="77777777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7</w:t>
            </w:r>
          </w:p>
          <w:p w14:paraId="18227A9B" w14:textId="591DF33A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656C9" w14:textId="263FEAD3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C4BFD" w14:textId="5425A696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228,6</w:t>
            </w:r>
          </w:p>
        </w:tc>
      </w:tr>
      <w:tr w:rsidR="00392F35" w:rsidRPr="00392F35" w14:paraId="03E7CDED" w14:textId="77777777" w:rsidTr="00A804EC">
        <w:trPr>
          <w:trHeight w:val="499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390A6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0F0F8" w14:textId="7CCF6353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562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92A92" w14:textId="5BE96638" w:rsidR="004308F2" w:rsidRPr="00392F35" w:rsidRDefault="004308F2" w:rsidP="004308F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480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2D9A9" w14:textId="7D206D86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1232" w14:textId="0F3424BD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17,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</w:t>
            </w:r>
          </w:p>
        </w:tc>
      </w:tr>
      <w:tr w:rsidR="00392F35" w:rsidRPr="00392F35" w14:paraId="55311127" w14:textId="77777777" w:rsidTr="00A804EC">
        <w:trPr>
          <w:trHeight w:val="499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3B4B1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7E1F6" w14:textId="33BE35EF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4775A" w14:textId="1BDF389D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3A17F" w14:textId="6016BBD1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74AE5" w14:textId="52F49A9B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72,7</w:t>
            </w:r>
          </w:p>
        </w:tc>
      </w:tr>
      <w:tr w:rsidR="00392F35" w:rsidRPr="00392F35" w14:paraId="72438ED1" w14:textId="77777777" w:rsidTr="00A804EC">
        <w:trPr>
          <w:trHeight w:val="499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D677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7025" w14:textId="61A126A3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387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DF7E9" w14:textId="4FB9DAAB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34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C6F87" w14:textId="633030CB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F5C45" w14:textId="70D066DF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13,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</w:tr>
      <w:tr w:rsidR="00392F35" w:rsidRPr="00392F35" w14:paraId="52766C9A" w14:textId="77777777" w:rsidTr="00A804EC">
        <w:trPr>
          <w:trHeight w:val="499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ADA45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443BD" w14:textId="74D3AF87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21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765C1" w14:textId="210E846A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76A83" w14:textId="4ACCBCDA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E15C8" w14:textId="292C5ABA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-8,7</w:t>
            </w:r>
          </w:p>
        </w:tc>
      </w:tr>
      <w:tr w:rsidR="00392F35" w:rsidRPr="00392F35" w14:paraId="70C4514E" w14:textId="77777777" w:rsidTr="00392F35">
        <w:trPr>
          <w:trHeight w:val="499"/>
        </w:trPr>
        <w:tc>
          <w:tcPr>
            <w:tcW w:w="300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312CB5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CF0A7" w14:textId="7337A2D6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34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8E26C" w14:textId="051F794E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31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34C6F" w14:textId="2B75E09F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81A42" w14:textId="240075B4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9,7</w:t>
            </w:r>
          </w:p>
        </w:tc>
      </w:tr>
      <w:tr w:rsidR="00392F35" w:rsidRPr="00392F35" w14:paraId="7A1365E0" w14:textId="77777777" w:rsidTr="00392F35">
        <w:trPr>
          <w:trHeight w:val="499"/>
        </w:trPr>
        <w:tc>
          <w:tcPr>
            <w:tcW w:w="3002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6701CF1" w14:textId="77777777" w:rsidR="00517F12" w:rsidRPr="00392F35" w:rsidRDefault="00517F12" w:rsidP="00517F1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Σύνολο</w:t>
            </w:r>
          </w:p>
        </w:tc>
        <w:tc>
          <w:tcPr>
            <w:tcW w:w="1154" w:type="dxa"/>
            <w:tcBorders>
              <w:top w:val="single" w:sz="8" w:space="0" w:color="2F5496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061309EB" w14:textId="4E7B09D8" w:rsidR="00517F12" w:rsidRPr="00392F35" w:rsidRDefault="00517F12" w:rsidP="00517F12">
            <w:pPr>
              <w:ind w:firstLineChars="200" w:firstLine="361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4.</w:t>
            </w: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350</w:t>
            </w:r>
          </w:p>
        </w:tc>
        <w:tc>
          <w:tcPr>
            <w:tcW w:w="1957" w:type="dxa"/>
            <w:gridSpan w:val="2"/>
            <w:tcBorders>
              <w:top w:val="single" w:sz="8" w:space="0" w:color="2F5496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37030F9" w14:textId="1BD608F3" w:rsidR="00517F12" w:rsidRPr="00392F35" w:rsidRDefault="00517F12" w:rsidP="00517F12">
            <w:pPr>
              <w:ind w:firstLineChars="200" w:firstLine="361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4.077</w:t>
            </w:r>
          </w:p>
        </w:tc>
        <w:tc>
          <w:tcPr>
            <w:tcW w:w="266" w:type="dxa"/>
            <w:gridSpan w:val="2"/>
            <w:tcBorders>
              <w:top w:val="single" w:sz="8" w:space="0" w:color="2F5496"/>
              <w:left w:val="nil"/>
              <w:bottom w:val="single" w:sz="8" w:space="0" w:color="2F5496"/>
              <w:right w:val="nil"/>
            </w:tcBorders>
          </w:tcPr>
          <w:p w14:paraId="22138791" w14:textId="6436FD0A" w:rsidR="00517F12" w:rsidRPr="00392F35" w:rsidRDefault="00517F12" w:rsidP="00517F12">
            <w:pPr>
              <w:ind w:firstLineChars="200" w:firstLine="361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2F5496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6244879C" w14:textId="0EAC524C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6,7</w:t>
            </w:r>
          </w:p>
        </w:tc>
      </w:tr>
      <w:tr w:rsidR="00392F35" w:rsidRPr="00392F35" w14:paraId="5E110748" w14:textId="77777777" w:rsidTr="00392F35">
        <w:trPr>
          <w:trHeight w:val="499"/>
        </w:trPr>
        <w:tc>
          <w:tcPr>
            <w:tcW w:w="3002" w:type="dxa"/>
            <w:tcBorders>
              <w:top w:val="single" w:sz="8" w:space="0" w:color="366092"/>
              <w:left w:val="nil"/>
              <w:right w:val="nil"/>
            </w:tcBorders>
            <w:vAlign w:val="center"/>
            <w:hideMark/>
          </w:tcPr>
          <w:p w14:paraId="55384C64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788A5" w14:textId="65164CA7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1.928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2067F" w14:textId="0C0521B3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2.1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006FC" w14:textId="2C965B33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8CB03" w14:textId="630ABB0B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-9,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</w:tr>
      <w:tr w:rsidR="00392F35" w:rsidRPr="00392F35" w14:paraId="40CE08E9" w14:textId="77777777" w:rsidTr="00392F35">
        <w:trPr>
          <w:trHeight w:val="499"/>
        </w:trPr>
        <w:tc>
          <w:tcPr>
            <w:tcW w:w="300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E514327" w14:textId="77777777" w:rsidR="00517F12" w:rsidRPr="00392F35" w:rsidRDefault="00517F12" w:rsidP="00517F1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1E89FB86" w14:textId="3233C4D4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2.422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2E82FAAE" w14:textId="31F9D88D" w:rsidR="00517F12" w:rsidRPr="00392F35" w:rsidRDefault="00517F12" w:rsidP="00517F12">
            <w:pPr>
              <w:ind w:firstLineChars="200" w:firstLine="36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1.</w:t>
            </w: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94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</w:tcPr>
          <w:p w14:paraId="71D7A51F" w14:textId="1F3582F4" w:rsidR="00517F12" w:rsidRPr="00392F35" w:rsidRDefault="00517F12" w:rsidP="00517F12">
            <w:pPr>
              <w:ind w:firstLineChars="200" w:firstLine="361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78E69423" w14:textId="4C6D6667" w:rsidR="00517F12" w:rsidRPr="00392F35" w:rsidRDefault="00517F12" w:rsidP="00517F12">
            <w:pPr>
              <w:ind w:right="74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24</w:t>
            </w:r>
            <w:r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,</w:t>
            </w:r>
            <w:r w:rsidR="004308F2" w:rsidRPr="00392F35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</w:tbl>
    <w:p w14:paraId="5C34C6C1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0274C0" w14:textId="77777777" w:rsidR="001F4C3D" w:rsidRPr="00B73980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1B7C20C" w14:textId="77777777" w:rsidR="00B3279C" w:rsidRPr="00AD1654" w:rsidRDefault="00B3279C" w:rsidP="00B3279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091285F0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4806F8DD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>, από Ιαν. 2024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0C05D1">
        <w:rPr>
          <w:rFonts w:ascii="Verdana" w:hAnsi="Verdana"/>
          <w:sz w:val="18"/>
          <w:szCs w:val="18"/>
          <w:lang w:val="el-GR"/>
        </w:rPr>
        <w:t>202</w:t>
      </w:r>
      <w:r w:rsidR="00F11DEF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F86D5F0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A294" w14:textId="77777777" w:rsidR="008A6D30" w:rsidRDefault="008A6D30" w:rsidP="00FB398F">
      <w:r>
        <w:separator/>
      </w:r>
    </w:p>
  </w:endnote>
  <w:endnote w:type="continuationSeparator" w:id="0">
    <w:p w14:paraId="5FC66379" w14:textId="77777777" w:rsidR="008A6D30" w:rsidRDefault="008A6D3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392F3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392F35">
      <w:rPr>
        <w:rFonts w:ascii="Verdana" w:hAnsi="Verdana" w:cs="Arial"/>
        <w:sz w:val="16"/>
        <w:szCs w:val="16"/>
        <w:lang w:val="el-GR"/>
      </w:rPr>
      <w:t>ήλ</w:t>
    </w:r>
    <w:r w:rsidRPr="00392F35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392F35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5FF558E2" w14:textId="536B213A" w:rsidR="003E54DE" w:rsidRPr="00392F35" w:rsidRDefault="003E54DE" w:rsidP="003E54DE">
    <w:pPr>
      <w:pStyle w:val="Footer"/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392F35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>.: 22 602129,</w:t>
    </w:r>
    <w:r w:rsidRPr="00392F35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Pr="00392F35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392F35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392F35">
      <w:rPr>
        <w:rFonts w:ascii="Verdana" w:hAnsi="Verdana" w:cs="Arial"/>
        <w:sz w:val="16"/>
        <w:szCs w:val="16"/>
        <w:lang w:val="el-GR"/>
      </w:rPr>
      <w:t>.</w:t>
    </w:r>
    <w:r w:rsidRPr="00392F35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392F35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392F35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392F35">
        <w:rPr>
          <w:rStyle w:val="Hyperlink"/>
          <w:rFonts w:ascii="Verdana" w:hAnsi="Verdana" w:cs="Arial"/>
          <w:sz w:val="16"/>
          <w:szCs w:val="16"/>
        </w:rPr>
        <w:t>http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392F35">
        <w:rPr>
          <w:rStyle w:val="Hyperlink"/>
          <w:rFonts w:ascii="Verdana" w:hAnsi="Verdana" w:cs="Arial"/>
          <w:sz w:val="16"/>
          <w:szCs w:val="16"/>
        </w:rPr>
        <w:t>www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392F35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gov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D2E5" w14:textId="77777777" w:rsidR="008A6D30" w:rsidRDefault="008A6D30" w:rsidP="00FB398F">
      <w:r>
        <w:separator/>
      </w:r>
    </w:p>
  </w:footnote>
  <w:footnote w:type="continuationSeparator" w:id="0">
    <w:p w14:paraId="1171189C" w14:textId="77777777" w:rsidR="008A6D30" w:rsidRDefault="008A6D3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FEF4CCF">
          <wp:simplePos x="0" y="0"/>
          <wp:positionH relativeFrom="column">
            <wp:posOffset>714375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F01A0AC">
              <wp:simplePos x="0" y="0"/>
              <wp:positionH relativeFrom="column">
                <wp:posOffset>4004310</wp:posOffset>
              </wp:positionH>
              <wp:positionV relativeFrom="paragraph">
                <wp:posOffset>102870</wp:posOffset>
              </wp:positionV>
              <wp:extent cx="19812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92F3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5.3pt;margin-top:8.1pt;width:15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" stroked="f">
              <v:textbox>
                <w:txbxContent>
                  <w:p w14:paraId="505F9DD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92F3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392F3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392F35">
      <w:rPr>
        <w:rFonts w:ascii="Verdana" w:hAnsi="Verdana" w:cs="Arial"/>
        <w:bCs/>
        <w:sz w:val="20"/>
        <w:szCs w:val="20"/>
      </w:rPr>
      <w:t>ΚΥΠΡΙΑΚΗ ΔΗΜΟΚΡΑΤΙΑ</w:t>
    </w:r>
    <w:r w:rsidRPr="00392F35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392F35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5"/>
  </w:num>
  <w:num w:numId="2" w16cid:durableId="894270092">
    <w:abstractNumId w:val="2"/>
  </w:num>
  <w:num w:numId="3" w16cid:durableId="593363562">
    <w:abstractNumId w:val="3"/>
  </w:num>
  <w:num w:numId="4" w16cid:durableId="1130973206">
    <w:abstractNumId w:val="4"/>
  </w:num>
  <w:num w:numId="5" w16cid:durableId="994458099">
    <w:abstractNumId w:val="1"/>
  </w:num>
  <w:num w:numId="6" w16cid:durableId="1395081476">
    <w:abstractNumId w:val="6"/>
  </w:num>
  <w:num w:numId="7" w16cid:durableId="16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ED2"/>
    <w:rsid w:val="00012228"/>
    <w:rsid w:val="00013E40"/>
    <w:rsid w:val="000161B1"/>
    <w:rsid w:val="000174F8"/>
    <w:rsid w:val="00021F1B"/>
    <w:rsid w:val="000239E7"/>
    <w:rsid w:val="00025A39"/>
    <w:rsid w:val="00027853"/>
    <w:rsid w:val="00030E18"/>
    <w:rsid w:val="00031D32"/>
    <w:rsid w:val="0003603D"/>
    <w:rsid w:val="0004025E"/>
    <w:rsid w:val="00040368"/>
    <w:rsid w:val="00045088"/>
    <w:rsid w:val="00045A06"/>
    <w:rsid w:val="000466E6"/>
    <w:rsid w:val="00050391"/>
    <w:rsid w:val="00055291"/>
    <w:rsid w:val="00055D41"/>
    <w:rsid w:val="000563D3"/>
    <w:rsid w:val="0005678C"/>
    <w:rsid w:val="00057E44"/>
    <w:rsid w:val="00061299"/>
    <w:rsid w:val="00070576"/>
    <w:rsid w:val="000728E1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39F"/>
    <w:rsid w:val="000A1A88"/>
    <w:rsid w:val="000A2B5C"/>
    <w:rsid w:val="000A3601"/>
    <w:rsid w:val="000A5D2B"/>
    <w:rsid w:val="000A6FA8"/>
    <w:rsid w:val="000B38BC"/>
    <w:rsid w:val="000C05D1"/>
    <w:rsid w:val="000C1070"/>
    <w:rsid w:val="000C24DE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61CF3"/>
    <w:rsid w:val="00162C00"/>
    <w:rsid w:val="001639EF"/>
    <w:rsid w:val="0016589F"/>
    <w:rsid w:val="001712CF"/>
    <w:rsid w:val="0017769A"/>
    <w:rsid w:val="00180D63"/>
    <w:rsid w:val="00183DFC"/>
    <w:rsid w:val="00184384"/>
    <w:rsid w:val="00186717"/>
    <w:rsid w:val="00187FFC"/>
    <w:rsid w:val="0019391C"/>
    <w:rsid w:val="00193F2A"/>
    <w:rsid w:val="001A0FC8"/>
    <w:rsid w:val="001A2018"/>
    <w:rsid w:val="001A6ECF"/>
    <w:rsid w:val="001A73BC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4C3D"/>
    <w:rsid w:val="0020309E"/>
    <w:rsid w:val="00203172"/>
    <w:rsid w:val="0020346E"/>
    <w:rsid w:val="00204709"/>
    <w:rsid w:val="00206000"/>
    <w:rsid w:val="00210B58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3EEE"/>
    <w:rsid w:val="00274E77"/>
    <w:rsid w:val="0028338F"/>
    <w:rsid w:val="00284C46"/>
    <w:rsid w:val="002856CD"/>
    <w:rsid w:val="002915C4"/>
    <w:rsid w:val="00291D3E"/>
    <w:rsid w:val="00297E6B"/>
    <w:rsid w:val="002A1D1C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7D4A"/>
    <w:rsid w:val="002E3846"/>
    <w:rsid w:val="002E3F78"/>
    <w:rsid w:val="002F0E18"/>
    <w:rsid w:val="002F400C"/>
    <w:rsid w:val="002F4D76"/>
    <w:rsid w:val="002F6D26"/>
    <w:rsid w:val="0030010C"/>
    <w:rsid w:val="0030231E"/>
    <w:rsid w:val="003042C4"/>
    <w:rsid w:val="00304CB4"/>
    <w:rsid w:val="00313F37"/>
    <w:rsid w:val="003141D0"/>
    <w:rsid w:val="003156E4"/>
    <w:rsid w:val="00316769"/>
    <w:rsid w:val="003168C1"/>
    <w:rsid w:val="00322FBE"/>
    <w:rsid w:val="00325632"/>
    <w:rsid w:val="00326D48"/>
    <w:rsid w:val="00327549"/>
    <w:rsid w:val="003342A5"/>
    <w:rsid w:val="00334616"/>
    <w:rsid w:val="00336C36"/>
    <w:rsid w:val="00343815"/>
    <w:rsid w:val="003522BB"/>
    <w:rsid w:val="00352F6C"/>
    <w:rsid w:val="003556EA"/>
    <w:rsid w:val="00356220"/>
    <w:rsid w:val="00360679"/>
    <w:rsid w:val="003654D2"/>
    <w:rsid w:val="00365D99"/>
    <w:rsid w:val="00366554"/>
    <w:rsid w:val="003671D9"/>
    <w:rsid w:val="00370D2D"/>
    <w:rsid w:val="00371D6A"/>
    <w:rsid w:val="00375A57"/>
    <w:rsid w:val="003765AC"/>
    <w:rsid w:val="00386FC7"/>
    <w:rsid w:val="003903C0"/>
    <w:rsid w:val="00390A32"/>
    <w:rsid w:val="00392F35"/>
    <w:rsid w:val="00396630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5F6"/>
    <w:rsid w:val="004023A2"/>
    <w:rsid w:val="00404670"/>
    <w:rsid w:val="004052CF"/>
    <w:rsid w:val="00406A6C"/>
    <w:rsid w:val="00413DF1"/>
    <w:rsid w:val="00414CA0"/>
    <w:rsid w:val="00422F54"/>
    <w:rsid w:val="00423A4F"/>
    <w:rsid w:val="00423E67"/>
    <w:rsid w:val="004308F2"/>
    <w:rsid w:val="00431516"/>
    <w:rsid w:val="00431C49"/>
    <w:rsid w:val="00431F6A"/>
    <w:rsid w:val="004361B3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1F5B"/>
    <w:rsid w:val="00475587"/>
    <w:rsid w:val="00477AB3"/>
    <w:rsid w:val="00480BC2"/>
    <w:rsid w:val="004818DA"/>
    <w:rsid w:val="004845BC"/>
    <w:rsid w:val="004845C3"/>
    <w:rsid w:val="00486953"/>
    <w:rsid w:val="004929C2"/>
    <w:rsid w:val="00493FDD"/>
    <w:rsid w:val="0049586B"/>
    <w:rsid w:val="004A3E44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6A7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17F12"/>
    <w:rsid w:val="005202A6"/>
    <w:rsid w:val="00523A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D1B"/>
    <w:rsid w:val="005748E4"/>
    <w:rsid w:val="00575AE5"/>
    <w:rsid w:val="005779B2"/>
    <w:rsid w:val="00580AC3"/>
    <w:rsid w:val="005828AA"/>
    <w:rsid w:val="005978D4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6D21"/>
    <w:rsid w:val="005D7538"/>
    <w:rsid w:val="005D7638"/>
    <w:rsid w:val="005D7963"/>
    <w:rsid w:val="005E3408"/>
    <w:rsid w:val="005E3EC4"/>
    <w:rsid w:val="005E7301"/>
    <w:rsid w:val="005F12F5"/>
    <w:rsid w:val="005F7C7D"/>
    <w:rsid w:val="0060158F"/>
    <w:rsid w:val="006044B7"/>
    <w:rsid w:val="006071CE"/>
    <w:rsid w:val="006075B5"/>
    <w:rsid w:val="0061018C"/>
    <w:rsid w:val="006104E8"/>
    <w:rsid w:val="0061094E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65ED2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7019"/>
    <w:rsid w:val="006B0D52"/>
    <w:rsid w:val="006B0E80"/>
    <w:rsid w:val="006B38A7"/>
    <w:rsid w:val="006B46D5"/>
    <w:rsid w:val="006B46F4"/>
    <w:rsid w:val="006C675C"/>
    <w:rsid w:val="006C7AF3"/>
    <w:rsid w:val="006D0B9D"/>
    <w:rsid w:val="006D380F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08B5"/>
    <w:rsid w:val="00702F26"/>
    <w:rsid w:val="0070313E"/>
    <w:rsid w:val="00703799"/>
    <w:rsid w:val="00705C5C"/>
    <w:rsid w:val="007105B8"/>
    <w:rsid w:val="00711475"/>
    <w:rsid w:val="00716E31"/>
    <w:rsid w:val="007171CE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61555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4CD7"/>
    <w:rsid w:val="007E68F4"/>
    <w:rsid w:val="007E6DE2"/>
    <w:rsid w:val="007F31BA"/>
    <w:rsid w:val="007F4078"/>
    <w:rsid w:val="0080014B"/>
    <w:rsid w:val="00800DAD"/>
    <w:rsid w:val="00801793"/>
    <w:rsid w:val="00802A87"/>
    <w:rsid w:val="00803642"/>
    <w:rsid w:val="008049F6"/>
    <w:rsid w:val="00806EA2"/>
    <w:rsid w:val="00812094"/>
    <w:rsid w:val="00812A2B"/>
    <w:rsid w:val="00814A4C"/>
    <w:rsid w:val="00820ADB"/>
    <w:rsid w:val="00827178"/>
    <w:rsid w:val="00831AAB"/>
    <w:rsid w:val="008338F4"/>
    <w:rsid w:val="00833BCD"/>
    <w:rsid w:val="00834B82"/>
    <w:rsid w:val="0083574E"/>
    <w:rsid w:val="0083640C"/>
    <w:rsid w:val="008374E3"/>
    <w:rsid w:val="00837978"/>
    <w:rsid w:val="008379F2"/>
    <w:rsid w:val="0084157B"/>
    <w:rsid w:val="00842324"/>
    <w:rsid w:val="00842BFB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611A2"/>
    <w:rsid w:val="00867186"/>
    <w:rsid w:val="00870AF6"/>
    <w:rsid w:val="00874722"/>
    <w:rsid w:val="00877452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30CF"/>
    <w:rsid w:val="008A6D30"/>
    <w:rsid w:val="008B0E7E"/>
    <w:rsid w:val="008B65BD"/>
    <w:rsid w:val="008B7900"/>
    <w:rsid w:val="008C3BA3"/>
    <w:rsid w:val="008C71BF"/>
    <w:rsid w:val="008C7FE0"/>
    <w:rsid w:val="008D00F2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6E74"/>
    <w:rsid w:val="00947889"/>
    <w:rsid w:val="009478BD"/>
    <w:rsid w:val="00955F4E"/>
    <w:rsid w:val="00960E98"/>
    <w:rsid w:val="00963A82"/>
    <w:rsid w:val="00972912"/>
    <w:rsid w:val="0097399D"/>
    <w:rsid w:val="00976D1F"/>
    <w:rsid w:val="00981C81"/>
    <w:rsid w:val="00987490"/>
    <w:rsid w:val="00994A8D"/>
    <w:rsid w:val="00995EB6"/>
    <w:rsid w:val="009A2B93"/>
    <w:rsid w:val="009A2D24"/>
    <w:rsid w:val="009A3789"/>
    <w:rsid w:val="009A456C"/>
    <w:rsid w:val="009A71CD"/>
    <w:rsid w:val="009B00E0"/>
    <w:rsid w:val="009B292A"/>
    <w:rsid w:val="009B76D5"/>
    <w:rsid w:val="009C165D"/>
    <w:rsid w:val="009C2086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247C"/>
    <w:rsid w:val="009E28FB"/>
    <w:rsid w:val="009E2EF7"/>
    <w:rsid w:val="009E31BA"/>
    <w:rsid w:val="009E5ECD"/>
    <w:rsid w:val="009E63DD"/>
    <w:rsid w:val="009F0528"/>
    <w:rsid w:val="009F0806"/>
    <w:rsid w:val="009F233B"/>
    <w:rsid w:val="009F5738"/>
    <w:rsid w:val="00A00C53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310ED"/>
    <w:rsid w:val="00A33875"/>
    <w:rsid w:val="00A3511A"/>
    <w:rsid w:val="00A35F83"/>
    <w:rsid w:val="00A360A1"/>
    <w:rsid w:val="00A36ACA"/>
    <w:rsid w:val="00A402B3"/>
    <w:rsid w:val="00A421E4"/>
    <w:rsid w:val="00A44E56"/>
    <w:rsid w:val="00A544B7"/>
    <w:rsid w:val="00A5692C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04EC"/>
    <w:rsid w:val="00A82B4C"/>
    <w:rsid w:val="00A93A4C"/>
    <w:rsid w:val="00A94D5D"/>
    <w:rsid w:val="00A96D78"/>
    <w:rsid w:val="00AA1D9B"/>
    <w:rsid w:val="00AA2543"/>
    <w:rsid w:val="00AA3804"/>
    <w:rsid w:val="00AA55C2"/>
    <w:rsid w:val="00AB0ACA"/>
    <w:rsid w:val="00AB1D41"/>
    <w:rsid w:val="00AC5E9A"/>
    <w:rsid w:val="00AC704B"/>
    <w:rsid w:val="00AD285C"/>
    <w:rsid w:val="00AD341C"/>
    <w:rsid w:val="00AD553E"/>
    <w:rsid w:val="00AD5848"/>
    <w:rsid w:val="00AD5A67"/>
    <w:rsid w:val="00AE0EC9"/>
    <w:rsid w:val="00AE1C04"/>
    <w:rsid w:val="00AE24CB"/>
    <w:rsid w:val="00AE5ADA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7C42"/>
    <w:rsid w:val="00B228BE"/>
    <w:rsid w:val="00B252D6"/>
    <w:rsid w:val="00B30D97"/>
    <w:rsid w:val="00B31074"/>
    <w:rsid w:val="00B3181A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3384"/>
    <w:rsid w:val="00B63652"/>
    <w:rsid w:val="00B668B0"/>
    <w:rsid w:val="00B70F5C"/>
    <w:rsid w:val="00B71873"/>
    <w:rsid w:val="00B73B8F"/>
    <w:rsid w:val="00B75AE5"/>
    <w:rsid w:val="00B800C0"/>
    <w:rsid w:val="00B8132B"/>
    <w:rsid w:val="00B81690"/>
    <w:rsid w:val="00B84C5A"/>
    <w:rsid w:val="00B858F5"/>
    <w:rsid w:val="00B91608"/>
    <w:rsid w:val="00B93668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50659"/>
    <w:rsid w:val="00C51B39"/>
    <w:rsid w:val="00C5307E"/>
    <w:rsid w:val="00C5338A"/>
    <w:rsid w:val="00C54E68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4262"/>
    <w:rsid w:val="00C976E1"/>
    <w:rsid w:val="00C97DFF"/>
    <w:rsid w:val="00CA148E"/>
    <w:rsid w:val="00CA3A9A"/>
    <w:rsid w:val="00CA3D6C"/>
    <w:rsid w:val="00CB0093"/>
    <w:rsid w:val="00CB250F"/>
    <w:rsid w:val="00CB3AF4"/>
    <w:rsid w:val="00CB6BC1"/>
    <w:rsid w:val="00CB7021"/>
    <w:rsid w:val="00CC640C"/>
    <w:rsid w:val="00CC6BDB"/>
    <w:rsid w:val="00CD3294"/>
    <w:rsid w:val="00CD4524"/>
    <w:rsid w:val="00CD6598"/>
    <w:rsid w:val="00CD784D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3DEC"/>
    <w:rsid w:val="00D25406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75AE4"/>
    <w:rsid w:val="00D76249"/>
    <w:rsid w:val="00D83951"/>
    <w:rsid w:val="00D85CFF"/>
    <w:rsid w:val="00D9315D"/>
    <w:rsid w:val="00DA7D12"/>
    <w:rsid w:val="00DC23CF"/>
    <w:rsid w:val="00DC6562"/>
    <w:rsid w:val="00DE02FA"/>
    <w:rsid w:val="00DE130D"/>
    <w:rsid w:val="00DE24CF"/>
    <w:rsid w:val="00DE407C"/>
    <w:rsid w:val="00DE7C7D"/>
    <w:rsid w:val="00DF2992"/>
    <w:rsid w:val="00DF2D0C"/>
    <w:rsid w:val="00E00058"/>
    <w:rsid w:val="00E005D1"/>
    <w:rsid w:val="00E01B9D"/>
    <w:rsid w:val="00E0468F"/>
    <w:rsid w:val="00E04F5E"/>
    <w:rsid w:val="00E0522E"/>
    <w:rsid w:val="00E120F4"/>
    <w:rsid w:val="00E17172"/>
    <w:rsid w:val="00E209B0"/>
    <w:rsid w:val="00E215F9"/>
    <w:rsid w:val="00E3181C"/>
    <w:rsid w:val="00E3280A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612B9"/>
    <w:rsid w:val="00E6141B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690"/>
    <w:rsid w:val="00EA3956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721A"/>
    <w:rsid w:val="00EE393D"/>
    <w:rsid w:val="00EF01CF"/>
    <w:rsid w:val="00EF4595"/>
    <w:rsid w:val="00EF6A47"/>
    <w:rsid w:val="00EF7AF9"/>
    <w:rsid w:val="00F00952"/>
    <w:rsid w:val="00F01495"/>
    <w:rsid w:val="00F0432A"/>
    <w:rsid w:val="00F06711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4F43"/>
    <w:rsid w:val="00F450E1"/>
    <w:rsid w:val="00F5069B"/>
    <w:rsid w:val="00F5077F"/>
    <w:rsid w:val="00F50DF4"/>
    <w:rsid w:val="00F5336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709A"/>
    <w:rsid w:val="00FB78DD"/>
    <w:rsid w:val="00FC3EF3"/>
    <w:rsid w:val="00FC53C2"/>
    <w:rsid w:val="00FC5D35"/>
    <w:rsid w:val="00FD2049"/>
    <w:rsid w:val="00FD2140"/>
    <w:rsid w:val="00FD2F78"/>
    <w:rsid w:val="00FD4A6B"/>
    <w:rsid w:val="00FD4B64"/>
    <w:rsid w:val="00FD4C95"/>
    <w:rsid w:val="00FD5B5F"/>
    <w:rsid w:val="00FD5BDE"/>
    <w:rsid w:val="00FD68EC"/>
    <w:rsid w:val="00FE24A5"/>
    <w:rsid w:val="00FE2E92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145</cp:revision>
  <cp:lastPrinted>2025-01-07T08:42:00Z</cp:lastPrinted>
  <dcterms:created xsi:type="dcterms:W3CDTF">2022-06-09T08:07:00Z</dcterms:created>
  <dcterms:modified xsi:type="dcterms:W3CDTF">2026-02-06T09:01:00Z</dcterms:modified>
</cp:coreProperties>
</file>