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441F2" w14:textId="77777777" w:rsidR="00DE4034" w:rsidRDefault="00DE4034" w:rsidP="0057334B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65897C0B" w14:textId="7919A1FF" w:rsidR="0057334B" w:rsidRPr="00586CDD" w:rsidRDefault="00CE10B0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3</w:t>
      </w:r>
      <w:r w:rsidR="00AD43D2" w:rsidRPr="00586CDD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Απριλίου</w:t>
      </w:r>
      <w:r w:rsidR="0057334B" w:rsidRPr="00586CDD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AD43D2" w:rsidRPr="00586CDD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66689B91" w14:textId="5C92A5BF" w:rsidR="0057334B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00ED801C" w14:textId="77777777" w:rsidR="00DE4034" w:rsidRPr="0091631A" w:rsidRDefault="00DE4034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601B3BE7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="003C67CD">
        <w:rPr>
          <w:rFonts w:ascii="Verdana" w:hAnsi="Verdana"/>
          <w:szCs w:val="22"/>
          <w:shd w:val="clear" w:color="auto" w:fill="FFFFFF"/>
        </w:rPr>
        <w:t xml:space="preserve"> </w:t>
      </w:r>
      <w:r w:rsidR="00CE10B0">
        <w:rPr>
          <w:rFonts w:ascii="Verdana" w:hAnsi="Verdana"/>
          <w:szCs w:val="22"/>
          <w:shd w:val="clear" w:color="auto" w:fill="FFFFFF"/>
        </w:rPr>
        <w:t>ΙΑΝΟΥΑΡΙΟΣ</w:t>
      </w:r>
      <w:r w:rsidR="005E75D2" w:rsidRPr="005E75D2">
        <w:rPr>
          <w:rFonts w:ascii="Verdana" w:hAnsi="Verdana"/>
          <w:szCs w:val="22"/>
          <w:shd w:val="clear" w:color="auto" w:fill="FFFFFF"/>
        </w:rPr>
        <w:t xml:space="preserve"> &amp; </w:t>
      </w:r>
      <w:r w:rsidR="00CE10B0">
        <w:rPr>
          <w:rFonts w:ascii="Verdana" w:hAnsi="Verdana"/>
          <w:szCs w:val="22"/>
          <w:shd w:val="clear" w:color="auto" w:fill="FFFFFF"/>
        </w:rPr>
        <w:t xml:space="preserve">ΦΕΒΡΟΥΑΡΙΟΣ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</w:t>
      </w:r>
      <w:r w:rsidR="00CE10B0">
        <w:rPr>
          <w:rFonts w:ascii="Verdana" w:hAnsi="Verdana"/>
          <w:szCs w:val="22"/>
          <w:shd w:val="clear" w:color="auto" w:fill="FFFFFF"/>
        </w:rPr>
        <w:t>4</w:t>
      </w:r>
    </w:p>
    <w:p w14:paraId="31A23DE6" w14:textId="65AB7EF9" w:rsidR="0057334B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F330B31" w14:textId="77777777" w:rsidR="00DE4034" w:rsidRPr="00F2279E" w:rsidRDefault="00DE4034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7D2155FD" w:rsidR="0057334B" w:rsidRPr="00C03352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C03352">
        <w:rPr>
          <w:rFonts w:ascii="Verdana" w:eastAsia="Malgun Gothic" w:hAnsi="Verdana" w:cs="Arial"/>
          <w:b/>
          <w:lang w:val="el-GR"/>
        </w:rPr>
        <w:t xml:space="preserve">Ετήσια </w:t>
      </w:r>
      <w:r w:rsidR="00D969B4" w:rsidRPr="006D3CB9">
        <w:rPr>
          <w:rFonts w:ascii="Verdana" w:eastAsia="Malgun Gothic" w:hAnsi="Verdana" w:cs="Arial"/>
          <w:b/>
          <w:lang w:val="el-GR"/>
        </w:rPr>
        <w:t>Μ</w:t>
      </w:r>
      <w:r w:rsidRPr="006D3CB9">
        <w:rPr>
          <w:rFonts w:ascii="Verdana" w:eastAsia="Malgun Gothic" w:hAnsi="Verdana" w:cs="Arial"/>
          <w:b/>
          <w:lang w:val="el-GR"/>
        </w:rPr>
        <w:t xml:space="preserve">εταβολή </w:t>
      </w:r>
      <w:bookmarkEnd w:id="0"/>
      <w:r w:rsidRPr="006D3CB9">
        <w:rPr>
          <w:rFonts w:ascii="Verdana" w:eastAsia="Malgun Gothic" w:hAnsi="Verdana" w:cs="Arial"/>
          <w:b/>
          <w:lang w:val="el-GR"/>
        </w:rPr>
        <w:t>+</w:t>
      </w:r>
      <w:r w:rsidR="00470CAD" w:rsidRPr="006D3CB9">
        <w:rPr>
          <w:rFonts w:ascii="Verdana" w:eastAsia="Malgun Gothic" w:hAnsi="Verdana" w:cs="Arial"/>
          <w:b/>
          <w:lang w:val="el-GR"/>
        </w:rPr>
        <w:t>5</w:t>
      </w:r>
      <w:r w:rsidRPr="006D3CB9">
        <w:rPr>
          <w:rFonts w:ascii="Verdana" w:eastAsia="Malgun Gothic" w:hAnsi="Verdana" w:cs="Arial"/>
          <w:b/>
          <w:lang w:val="el-GR"/>
        </w:rPr>
        <w:t>,</w:t>
      </w:r>
      <w:r w:rsidR="00470CAD" w:rsidRPr="006D3CB9">
        <w:rPr>
          <w:rFonts w:ascii="Verdana" w:eastAsia="Malgun Gothic" w:hAnsi="Verdana" w:cs="Arial"/>
          <w:b/>
          <w:lang w:val="el-GR"/>
        </w:rPr>
        <w:t>8</w:t>
      </w:r>
      <w:r w:rsidR="00E42474" w:rsidRPr="006D3CB9">
        <w:rPr>
          <w:rFonts w:ascii="Verdana" w:eastAsia="Malgun Gothic" w:hAnsi="Verdana" w:cs="Arial"/>
          <w:b/>
          <w:lang w:val="el-GR"/>
        </w:rPr>
        <w:t xml:space="preserve">% </w:t>
      </w:r>
      <w:r w:rsidR="00E42474" w:rsidRPr="00C03352">
        <w:rPr>
          <w:rFonts w:ascii="Verdana" w:eastAsia="Malgun Gothic" w:hAnsi="Verdana" w:cs="Arial"/>
          <w:b/>
          <w:lang w:val="el-GR"/>
        </w:rPr>
        <w:t xml:space="preserve">σε </w:t>
      </w:r>
      <w:r w:rsidR="00D969B4" w:rsidRPr="00C03352">
        <w:rPr>
          <w:rFonts w:ascii="Verdana" w:eastAsia="Malgun Gothic" w:hAnsi="Verdana" w:cs="Arial"/>
          <w:b/>
          <w:lang w:val="el-GR"/>
        </w:rPr>
        <w:t>Α</w:t>
      </w:r>
      <w:r w:rsidR="00E42474" w:rsidRPr="00C03352">
        <w:rPr>
          <w:rFonts w:ascii="Verdana" w:eastAsia="Malgun Gothic" w:hAnsi="Verdana" w:cs="Arial"/>
          <w:b/>
          <w:lang w:val="el-GR"/>
        </w:rPr>
        <w:t xml:space="preserve">ξία </w:t>
      </w:r>
      <w:r w:rsidR="00E42474" w:rsidRPr="006D3CB9">
        <w:rPr>
          <w:rFonts w:ascii="Verdana" w:eastAsia="Malgun Gothic" w:hAnsi="Verdana" w:cs="Arial"/>
          <w:b/>
          <w:lang w:val="el-GR"/>
        </w:rPr>
        <w:t>και +</w:t>
      </w:r>
      <w:r w:rsidR="00FB1C2E" w:rsidRPr="006D3CB9">
        <w:rPr>
          <w:rFonts w:ascii="Verdana" w:eastAsia="Malgun Gothic" w:hAnsi="Verdana" w:cs="Arial"/>
          <w:b/>
          <w:lang w:val="el-GR"/>
        </w:rPr>
        <w:t>5</w:t>
      </w:r>
      <w:r w:rsidRPr="006D3CB9">
        <w:rPr>
          <w:rFonts w:ascii="Verdana" w:eastAsia="Malgun Gothic" w:hAnsi="Verdana" w:cs="Arial"/>
          <w:b/>
          <w:lang w:val="el-GR"/>
        </w:rPr>
        <w:t>,</w:t>
      </w:r>
      <w:r w:rsidR="00FB1C2E" w:rsidRPr="006D3CB9">
        <w:rPr>
          <w:rFonts w:ascii="Verdana" w:eastAsia="Malgun Gothic" w:hAnsi="Verdana" w:cs="Arial"/>
          <w:b/>
          <w:lang w:val="el-GR"/>
        </w:rPr>
        <w:t>1</w:t>
      </w:r>
      <w:r w:rsidRPr="006D3CB9">
        <w:rPr>
          <w:rFonts w:ascii="Verdana" w:eastAsia="Malgun Gothic" w:hAnsi="Verdana" w:cs="Arial"/>
          <w:b/>
          <w:lang w:val="el-GR"/>
        </w:rPr>
        <w:t xml:space="preserve">% σε </w:t>
      </w:r>
      <w:r w:rsidR="00D969B4" w:rsidRPr="00C03352">
        <w:rPr>
          <w:rFonts w:ascii="Verdana" w:eastAsia="Malgun Gothic" w:hAnsi="Verdana" w:cs="Arial"/>
          <w:b/>
          <w:lang w:val="el-GR"/>
        </w:rPr>
        <w:t>Ό</w:t>
      </w:r>
      <w:r w:rsidRPr="00C03352">
        <w:rPr>
          <w:rFonts w:ascii="Verdana" w:eastAsia="Malgun Gothic" w:hAnsi="Verdana" w:cs="Arial"/>
          <w:b/>
          <w:lang w:val="el-GR"/>
        </w:rPr>
        <w:t>γκο</w:t>
      </w:r>
      <w:r w:rsidR="00CE10B0">
        <w:rPr>
          <w:rFonts w:ascii="Verdana" w:eastAsia="Malgun Gothic" w:hAnsi="Verdana" w:cs="Arial"/>
          <w:b/>
          <w:lang w:val="el-GR"/>
        </w:rPr>
        <w:t xml:space="preserve"> για</w:t>
      </w:r>
      <w:r w:rsidR="005E75D2" w:rsidRPr="005E75D2">
        <w:rPr>
          <w:rFonts w:ascii="Verdana" w:eastAsia="Malgun Gothic" w:hAnsi="Verdana" w:cs="Arial"/>
          <w:b/>
          <w:lang w:val="el-GR"/>
        </w:rPr>
        <w:t xml:space="preserve"> </w:t>
      </w:r>
      <w:r w:rsidR="005E75D2">
        <w:rPr>
          <w:rFonts w:ascii="Verdana" w:eastAsia="Malgun Gothic" w:hAnsi="Verdana" w:cs="Arial"/>
          <w:b/>
          <w:lang w:val="el-GR"/>
        </w:rPr>
        <w:t xml:space="preserve">τον </w:t>
      </w:r>
      <w:r w:rsidR="00CE10B0">
        <w:rPr>
          <w:rFonts w:ascii="Verdana" w:eastAsia="Malgun Gothic" w:hAnsi="Verdana" w:cs="Arial"/>
          <w:b/>
          <w:lang w:val="el-GR"/>
        </w:rPr>
        <w:t>Φεβρουάριο</w:t>
      </w:r>
    </w:p>
    <w:p w14:paraId="42DA3C15" w14:textId="77777777" w:rsidR="0057334B" w:rsidRPr="00C03352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93FC5FF" w14:textId="26AD831C" w:rsidR="0057334B" w:rsidRPr="00C03352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Εμπορίου</w:t>
      </w:r>
      <w:r w:rsidR="0030431F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470CAD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="0030431F" w:rsidRPr="00470CA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470CAD">
        <w:rPr>
          <w:rFonts w:ascii="Verdana" w:hAnsi="Verdana"/>
          <w:sz w:val="18"/>
          <w:szCs w:val="18"/>
          <w:shd w:val="clear" w:color="auto" w:fill="FFFFFF"/>
          <w:lang w:val="el-GR"/>
        </w:rPr>
        <w:t>τον</w:t>
      </w:r>
      <w:r w:rsidR="00803D2C" w:rsidRPr="00470CA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CE10B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Φεβρουάριο 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CE10B0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="0030431F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κατά</w:t>
      </w:r>
      <w:r w:rsidR="0030431F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470CAD" w:rsidRPr="006D3CB9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6D3CB9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470CAD" w:rsidRPr="006D3CB9">
        <w:rPr>
          <w:rFonts w:ascii="Verdana" w:hAnsi="Verdana"/>
          <w:sz w:val="18"/>
          <w:szCs w:val="18"/>
          <w:shd w:val="clear" w:color="auto" w:fill="FFFFFF"/>
          <w:lang w:val="el-GR"/>
        </w:rPr>
        <w:t>8</w:t>
      </w:r>
      <w:r w:rsidRPr="006D3CB9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σύγκριση με τον αντίστοιχο μήνα του προηγούμενου έτους (Πίνακας 1). Κατά τον ίδιο</w:t>
      </w:r>
      <w:r w:rsidR="00CF4B8D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μήνα ο Δείκτης Όγκου Κύκλου Εργασιών Λιανικού Εμπορίου</w:t>
      </w:r>
      <w:r w:rsidR="00793758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42474" w:rsidRPr="00FB1C2E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="00F10A0B" w:rsidRPr="00FB1C2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D3CB9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FB1C2E" w:rsidRPr="006D3CB9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6D3CB9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FB1C2E" w:rsidRPr="006D3CB9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D3CB9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</w:t>
      </w:r>
      <w:r w:rsidRPr="00FB1C2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σύγκριση με τον αντίστοιχο μήνα του προηγούμενου έτους (Πίνακας 2). </w:t>
      </w:r>
    </w:p>
    <w:p w14:paraId="009C6F8F" w14:textId="77777777" w:rsidR="000D03A9" w:rsidRDefault="000D03A9" w:rsidP="00C83804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0DEFA1A" w14:textId="0802FE1D" w:rsidR="00C83804" w:rsidRPr="00FB1C2E" w:rsidRDefault="00C83804" w:rsidP="00C8380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C83804">
        <w:rPr>
          <w:rFonts w:ascii="Verdana" w:hAnsi="Verdana" w:cs="Arial"/>
          <w:sz w:val="18"/>
          <w:szCs w:val="18"/>
          <w:lang w:val="el-GR"/>
        </w:rPr>
        <w:t>Για την περίοδο Ιανουαρίου-</w:t>
      </w:r>
      <w:r w:rsidR="00CE10B0">
        <w:rPr>
          <w:rFonts w:ascii="Verdana" w:hAnsi="Verdana" w:cs="Arial"/>
          <w:sz w:val="18"/>
          <w:szCs w:val="18"/>
          <w:lang w:val="el-GR"/>
        </w:rPr>
        <w:t xml:space="preserve">Φεβρουαρίου </w:t>
      </w:r>
      <w:r w:rsidRPr="00C83804">
        <w:rPr>
          <w:rFonts w:ascii="Verdana" w:hAnsi="Verdana" w:cs="Arial"/>
          <w:sz w:val="18"/>
          <w:szCs w:val="18"/>
          <w:lang w:val="el-GR"/>
        </w:rPr>
        <w:t>202</w:t>
      </w:r>
      <w:r w:rsidR="00CE10B0">
        <w:rPr>
          <w:rFonts w:ascii="Verdana" w:hAnsi="Verdana" w:cs="Arial"/>
          <w:sz w:val="18"/>
          <w:szCs w:val="18"/>
          <w:lang w:val="el-GR"/>
        </w:rPr>
        <w:t>4</w:t>
      </w:r>
      <w:r w:rsidRPr="00C83804">
        <w:rPr>
          <w:rFonts w:ascii="Verdana" w:hAnsi="Verdana" w:cs="Arial"/>
          <w:sz w:val="18"/>
          <w:szCs w:val="18"/>
          <w:lang w:val="el-GR"/>
        </w:rPr>
        <w:t xml:space="preserve">, ο </w:t>
      </w:r>
      <w:r w:rsidR="005E75D2">
        <w:rPr>
          <w:rFonts w:ascii="Verdana" w:hAnsi="Verdana" w:cs="Arial"/>
          <w:sz w:val="18"/>
          <w:szCs w:val="18"/>
          <w:lang w:val="el-GR"/>
        </w:rPr>
        <w:t>Δ</w:t>
      </w:r>
      <w:r w:rsidRPr="00C83804">
        <w:rPr>
          <w:rFonts w:ascii="Verdana" w:hAnsi="Verdana" w:cs="Arial"/>
          <w:sz w:val="18"/>
          <w:szCs w:val="18"/>
          <w:lang w:val="el-GR"/>
        </w:rPr>
        <w:t xml:space="preserve">είκτης </w:t>
      </w:r>
      <w:r w:rsidR="005E75D2">
        <w:rPr>
          <w:rFonts w:ascii="Verdana" w:hAnsi="Verdana" w:cs="Arial"/>
          <w:sz w:val="18"/>
          <w:szCs w:val="18"/>
          <w:lang w:val="el-GR"/>
        </w:rPr>
        <w:t>Α</w:t>
      </w:r>
      <w:r w:rsidRPr="00C83804">
        <w:rPr>
          <w:rFonts w:ascii="Verdana" w:hAnsi="Verdana" w:cs="Arial"/>
          <w:sz w:val="18"/>
          <w:szCs w:val="18"/>
          <w:lang w:val="el-GR"/>
        </w:rPr>
        <w:t xml:space="preserve">ξίας υπολογίζεται ότι </w:t>
      </w:r>
      <w:r w:rsidRPr="00E72956">
        <w:rPr>
          <w:rFonts w:ascii="Verdana" w:hAnsi="Verdana" w:cs="Arial"/>
          <w:sz w:val="18"/>
          <w:szCs w:val="18"/>
          <w:lang w:val="el-GR"/>
        </w:rPr>
        <w:t xml:space="preserve">σημείωσε αύξηση </w:t>
      </w:r>
      <w:r w:rsidR="006D3CB9" w:rsidRPr="006D3CB9">
        <w:rPr>
          <w:rFonts w:ascii="Verdana" w:hAnsi="Verdana" w:cs="Arial"/>
          <w:sz w:val="18"/>
          <w:szCs w:val="18"/>
          <w:lang w:val="el-GR"/>
        </w:rPr>
        <w:t>5</w:t>
      </w:r>
      <w:r w:rsidRPr="006D3CB9">
        <w:rPr>
          <w:rFonts w:ascii="Verdana" w:hAnsi="Verdana" w:cs="Arial"/>
          <w:sz w:val="18"/>
          <w:szCs w:val="18"/>
          <w:lang w:val="el-GR"/>
        </w:rPr>
        <w:t>,</w:t>
      </w:r>
      <w:r w:rsidR="006D3CB9" w:rsidRPr="006D3CB9">
        <w:rPr>
          <w:rFonts w:ascii="Verdana" w:hAnsi="Verdana" w:cs="Arial"/>
          <w:sz w:val="18"/>
          <w:szCs w:val="18"/>
          <w:lang w:val="el-GR"/>
        </w:rPr>
        <w:t>4</w:t>
      </w:r>
      <w:r w:rsidRPr="006D3CB9">
        <w:rPr>
          <w:rFonts w:ascii="Verdana" w:hAnsi="Verdana" w:cs="Arial"/>
          <w:sz w:val="18"/>
          <w:szCs w:val="18"/>
          <w:lang w:val="el-GR"/>
        </w:rPr>
        <w:t xml:space="preserve">% </w:t>
      </w:r>
      <w:r w:rsidRPr="00C83804">
        <w:rPr>
          <w:rFonts w:ascii="Verdana" w:hAnsi="Verdana" w:cs="Arial"/>
          <w:sz w:val="18"/>
          <w:szCs w:val="18"/>
          <w:lang w:val="el-GR"/>
        </w:rPr>
        <w:t xml:space="preserve">και ο </w:t>
      </w:r>
      <w:r w:rsidR="005E75D2">
        <w:rPr>
          <w:rFonts w:ascii="Verdana" w:hAnsi="Verdana" w:cs="Arial"/>
          <w:sz w:val="18"/>
          <w:szCs w:val="18"/>
          <w:lang w:val="el-GR"/>
        </w:rPr>
        <w:t>Δ</w:t>
      </w:r>
      <w:r w:rsidRPr="00C83804">
        <w:rPr>
          <w:rFonts w:ascii="Verdana" w:hAnsi="Verdana" w:cs="Arial"/>
          <w:sz w:val="18"/>
          <w:szCs w:val="18"/>
          <w:lang w:val="el-GR"/>
        </w:rPr>
        <w:t xml:space="preserve">είκτης </w:t>
      </w:r>
      <w:r w:rsidR="005E75D2" w:rsidRPr="00FB1C2E">
        <w:rPr>
          <w:rFonts w:ascii="Verdana" w:hAnsi="Verdana" w:cs="Arial"/>
          <w:sz w:val="18"/>
          <w:szCs w:val="18"/>
          <w:lang w:val="el-GR"/>
        </w:rPr>
        <w:t>Ό</w:t>
      </w:r>
      <w:r w:rsidRPr="00FB1C2E">
        <w:rPr>
          <w:rFonts w:ascii="Verdana" w:hAnsi="Verdana" w:cs="Arial"/>
          <w:sz w:val="18"/>
          <w:szCs w:val="18"/>
          <w:lang w:val="el-GR"/>
        </w:rPr>
        <w:t xml:space="preserve">γκου </w:t>
      </w:r>
      <w:r w:rsidRPr="002519C4">
        <w:rPr>
          <w:rFonts w:ascii="Verdana" w:hAnsi="Verdana" w:cs="Arial"/>
          <w:sz w:val="18"/>
          <w:szCs w:val="18"/>
          <w:lang w:val="el-GR"/>
        </w:rPr>
        <w:t xml:space="preserve">αύξηση </w:t>
      </w:r>
      <w:r w:rsidR="00FB1C2E" w:rsidRPr="002519C4">
        <w:rPr>
          <w:rFonts w:ascii="Verdana" w:hAnsi="Verdana" w:cs="Arial"/>
          <w:sz w:val="18"/>
          <w:szCs w:val="18"/>
          <w:lang w:val="el-GR"/>
        </w:rPr>
        <w:t>4</w:t>
      </w:r>
      <w:r w:rsidRPr="002519C4">
        <w:rPr>
          <w:rFonts w:ascii="Verdana" w:hAnsi="Verdana" w:cs="Arial"/>
          <w:sz w:val="18"/>
          <w:szCs w:val="18"/>
          <w:lang w:val="el-GR"/>
        </w:rPr>
        <w:t>,</w:t>
      </w:r>
      <w:r w:rsidR="002519C4" w:rsidRPr="002519C4">
        <w:rPr>
          <w:rFonts w:ascii="Verdana" w:hAnsi="Verdana" w:cs="Arial"/>
          <w:sz w:val="18"/>
          <w:szCs w:val="18"/>
          <w:lang w:val="el-GR"/>
        </w:rPr>
        <w:t>7</w:t>
      </w:r>
      <w:r w:rsidRPr="002519C4">
        <w:rPr>
          <w:rFonts w:ascii="Verdana" w:hAnsi="Verdana" w:cs="Arial"/>
          <w:sz w:val="18"/>
          <w:szCs w:val="18"/>
          <w:lang w:val="el-GR"/>
        </w:rPr>
        <w:t xml:space="preserve">% σε σύγκριση </w:t>
      </w:r>
      <w:r w:rsidRPr="00FB1C2E">
        <w:rPr>
          <w:rFonts w:ascii="Verdana" w:hAnsi="Verdana" w:cs="Arial"/>
          <w:sz w:val="18"/>
          <w:szCs w:val="18"/>
          <w:lang w:val="el-GR"/>
        </w:rPr>
        <w:t>με την ίδια περίοδο του 202</w:t>
      </w:r>
      <w:r w:rsidR="00CE10B0" w:rsidRPr="00FB1C2E">
        <w:rPr>
          <w:rFonts w:ascii="Verdana" w:hAnsi="Verdana" w:cs="Arial"/>
          <w:sz w:val="18"/>
          <w:szCs w:val="18"/>
          <w:lang w:val="el-GR"/>
        </w:rPr>
        <w:t>3</w:t>
      </w:r>
      <w:r w:rsidRPr="00FB1C2E">
        <w:rPr>
          <w:rFonts w:ascii="Verdana" w:hAnsi="Verdana" w:cs="Arial"/>
          <w:sz w:val="18"/>
          <w:szCs w:val="18"/>
          <w:lang w:val="el-GR"/>
        </w:rPr>
        <w:t>.</w:t>
      </w:r>
    </w:p>
    <w:p w14:paraId="2E9BB5B5" w14:textId="77777777" w:rsidR="0057334B" w:rsidRPr="00FB1C2E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1BADD39A" w:rsidR="0057334B" w:rsidRPr="001C0E66" w:rsidRDefault="0057334B" w:rsidP="001C0E66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759299E9" w14:textId="26749B1E" w:rsidR="001C0E66" w:rsidRDefault="005B4556" w:rsidP="009B6E6C">
      <w:pPr>
        <w:jc w:val="center"/>
        <w:rPr>
          <w:noProof/>
          <w:lang w:val="el-GR"/>
        </w:rPr>
      </w:pPr>
      <w:r>
        <w:rPr>
          <w:noProof/>
          <w:lang w:val="el-GR"/>
        </w:rPr>
        <w:drawing>
          <wp:inline distT="0" distB="0" distL="0" distR="0" wp14:anchorId="21D82A8A" wp14:editId="2F4934A0">
            <wp:extent cx="6090285" cy="4395470"/>
            <wp:effectExtent l="0" t="0" r="5715" b="5080"/>
            <wp:docPr id="19793005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F2199" w14:textId="77777777" w:rsidR="00540A81" w:rsidRDefault="00540A81" w:rsidP="001C0E66">
      <w:pPr>
        <w:jc w:val="both"/>
        <w:rPr>
          <w:rFonts w:ascii="Verdana" w:hAnsi="Verdana"/>
          <w:noProof/>
          <w:sz w:val="18"/>
          <w:szCs w:val="18"/>
        </w:rPr>
      </w:pPr>
    </w:p>
    <w:p w14:paraId="7E936181" w14:textId="77777777" w:rsidR="00540A81" w:rsidRDefault="00540A81" w:rsidP="001C0E66">
      <w:pPr>
        <w:jc w:val="both"/>
        <w:rPr>
          <w:rFonts w:ascii="Verdana" w:hAnsi="Verdana"/>
          <w:noProof/>
          <w:sz w:val="18"/>
          <w:szCs w:val="18"/>
        </w:rPr>
      </w:pPr>
    </w:p>
    <w:p w14:paraId="253E5F14" w14:textId="3F88CFA9" w:rsidR="0057334B" w:rsidRPr="005B4556" w:rsidRDefault="0057334B" w:rsidP="001C0E66">
      <w:pPr>
        <w:jc w:val="both"/>
        <w:rPr>
          <w:noProof/>
          <w:lang w:val="el-GR"/>
        </w:rPr>
      </w:pPr>
      <w:r w:rsidRPr="002F1D6F">
        <w:rPr>
          <w:noProof/>
          <w:lang w:val="el-GR"/>
        </w:rP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3882"/>
        <w:gridCol w:w="1459"/>
        <w:gridCol w:w="249"/>
        <w:gridCol w:w="1585"/>
        <w:gridCol w:w="1647"/>
      </w:tblGrid>
      <w:tr w:rsidR="0057334B" w:rsidRPr="006E42F6" w14:paraId="750A6AA4" w14:textId="77777777" w:rsidTr="003C67CD">
        <w:trPr>
          <w:trHeight w:val="284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540A81">
        <w:trPr>
          <w:trHeight w:val="680"/>
          <w:jc w:val="center"/>
        </w:trPr>
        <w:tc>
          <w:tcPr>
            <w:tcW w:w="1810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388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45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03590" w14:textId="51087033" w:rsidR="0057334B" w:rsidRPr="006E42F6" w:rsidRDefault="0057334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</w:t>
            </w:r>
            <w:r w:rsidR="00540A81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 xml:space="preserve"> 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Αξίας (20</w:t>
            </w:r>
            <w:r w:rsidR="00BC0637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21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=100)</w:t>
            </w:r>
          </w:p>
        </w:tc>
        <w:tc>
          <w:tcPr>
            <w:tcW w:w="249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BC0637" w:rsidRPr="002640EA" w14:paraId="4774238E" w14:textId="77777777" w:rsidTr="00540A81">
        <w:trPr>
          <w:trHeight w:val="624"/>
          <w:jc w:val="center"/>
        </w:trPr>
        <w:tc>
          <w:tcPr>
            <w:tcW w:w="1810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BC0637" w:rsidRPr="006E42F6" w:rsidRDefault="00BC0637" w:rsidP="00BC0637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88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BC0637" w:rsidRPr="006E42F6" w:rsidRDefault="00BC0637" w:rsidP="00BC0637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F5D75A9" w14:textId="77777777" w:rsidR="00BC0637" w:rsidRDefault="00BC0637" w:rsidP="00BC063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Φεβ </w:t>
            </w:r>
          </w:p>
          <w:p w14:paraId="1588EFE3" w14:textId="4F77A504" w:rsidR="00BC0637" w:rsidRPr="00380A10" w:rsidRDefault="00BC0637" w:rsidP="00BC063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2024</w:t>
            </w:r>
          </w:p>
        </w:tc>
        <w:tc>
          <w:tcPr>
            <w:tcW w:w="249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BC0637" w:rsidRPr="00380A10" w:rsidRDefault="00BC0637" w:rsidP="00BC0637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55DC56E" w14:textId="77777777" w:rsidR="00BC0637" w:rsidRDefault="00BC0637" w:rsidP="00BC0637">
            <w:pPr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Φεβ </w:t>
            </w:r>
          </w:p>
          <w:p w14:paraId="162A0C71" w14:textId="396BF9D5" w:rsidR="00BC0637" w:rsidRPr="00380A10" w:rsidRDefault="00BC0637" w:rsidP="00BC063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4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3   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528C0AA" w14:textId="7E5C374B" w:rsidR="00BC0637" w:rsidRPr="00380A10" w:rsidRDefault="00BC0637" w:rsidP="00BC0637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Φεβ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4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3 </w:t>
            </w:r>
          </w:p>
        </w:tc>
      </w:tr>
      <w:tr w:rsidR="006D3CB9" w:rsidRPr="006C2126" w14:paraId="3B9F9AAC" w14:textId="77777777" w:rsidTr="00FD4340">
        <w:trPr>
          <w:trHeight w:val="68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3C3445AF" w:rsidR="006D3CB9" w:rsidRPr="006E42F6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3C6224CA" w:rsidR="006D3CB9" w:rsidRPr="006E42F6" w:rsidRDefault="006D3CB9" w:rsidP="006D3CB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Κυρίως τρόφιμα, ποτά ή καπνός σε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ειδικευμένα</w:t>
            </w:r>
            <w:r w:rsidRPr="004F620D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καταστήματα</w:t>
            </w:r>
            <w:r w:rsidRPr="004F620D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υπεραγορές)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206DFB87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114,5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6D3CB9" w:rsidRPr="006E42F6" w:rsidRDefault="006D3CB9" w:rsidP="006D3CB9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36572204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47C0C13B" w:rsidR="006D3CB9" w:rsidRPr="006C2126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6,6</w:t>
            </w:r>
          </w:p>
        </w:tc>
      </w:tr>
      <w:tr w:rsidR="006D3CB9" w:rsidRPr="006C2126" w14:paraId="6763C8E2" w14:textId="77777777" w:rsidTr="00FD4340">
        <w:trPr>
          <w:trHeight w:val="68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1C2A2789" w:rsidR="006D3CB9" w:rsidRPr="006E42F6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183B778E" w:rsidR="006D3CB9" w:rsidRPr="006E42F6" w:rsidRDefault="006D3CB9" w:rsidP="006D3CB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ρ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ό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φ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ι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α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, ποτ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ά και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καπν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ός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σε ειδικευμένα καταστήματα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48C1BCBD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121,7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6D3CB9" w:rsidRPr="006E42F6" w:rsidRDefault="006D3CB9" w:rsidP="006D3CB9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4B72835D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0326656C" w:rsidR="006D3CB9" w:rsidRPr="006C2126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9,4</w:t>
            </w:r>
          </w:p>
        </w:tc>
      </w:tr>
      <w:tr w:rsidR="006D3CB9" w:rsidRPr="006425C6" w14:paraId="69EB27EF" w14:textId="77777777" w:rsidTr="00FD4340">
        <w:trPr>
          <w:trHeight w:val="624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3C6652AF" w:rsidR="006D3CB9" w:rsidRPr="006E42F6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4F620D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3C7EE415" w:rsidR="006D3CB9" w:rsidRPr="006E42F6" w:rsidRDefault="006D3CB9" w:rsidP="006D3CB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Κ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α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ύ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σ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ι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α κίνησης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730DA384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114,3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6D3CB9" w:rsidRPr="00097198" w:rsidRDefault="006D3CB9" w:rsidP="006D3CB9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6D470380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585E42B4" w:rsidR="006D3CB9" w:rsidRPr="006C2126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-0,1</w:t>
            </w:r>
          </w:p>
        </w:tc>
      </w:tr>
      <w:tr w:rsidR="006D3CB9" w:rsidRPr="006C2126" w14:paraId="6CFABFB4" w14:textId="77777777" w:rsidTr="00FD4340">
        <w:trPr>
          <w:trHeight w:val="68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6B00D1AB" w:rsidR="006D3CB9" w:rsidRPr="006E42F6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1978775F" w:rsidR="006D3CB9" w:rsidRPr="006E42F6" w:rsidRDefault="006D3CB9" w:rsidP="006D3CB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Εξοπλισμός πληροφοριακών και επικοινωνιακών συστημάτων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3331E150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6D3CB9" w:rsidRPr="006E42F6" w:rsidRDefault="006D3CB9" w:rsidP="006D3CB9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1B9D7F73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042F19E6" w:rsidR="006D3CB9" w:rsidRPr="006C2126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7,3</w:t>
            </w:r>
          </w:p>
        </w:tc>
      </w:tr>
      <w:tr w:rsidR="006D3CB9" w:rsidRPr="006C2126" w14:paraId="2AFA2B80" w14:textId="77777777" w:rsidTr="00FD4340">
        <w:trPr>
          <w:trHeight w:val="851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3D8840DE" w:rsidR="006D3CB9" w:rsidRPr="006E42F6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6FD6ED6F" w:rsidR="006D3CB9" w:rsidRPr="006E42F6" w:rsidRDefault="006D3CB9" w:rsidP="006D3CB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Άλλος οικιακός εξοπλισμός (οικοδομικά υλικά, χαλιά, έπιπλα, ηλεκτρικές συσκευές</w:t>
            </w:r>
            <w:r w:rsidRPr="005F1C20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φωτιστικά)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1E014C19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6D3CB9" w:rsidRPr="006E42F6" w:rsidRDefault="006D3CB9" w:rsidP="006D3CB9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32D10FC2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1956538E" w:rsidR="006D3CB9" w:rsidRPr="006C2126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4,8</w:t>
            </w:r>
          </w:p>
        </w:tc>
      </w:tr>
      <w:tr w:rsidR="006D3CB9" w:rsidRPr="006C2126" w14:paraId="067C928F" w14:textId="77777777" w:rsidTr="00FD4340">
        <w:trPr>
          <w:trHeight w:val="851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98EDE97" w:rsidR="006D3CB9" w:rsidRPr="006E42F6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47.6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650E5CD4" w:rsidR="006D3CB9" w:rsidRPr="006E42F6" w:rsidRDefault="006D3CB9" w:rsidP="006D3CB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Επιμορφωτικά είδη και είδη ψυχαγωγίας  </w:t>
            </w:r>
            <w:r w:rsidRPr="002B3979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(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βιβλία, γραφική ύλη,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αθλητικ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ός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εξοπλισμ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ός,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παι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χ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ν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ίδια)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1FD02C67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100,2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6D3CB9" w:rsidRPr="006E42F6" w:rsidRDefault="006D3CB9" w:rsidP="006D3CB9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10443FA4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-3,0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254A305A" w:rsidR="006D3CB9" w:rsidRPr="00470CAD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-4,2</w:t>
            </w:r>
          </w:p>
        </w:tc>
      </w:tr>
      <w:tr w:rsidR="006D3CB9" w:rsidRPr="006425C6" w14:paraId="6C2C7D17" w14:textId="77777777" w:rsidTr="00FD4340">
        <w:trPr>
          <w:trHeight w:val="624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93229" w14:textId="4B60D9FF" w:rsidR="006D3CB9" w:rsidRPr="006E42F6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47.71+47.72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5D97DDFB" w:rsidR="006D3CB9" w:rsidRPr="006E42F6" w:rsidRDefault="006D3CB9" w:rsidP="006D3CB9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νδ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ύματα και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υποδ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ήματα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2A2DA1E5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106,5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6D3CB9" w:rsidRPr="006E42F6" w:rsidRDefault="006D3CB9" w:rsidP="006D3CB9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33A8A6AF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680F4EE7" w:rsidR="006D3CB9" w:rsidRPr="00470CAD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4,3</w:t>
            </w:r>
          </w:p>
        </w:tc>
      </w:tr>
      <w:tr w:rsidR="006D3CB9" w:rsidRPr="006C2126" w14:paraId="0FC1F9A0" w14:textId="77777777" w:rsidTr="00540A81">
        <w:trPr>
          <w:trHeight w:val="68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83582" w14:textId="77777777" w:rsidR="006D3CB9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47.73+47.74</w:t>
            </w:r>
          </w:p>
          <w:p w14:paraId="01C7CBAD" w14:textId="5AFBD571" w:rsidR="006D3CB9" w:rsidRPr="006E42F6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+47.75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528532D4" w:rsidR="006D3CB9" w:rsidRPr="006E42F6" w:rsidRDefault="006D3CB9" w:rsidP="006D3CB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Φαρμακευτικά και ορθοπεδικά είδη, καλλυντικά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2E52F120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113,6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6D3CB9" w:rsidRPr="006E42F6" w:rsidRDefault="006D3CB9" w:rsidP="006D3CB9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3EF9201B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76519096" w:rsidR="006D3CB9" w:rsidRPr="00470CAD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10,8</w:t>
            </w:r>
          </w:p>
        </w:tc>
      </w:tr>
      <w:tr w:rsidR="006D3CB9" w:rsidRPr="006C2126" w14:paraId="7CA505BA" w14:textId="77777777" w:rsidTr="00FD4340">
        <w:trPr>
          <w:trHeight w:val="68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8E1F1" w14:textId="77777777" w:rsidR="006D3CB9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47.76+47.77</w:t>
            </w:r>
          </w:p>
          <w:p w14:paraId="44771D6B" w14:textId="29696D75" w:rsidR="006D3CB9" w:rsidRPr="006E42F6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+47.78+47.79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6C169C66" w:rsidR="006D3CB9" w:rsidRPr="006E42F6" w:rsidRDefault="006D3CB9" w:rsidP="006D3CB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Λουλούδια,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φυτ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, ρολ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όγια,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κοσμήματα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οπτικά είδη και μεταχειρισμένα είδη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3224B019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6D3CB9" w:rsidRPr="006E42F6" w:rsidRDefault="006D3CB9" w:rsidP="006D3CB9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44846E3F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27864573" w:rsidR="006D3CB9" w:rsidRPr="00470CAD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5,6</w:t>
            </w:r>
          </w:p>
        </w:tc>
      </w:tr>
      <w:tr w:rsidR="006D3CB9" w:rsidRPr="006425C6" w14:paraId="62713B0F" w14:textId="77777777" w:rsidTr="00FD4340">
        <w:trPr>
          <w:trHeight w:val="624"/>
          <w:jc w:val="center"/>
        </w:trPr>
        <w:tc>
          <w:tcPr>
            <w:tcW w:w="1810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BCC4827" w14:textId="3A7ADC4E" w:rsidR="006D3CB9" w:rsidRPr="006E42F6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47.8+47.9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46F8D5BC" w14:textId="166281DE" w:rsidR="006D3CB9" w:rsidRPr="006E42F6" w:rsidRDefault="006D3CB9" w:rsidP="006D3CB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καταστημάτων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32C77C5" w14:textId="65230918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87,6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6BFB9EAD" w14:textId="77777777" w:rsidR="006D3CB9" w:rsidRPr="006E42F6" w:rsidRDefault="006D3CB9" w:rsidP="006D3CB9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F033215" w14:textId="0C20C007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-5,3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8A52460" w14:textId="5F738C01" w:rsidR="006D3CB9" w:rsidRPr="00470CAD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-6,8</w:t>
            </w:r>
          </w:p>
        </w:tc>
      </w:tr>
      <w:tr w:rsidR="006D3CB9" w:rsidRPr="006C2126" w14:paraId="52F20EA4" w14:textId="77777777" w:rsidTr="00FD4340">
        <w:trPr>
          <w:trHeight w:val="680"/>
          <w:jc w:val="center"/>
        </w:trPr>
        <w:tc>
          <w:tcPr>
            <w:tcW w:w="1810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5C1CD9D8" w:rsidR="006D3CB9" w:rsidRPr="006E42F6" w:rsidRDefault="006D3CB9" w:rsidP="006D3CB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4F620D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3882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59DE1626" w:rsidR="006D3CB9" w:rsidRPr="006E42F6" w:rsidRDefault="006D3CB9" w:rsidP="006D3CB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Λιανικό εμπόριο εκτός των καυσίμων 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κίνησης</w:t>
            </w:r>
          </w:p>
        </w:tc>
        <w:tc>
          <w:tcPr>
            <w:tcW w:w="1459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6ECEFCCB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111,5</w:t>
            </w:r>
          </w:p>
        </w:tc>
        <w:tc>
          <w:tcPr>
            <w:tcW w:w="249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6D3CB9" w:rsidRPr="006E42F6" w:rsidRDefault="006D3CB9" w:rsidP="006D3CB9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15C4F04F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6,3</w:t>
            </w:r>
          </w:p>
        </w:tc>
        <w:tc>
          <w:tcPr>
            <w:tcW w:w="1647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3F43C437" w:rsidR="006D3CB9" w:rsidRPr="00470CAD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6,1</w:t>
            </w:r>
          </w:p>
        </w:tc>
      </w:tr>
      <w:tr w:rsidR="006D3CB9" w:rsidRPr="00FD4340" w14:paraId="35B70EC7" w14:textId="77777777" w:rsidTr="00FD4340">
        <w:trPr>
          <w:trHeight w:val="624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362A6961" w:rsidR="006D3CB9" w:rsidRPr="00BC0637" w:rsidRDefault="006D3CB9" w:rsidP="006D3CB9">
            <w:pPr>
              <w:spacing w:line="276" w:lineRule="auto"/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BC0637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47.11+47.2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4759D815" w:rsidR="006D3CB9" w:rsidRPr="00BC0637" w:rsidRDefault="006D3CB9" w:rsidP="006D3CB9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BC0637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είδη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25CB50B1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bCs/>
                <w:color w:val="2F5496"/>
                <w:sz w:val="18"/>
                <w:szCs w:val="18"/>
              </w:rPr>
            </w:pPr>
            <w:r w:rsidRPr="00C90EFC">
              <w:rPr>
                <w:rFonts w:ascii="Verdana" w:hAnsi="Verdana"/>
                <w:bCs/>
                <w:color w:val="2F5496"/>
                <w:sz w:val="18"/>
                <w:szCs w:val="18"/>
              </w:rPr>
              <w:t>116,2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6D3CB9" w:rsidRPr="006E42F6" w:rsidRDefault="006D3CB9" w:rsidP="006D3CB9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03E3608F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bCs/>
                <w:color w:val="2F5496"/>
                <w:sz w:val="18"/>
                <w:szCs w:val="18"/>
              </w:rPr>
            </w:pPr>
            <w:r w:rsidRPr="00C90EFC">
              <w:rPr>
                <w:rFonts w:ascii="Verdana" w:hAnsi="Verdana"/>
                <w:bCs/>
                <w:color w:val="2F5496"/>
                <w:sz w:val="18"/>
                <w:szCs w:val="18"/>
              </w:rPr>
              <w:t>7,5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44FC01A6" w:rsidR="006D3CB9" w:rsidRPr="00470CAD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F152DF">
              <w:rPr>
                <w:rFonts w:ascii="Verdana" w:hAnsi="Verdana"/>
                <w:bCs/>
                <w:color w:val="2F5496"/>
                <w:sz w:val="18"/>
                <w:szCs w:val="18"/>
              </w:rPr>
              <w:t>7,1</w:t>
            </w:r>
          </w:p>
        </w:tc>
      </w:tr>
      <w:tr w:rsidR="006D3CB9" w:rsidRPr="00BC0637" w14:paraId="14A67924" w14:textId="77777777" w:rsidTr="00FD4340">
        <w:trPr>
          <w:trHeight w:val="68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E562E" w14:textId="7BA7B6B5" w:rsidR="006D3CB9" w:rsidRPr="00BC0637" w:rsidRDefault="006D3CB9" w:rsidP="006D3CB9">
            <w:pPr>
              <w:spacing w:line="276" w:lineRule="auto"/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 έως 47.9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D04CC" w14:textId="72367765" w:rsidR="006D3CB9" w:rsidRPr="00BC0637" w:rsidRDefault="006D3CB9" w:rsidP="006D3CB9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είδη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DB0AA" w14:textId="12D823E2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bCs/>
                <w:color w:val="2F5496"/>
                <w:sz w:val="18"/>
                <w:szCs w:val="18"/>
              </w:rPr>
            </w:pPr>
            <w:r w:rsidRPr="00C90EFC">
              <w:rPr>
                <w:rFonts w:ascii="Verdana" w:hAnsi="Verdana"/>
                <w:bCs/>
                <w:color w:val="2F5496"/>
                <w:sz w:val="18"/>
                <w:szCs w:val="18"/>
              </w:rPr>
              <w:t>106,4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F708D" w14:textId="77777777" w:rsidR="006D3CB9" w:rsidRPr="006E42F6" w:rsidRDefault="006D3CB9" w:rsidP="006D3CB9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DC8BC" w14:textId="08E56222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bCs/>
                <w:color w:val="2F5496"/>
                <w:sz w:val="18"/>
                <w:szCs w:val="18"/>
              </w:rPr>
            </w:pPr>
            <w:r w:rsidRPr="00C90EFC">
              <w:rPr>
                <w:rFonts w:ascii="Verdana" w:hAnsi="Verdana"/>
                <w:bCs/>
                <w:color w:val="2F5496"/>
                <w:sz w:val="18"/>
                <w:szCs w:val="18"/>
              </w:rPr>
              <w:t>4,8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AA345" w14:textId="62F25B56" w:rsidR="006D3CB9" w:rsidRPr="00470CAD" w:rsidRDefault="006D3CB9" w:rsidP="006D3CB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F152DF">
              <w:rPr>
                <w:rFonts w:ascii="Verdana" w:hAnsi="Verdana"/>
                <w:bCs/>
                <w:color w:val="2F5496"/>
                <w:sz w:val="18"/>
                <w:szCs w:val="18"/>
              </w:rPr>
              <w:t>4,8</w:t>
            </w:r>
          </w:p>
        </w:tc>
      </w:tr>
      <w:tr w:rsidR="006D3CB9" w:rsidRPr="00BC0637" w14:paraId="1C1F761B" w14:textId="77777777" w:rsidTr="00FD4340">
        <w:trPr>
          <w:trHeight w:hRule="exact" w:val="113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E6B40" w14:textId="77777777" w:rsidR="006D3CB9" w:rsidRDefault="006D3CB9" w:rsidP="006D3CB9">
            <w:pPr>
              <w:spacing w:line="276" w:lineRule="auto"/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54108" w14:textId="77777777" w:rsidR="006D3CB9" w:rsidRDefault="006D3CB9" w:rsidP="006D3CB9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8E05" w14:textId="77777777" w:rsidR="006D3CB9" w:rsidRPr="006849EF" w:rsidRDefault="006D3CB9" w:rsidP="006D3CB9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145E9" w14:textId="77777777" w:rsidR="006D3CB9" w:rsidRPr="006E42F6" w:rsidRDefault="006D3CB9" w:rsidP="006D3CB9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B4B" w14:textId="77777777" w:rsidR="006D3CB9" w:rsidRPr="006849EF" w:rsidRDefault="006D3CB9" w:rsidP="00B21849">
            <w:pPr>
              <w:ind w:right="454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AD94F" w14:textId="77777777" w:rsidR="006D3CB9" w:rsidRPr="006849EF" w:rsidRDefault="006D3CB9" w:rsidP="006D3CB9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6D3CB9" w:rsidRPr="006A5C39" w14:paraId="2E9C0013" w14:textId="77777777" w:rsidTr="00540A81">
        <w:trPr>
          <w:trHeight w:val="851"/>
          <w:jc w:val="center"/>
        </w:trPr>
        <w:tc>
          <w:tcPr>
            <w:tcW w:w="18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56443379" w:rsidR="006D3CB9" w:rsidRPr="00BC0637" w:rsidRDefault="006D3CB9" w:rsidP="006D3CB9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4F620D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388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117791C9" w:rsidR="006D3CB9" w:rsidRPr="006E42F6" w:rsidRDefault="006D3CB9" w:rsidP="006D3CB9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45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06A6D9CC" w:rsidR="006D3CB9" w:rsidRPr="006C2126" w:rsidRDefault="006D3CB9" w:rsidP="006D3CB9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 w:rsidRPr="00C90EFC">
              <w:rPr>
                <w:rFonts w:ascii="Verdana" w:hAnsi="Verdana"/>
                <w:b/>
                <w:color w:val="2F5496"/>
                <w:sz w:val="18"/>
                <w:szCs w:val="18"/>
              </w:rPr>
              <w:t>111,8</w:t>
            </w:r>
          </w:p>
        </w:tc>
        <w:tc>
          <w:tcPr>
            <w:tcW w:w="24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6D3CB9" w:rsidRPr="006E42F6" w:rsidRDefault="006D3CB9" w:rsidP="006D3CB9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49FE1BA2" w:rsidR="006D3CB9" w:rsidRPr="006C2126" w:rsidRDefault="006D3CB9" w:rsidP="00B21849">
            <w:pPr>
              <w:ind w:right="454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 w:rsidRPr="00C90EFC">
              <w:rPr>
                <w:rFonts w:ascii="Verdana" w:hAnsi="Verdana"/>
                <w:b/>
                <w:color w:val="2F5496"/>
                <w:sz w:val="18"/>
                <w:szCs w:val="18"/>
              </w:rPr>
              <w:t>5,8</w:t>
            </w:r>
          </w:p>
        </w:tc>
        <w:tc>
          <w:tcPr>
            <w:tcW w:w="164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3476FC5B" w:rsidR="006D3CB9" w:rsidRPr="006C2126" w:rsidRDefault="006D3CB9" w:rsidP="006D3CB9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5,4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3796"/>
        <w:gridCol w:w="1574"/>
        <w:gridCol w:w="248"/>
        <w:gridCol w:w="1574"/>
        <w:gridCol w:w="1633"/>
      </w:tblGrid>
      <w:tr w:rsidR="00787B95" w:rsidRPr="006E42F6" w14:paraId="33C438E3" w14:textId="77777777" w:rsidTr="000F75C5">
        <w:trPr>
          <w:trHeight w:val="284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32CABB7" w14:textId="0531EC4D" w:rsidR="00787B95" w:rsidRPr="006E42F6" w:rsidRDefault="00787B95" w:rsidP="000F75C5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 xml:space="preserve">Πίνακας </w:t>
            </w:r>
            <w: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</w:p>
        </w:tc>
      </w:tr>
      <w:tr w:rsidR="00787B95" w:rsidRPr="006E42F6" w14:paraId="04DC5A78" w14:textId="77777777" w:rsidTr="00787B95">
        <w:trPr>
          <w:trHeight w:val="680"/>
          <w:jc w:val="center"/>
        </w:trPr>
        <w:tc>
          <w:tcPr>
            <w:tcW w:w="1807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9C73928" w14:textId="77777777" w:rsidR="00787B95" w:rsidRPr="006E42F6" w:rsidRDefault="00787B95" w:rsidP="000F75C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AE85B18" w14:textId="77777777" w:rsidR="00787B95" w:rsidRPr="006E42F6" w:rsidRDefault="00787B95" w:rsidP="000F75C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3796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EFB7DF5" w14:textId="77777777" w:rsidR="00787B95" w:rsidRPr="006E42F6" w:rsidRDefault="00787B95" w:rsidP="000F75C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11C22D5" w14:textId="77777777" w:rsidR="00787B95" w:rsidRPr="006E42F6" w:rsidRDefault="00787B95" w:rsidP="000F75C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57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0FE8C" w14:textId="7F326947" w:rsidR="00787B95" w:rsidRPr="006E42F6" w:rsidRDefault="00787B95" w:rsidP="000F75C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 xml:space="preserve"> </w:t>
            </w:r>
            <w:r w:rsidRPr="00787B95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Όγκου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(20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21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=100)</w:t>
            </w:r>
          </w:p>
        </w:tc>
        <w:tc>
          <w:tcPr>
            <w:tcW w:w="248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2CE23167" w14:textId="77777777" w:rsidR="00787B95" w:rsidRPr="006E42F6" w:rsidRDefault="00787B95" w:rsidP="000F75C5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C8E0FA9" w14:textId="77777777" w:rsidR="00787B95" w:rsidRPr="006E42F6" w:rsidRDefault="00787B95" w:rsidP="000F75C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70FBBF07" w14:textId="77777777" w:rsidR="00787B95" w:rsidRPr="006E42F6" w:rsidRDefault="00787B95" w:rsidP="000F75C5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787B95" w:rsidRPr="002640EA" w14:paraId="64155BB8" w14:textId="77777777" w:rsidTr="00787B95">
        <w:trPr>
          <w:trHeight w:val="624"/>
          <w:jc w:val="center"/>
        </w:trPr>
        <w:tc>
          <w:tcPr>
            <w:tcW w:w="1807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8768DD" w14:textId="77777777" w:rsidR="00787B95" w:rsidRPr="006E42F6" w:rsidRDefault="00787B95" w:rsidP="000F75C5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796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29CEB3C3" w14:textId="77777777" w:rsidR="00787B95" w:rsidRPr="006E42F6" w:rsidRDefault="00787B95" w:rsidP="000F75C5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D312A2" w14:textId="77777777" w:rsidR="00787B95" w:rsidRDefault="00787B95" w:rsidP="000F75C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Φεβ </w:t>
            </w:r>
          </w:p>
          <w:p w14:paraId="317EC60A" w14:textId="77777777" w:rsidR="00787B95" w:rsidRPr="00380A10" w:rsidRDefault="00787B95" w:rsidP="000F75C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2024</w:t>
            </w:r>
          </w:p>
        </w:tc>
        <w:tc>
          <w:tcPr>
            <w:tcW w:w="248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7804AC4" w14:textId="77777777" w:rsidR="00787B95" w:rsidRPr="00380A10" w:rsidRDefault="00787B95" w:rsidP="000F75C5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FC138F0" w14:textId="77777777" w:rsidR="00787B95" w:rsidRDefault="00787B95" w:rsidP="000F75C5">
            <w:pPr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Φεβ </w:t>
            </w:r>
          </w:p>
          <w:p w14:paraId="72B23310" w14:textId="77777777" w:rsidR="00787B95" w:rsidRPr="00380A10" w:rsidRDefault="00787B95" w:rsidP="000F75C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4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3   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95DF1E3" w14:textId="77777777" w:rsidR="00787B95" w:rsidRPr="00380A10" w:rsidRDefault="00787B95" w:rsidP="000F75C5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Φεβ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4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3 </w:t>
            </w:r>
          </w:p>
        </w:tc>
      </w:tr>
      <w:tr w:rsidR="00787B95" w:rsidRPr="006C2126" w14:paraId="425BD68F" w14:textId="77777777" w:rsidTr="00787B95">
        <w:trPr>
          <w:trHeight w:val="680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C7BE9" w14:textId="77777777" w:rsidR="00787B95" w:rsidRPr="006E42F6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59DC" w14:textId="77777777" w:rsidR="00787B95" w:rsidRPr="006E42F6" w:rsidRDefault="00787B95" w:rsidP="00787B9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Κυρίως τρόφιμα, ποτά ή καπνός σε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ειδικευμένα</w:t>
            </w:r>
            <w:r w:rsidRPr="004F620D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καταστήματα</w:t>
            </w:r>
            <w:r w:rsidRPr="004F620D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υπεραγορές)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619F2" w14:textId="0E870C74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99,5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E4EA0" w14:textId="77777777" w:rsidR="00787B95" w:rsidRPr="006E42F6" w:rsidRDefault="00787B95" w:rsidP="00787B9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B37C1" w14:textId="6DF56507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5,3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6A2AE" w14:textId="7A31A1CB" w:rsidR="00787B95" w:rsidRPr="006C2126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4,2</w:t>
            </w:r>
          </w:p>
        </w:tc>
      </w:tr>
      <w:tr w:rsidR="00787B95" w:rsidRPr="006C2126" w14:paraId="6B11578D" w14:textId="77777777" w:rsidTr="00787B95">
        <w:trPr>
          <w:trHeight w:val="680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3149F" w14:textId="77777777" w:rsidR="00787B95" w:rsidRPr="006E42F6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B0E73" w14:textId="77777777" w:rsidR="00787B95" w:rsidRPr="006E42F6" w:rsidRDefault="00787B95" w:rsidP="00787B9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ρ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ό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φ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ι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α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, ποτ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ά και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καπν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ός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σε ειδικευμένα καταστήματα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620D4" w14:textId="5D18EA72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103,5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630B2" w14:textId="77777777" w:rsidR="00787B95" w:rsidRPr="006E42F6" w:rsidRDefault="00787B95" w:rsidP="00787B9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6E1AC" w14:textId="1FE70171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7,0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C687E" w14:textId="7C2F0059" w:rsidR="00787B95" w:rsidRPr="006C2126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6,5</w:t>
            </w:r>
          </w:p>
        </w:tc>
      </w:tr>
      <w:tr w:rsidR="00787B95" w:rsidRPr="006425C6" w14:paraId="2648C351" w14:textId="77777777" w:rsidTr="00787B95">
        <w:trPr>
          <w:trHeight w:val="624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8BBC1" w14:textId="77777777" w:rsidR="00787B95" w:rsidRPr="006E42F6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4F620D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79495" w14:textId="77777777" w:rsidR="00787B95" w:rsidRPr="006E42F6" w:rsidRDefault="00787B95" w:rsidP="00787B9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Κ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α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ύ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σ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ι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α κίνησης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BFE2E" w14:textId="322D4E4B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100,7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313B0" w14:textId="77777777" w:rsidR="00787B95" w:rsidRPr="00097198" w:rsidRDefault="00787B95" w:rsidP="00787B95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70CC5" w14:textId="0F2165BF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5,8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1C67F" w14:textId="0F490357" w:rsidR="00787B95" w:rsidRPr="006C2126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4,6</w:t>
            </w:r>
          </w:p>
        </w:tc>
      </w:tr>
      <w:tr w:rsidR="00787B95" w:rsidRPr="006C2126" w14:paraId="4C4B0EB1" w14:textId="77777777" w:rsidTr="00787B95">
        <w:trPr>
          <w:trHeight w:val="680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9B159" w14:textId="77777777" w:rsidR="00787B95" w:rsidRPr="006E42F6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582A4" w14:textId="77777777" w:rsidR="00787B95" w:rsidRPr="006E42F6" w:rsidRDefault="00787B95" w:rsidP="00787B9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Εξοπλισμός πληροφοριακών και επικοινωνιακών συστημάτων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1A937" w14:textId="7F11E7DC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123,9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8271" w14:textId="77777777" w:rsidR="00787B95" w:rsidRPr="006E42F6" w:rsidRDefault="00787B95" w:rsidP="00787B95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9EC69" w14:textId="6CF8D928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11,5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F5D4D" w14:textId="21AFC5A6" w:rsidR="00787B95" w:rsidRPr="006C2126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11,6</w:t>
            </w:r>
          </w:p>
        </w:tc>
      </w:tr>
      <w:tr w:rsidR="00787B95" w:rsidRPr="006C2126" w14:paraId="2EF256C0" w14:textId="77777777" w:rsidTr="00787B95">
        <w:trPr>
          <w:trHeight w:val="851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F6D38" w14:textId="77777777" w:rsidR="00787B95" w:rsidRPr="006E42F6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E0425" w14:textId="77777777" w:rsidR="00787B95" w:rsidRPr="006E42F6" w:rsidRDefault="00787B95" w:rsidP="00787B9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Άλλος οικιακός εξοπλισμός (οικοδομικά υλικά, χαλιά, έπιπλα, ηλεκτρικές συσκευές</w:t>
            </w:r>
            <w:r w:rsidRPr="005F1C20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φωτιστικά)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1AA3B" w14:textId="6F3E3D5B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95,4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C420C" w14:textId="77777777" w:rsidR="00787B95" w:rsidRPr="006E42F6" w:rsidRDefault="00787B95" w:rsidP="00787B95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E8B12" w14:textId="41C4B3E9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6,2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FAAA" w14:textId="3236C232" w:rsidR="00787B95" w:rsidRPr="006C2126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7,2</w:t>
            </w:r>
          </w:p>
        </w:tc>
      </w:tr>
      <w:tr w:rsidR="00787B95" w:rsidRPr="006C2126" w14:paraId="0E2757AC" w14:textId="77777777" w:rsidTr="00787B95">
        <w:trPr>
          <w:trHeight w:val="851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6DB7E" w14:textId="77777777" w:rsidR="00787B95" w:rsidRPr="006E42F6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F3F27" w14:textId="77777777" w:rsidR="00787B95" w:rsidRPr="006E42F6" w:rsidRDefault="00787B95" w:rsidP="00787B9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Επιμορφωτικά είδη και είδη ψυχαγωγίας  </w:t>
            </w:r>
            <w:r w:rsidRPr="002B3979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(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βιβλία, γραφική ύλη,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αθλητικ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ός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εξοπλισμ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ός,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παι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χ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ν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ίδια)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66E7E" w14:textId="79C4B5C0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92,7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9C1DF" w14:textId="77777777" w:rsidR="00787B95" w:rsidRPr="006E42F6" w:rsidRDefault="00787B95" w:rsidP="00787B95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F69A5" w14:textId="0A7D92CB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-2,9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4AC6B" w14:textId="0E753BF5" w:rsidR="00787B95" w:rsidRPr="00470CAD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-4,1</w:t>
            </w:r>
          </w:p>
        </w:tc>
      </w:tr>
      <w:tr w:rsidR="00787B95" w:rsidRPr="006425C6" w14:paraId="1AA39D91" w14:textId="77777777" w:rsidTr="00787B95">
        <w:trPr>
          <w:trHeight w:val="624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B09F3" w14:textId="77777777" w:rsidR="00787B95" w:rsidRPr="006E42F6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47.71+47.72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660D" w14:textId="77777777" w:rsidR="00787B95" w:rsidRPr="006E42F6" w:rsidRDefault="00787B95" w:rsidP="00787B95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νδ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ύματα και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υποδ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ήματα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CD218" w14:textId="4289E10C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108,7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4C699" w14:textId="77777777" w:rsidR="00787B95" w:rsidRPr="006E42F6" w:rsidRDefault="00787B95" w:rsidP="00787B95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3BA4A" w14:textId="3E8B684B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1,4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E9981" w14:textId="052CE469" w:rsidR="00787B95" w:rsidRPr="00470CAD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2,2</w:t>
            </w:r>
          </w:p>
        </w:tc>
      </w:tr>
      <w:tr w:rsidR="00787B95" w:rsidRPr="006C2126" w14:paraId="4AF4F91B" w14:textId="77777777" w:rsidTr="00787B95">
        <w:trPr>
          <w:trHeight w:val="680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083E4" w14:textId="77777777" w:rsidR="00787B95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47.73+47.74</w:t>
            </w:r>
          </w:p>
          <w:p w14:paraId="6D308EDA" w14:textId="77777777" w:rsidR="00787B95" w:rsidRPr="006E42F6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536E8" w14:textId="77777777" w:rsidR="00787B95" w:rsidRPr="006E42F6" w:rsidRDefault="00787B95" w:rsidP="00787B9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Φαρμακευτικά και ορθοπεδικά είδη, καλλυντικά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849E8" w14:textId="2643377C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107,3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82B37" w14:textId="77777777" w:rsidR="00787B95" w:rsidRPr="006E42F6" w:rsidRDefault="00787B95" w:rsidP="00787B95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9FF8" w14:textId="7BB45162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9,0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BAF67" w14:textId="4FA3056D" w:rsidR="00787B95" w:rsidRPr="00470CAD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8,6</w:t>
            </w:r>
          </w:p>
        </w:tc>
      </w:tr>
      <w:tr w:rsidR="00787B95" w:rsidRPr="006C2126" w14:paraId="672C4969" w14:textId="77777777" w:rsidTr="00787B95">
        <w:trPr>
          <w:trHeight w:val="680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54FDC" w14:textId="77777777" w:rsidR="00787B95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47.76+47.77</w:t>
            </w:r>
          </w:p>
          <w:p w14:paraId="6DD57699" w14:textId="77777777" w:rsidR="00787B95" w:rsidRPr="006E42F6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+47.78+47.79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B6F5" w14:textId="77777777" w:rsidR="00787B95" w:rsidRPr="006E42F6" w:rsidRDefault="00787B95" w:rsidP="00787B9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Λουλούδια, 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φυτ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, ρολ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όγια,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κοσμήματα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 οπτικά είδη και μεταχειρισμένα είδη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E93B8" w14:textId="3C1404EF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93,9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5D4F4" w14:textId="77777777" w:rsidR="00787B95" w:rsidRPr="006E42F6" w:rsidRDefault="00787B95" w:rsidP="00787B9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7900B" w14:textId="670E1299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2,4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DFC7E" w14:textId="21EC6641" w:rsidR="00787B95" w:rsidRPr="00470CAD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2,6</w:t>
            </w:r>
          </w:p>
        </w:tc>
      </w:tr>
      <w:tr w:rsidR="00787B95" w:rsidRPr="006425C6" w14:paraId="77A3B670" w14:textId="77777777" w:rsidTr="00787B95">
        <w:trPr>
          <w:trHeight w:val="624"/>
          <w:jc w:val="center"/>
        </w:trPr>
        <w:tc>
          <w:tcPr>
            <w:tcW w:w="1807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909209B" w14:textId="77777777" w:rsidR="00787B95" w:rsidRPr="006E42F6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47.8+47.9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E349D85" w14:textId="77777777" w:rsidR="00787B95" w:rsidRPr="006E42F6" w:rsidRDefault="00787B95" w:rsidP="00787B9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καταστημάτων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38BCE89" w14:textId="051B89F5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81,9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457F21BB" w14:textId="77777777" w:rsidR="00787B95" w:rsidRPr="006E42F6" w:rsidRDefault="00787B95" w:rsidP="00787B9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93DD31C" w14:textId="0C883447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-6,9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3D89A4A" w14:textId="604A4B14" w:rsidR="00787B95" w:rsidRPr="00470CAD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-8,1</w:t>
            </w:r>
          </w:p>
        </w:tc>
      </w:tr>
      <w:tr w:rsidR="00787B95" w:rsidRPr="006C2126" w14:paraId="40A78B6A" w14:textId="77777777" w:rsidTr="00787B95">
        <w:trPr>
          <w:trHeight w:val="680"/>
          <w:jc w:val="center"/>
        </w:trPr>
        <w:tc>
          <w:tcPr>
            <w:tcW w:w="1807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AD14F" w14:textId="77777777" w:rsidR="00787B95" w:rsidRPr="006E42F6" w:rsidRDefault="00787B95" w:rsidP="00787B9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4F620D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3796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CAFD1" w14:textId="77777777" w:rsidR="00787B95" w:rsidRPr="006E42F6" w:rsidRDefault="00787B95" w:rsidP="00787B9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 xml:space="preserve">Λιανικό εμπόριο εκτός των καυσίμων </w:t>
            </w: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κίνησης</w:t>
            </w:r>
          </w:p>
        </w:tc>
        <w:tc>
          <w:tcPr>
            <w:tcW w:w="1574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1E940" w14:textId="1D2F1C74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100,8</w:t>
            </w:r>
          </w:p>
        </w:tc>
        <w:tc>
          <w:tcPr>
            <w:tcW w:w="248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E0DB2" w14:textId="77777777" w:rsidR="00787B95" w:rsidRPr="006E42F6" w:rsidRDefault="00787B95" w:rsidP="00787B95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05082" w14:textId="33634DFB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5,1</w:t>
            </w:r>
          </w:p>
        </w:tc>
        <w:tc>
          <w:tcPr>
            <w:tcW w:w="1633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D8C2D" w14:textId="03B366BC" w:rsidR="00787B95" w:rsidRPr="00470CAD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4,7</w:t>
            </w:r>
          </w:p>
        </w:tc>
      </w:tr>
      <w:tr w:rsidR="00787B95" w:rsidRPr="00FD4340" w14:paraId="7C9A8B87" w14:textId="77777777" w:rsidTr="00787B95">
        <w:trPr>
          <w:trHeight w:val="624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C3F17" w14:textId="77777777" w:rsidR="00787B95" w:rsidRPr="00BC0637" w:rsidRDefault="00787B95" w:rsidP="00787B95">
            <w:pPr>
              <w:spacing w:line="276" w:lineRule="auto"/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BC0637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47.11+47.2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D5089" w14:textId="77777777" w:rsidR="00787B95" w:rsidRPr="00BC0637" w:rsidRDefault="00787B95" w:rsidP="00787B95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BC0637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είδη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8949" w14:textId="1478F7E4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bCs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100,6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A9679" w14:textId="77777777" w:rsidR="00787B95" w:rsidRPr="006E42F6" w:rsidRDefault="00787B95" w:rsidP="00787B95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BA1D0" w14:textId="7FCAA524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bCs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5,6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B53CB" w14:textId="1C2E4294" w:rsidR="00787B95" w:rsidRPr="00470CAD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4,7</w:t>
            </w:r>
          </w:p>
        </w:tc>
      </w:tr>
      <w:tr w:rsidR="00787B95" w:rsidRPr="00BC0637" w14:paraId="6BCD9BDB" w14:textId="77777777" w:rsidTr="00787B95">
        <w:trPr>
          <w:trHeight w:val="680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7B2C0" w14:textId="77777777" w:rsidR="00787B95" w:rsidRPr="00BC0637" w:rsidRDefault="00787B95" w:rsidP="00787B95">
            <w:pPr>
              <w:spacing w:line="276" w:lineRule="auto"/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 έως 47.9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16192" w14:textId="77777777" w:rsidR="00787B95" w:rsidRPr="00BC0637" w:rsidRDefault="00787B95" w:rsidP="00787B95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είδη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8CE25" w14:textId="35BCDBD7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bCs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101,0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92C73" w14:textId="77777777" w:rsidR="00787B95" w:rsidRPr="006E42F6" w:rsidRDefault="00787B95" w:rsidP="00787B95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AE46F" w14:textId="294AAA2A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bCs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4,5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A5A0D" w14:textId="306EC5AE" w:rsidR="00787B95" w:rsidRPr="00470CAD" w:rsidRDefault="00787B95" w:rsidP="00787B9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color w:val="2F5496"/>
                <w:sz w:val="18"/>
                <w:szCs w:val="18"/>
              </w:rPr>
              <w:t>4,7</w:t>
            </w:r>
          </w:p>
        </w:tc>
      </w:tr>
      <w:tr w:rsidR="00787B95" w:rsidRPr="00BC0637" w14:paraId="61371ECC" w14:textId="77777777" w:rsidTr="00787B95">
        <w:trPr>
          <w:trHeight w:hRule="exact" w:val="113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1196B" w14:textId="77777777" w:rsidR="00787B95" w:rsidRDefault="00787B95" w:rsidP="00787B95">
            <w:pPr>
              <w:spacing w:line="276" w:lineRule="auto"/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F742" w14:textId="77777777" w:rsidR="00787B95" w:rsidRDefault="00787B95" w:rsidP="00787B95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529391" w14:textId="77777777" w:rsidR="00787B95" w:rsidRPr="006849EF" w:rsidRDefault="00787B95" w:rsidP="00787B95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8F3ED6D" w14:textId="77777777" w:rsidR="00787B95" w:rsidRPr="006E42F6" w:rsidRDefault="00787B95" w:rsidP="00787B95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0E860F0" w14:textId="77777777" w:rsidR="00787B95" w:rsidRPr="006849EF" w:rsidRDefault="00787B95" w:rsidP="00787B95">
            <w:pPr>
              <w:ind w:right="454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DBB839" w14:textId="77777777" w:rsidR="00787B95" w:rsidRPr="006849EF" w:rsidRDefault="00787B95" w:rsidP="00787B95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787B95" w:rsidRPr="006A5C39" w14:paraId="29D82E6B" w14:textId="77777777" w:rsidTr="00787B95">
        <w:trPr>
          <w:trHeight w:val="851"/>
          <w:jc w:val="center"/>
        </w:trPr>
        <w:tc>
          <w:tcPr>
            <w:tcW w:w="180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AA56BE0" w14:textId="77777777" w:rsidR="00787B95" w:rsidRPr="00BC0637" w:rsidRDefault="00787B95" w:rsidP="00787B95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4F620D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379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7283C34" w14:textId="77777777" w:rsidR="00787B95" w:rsidRPr="006E42F6" w:rsidRDefault="00787B95" w:rsidP="00787B95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57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D9A69D6" w14:textId="24A2756F" w:rsidR="00787B95" w:rsidRPr="006C2126" w:rsidRDefault="00787B95" w:rsidP="00787B95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b/>
                <w:color w:val="2F5496"/>
                <w:sz w:val="18"/>
                <w:szCs w:val="18"/>
              </w:rPr>
              <w:t>100,8</w:t>
            </w:r>
          </w:p>
        </w:tc>
        <w:tc>
          <w:tcPr>
            <w:tcW w:w="24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7DB1380" w14:textId="77777777" w:rsidR="00787B95" w:rsidRPr="006E42F6" w:rsidRDefault="00787B95" w:rsidP="00787B95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7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8810C1" w14:textId="077FF945" w:rsidR="00787B95" w:rsidRPr="006C2126" w:rsidRDefault="00787B95" w:rsidP="00787B95">
            <w:pPr>
              <w:ind w:right="454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b/>
                <w:color w:val="2F5496"/>
                <w:sz w:val="18"/>
                <w:szCs w:val="18"/>
              </w:rPr>
              <w:t>5,1</w:t>
            </w:r>
          </w:p>
        </w:tc>
        <w:tc>
          <w:tcPr>
            <w:tcW w:w="163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0F7B499" w14:textId="538A8CA7" w:rsidR="00787B95" w:rsidRPr="006C2126" w:rsidRDefault="00787B95" w:rsidP="00787B95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 w:rsidRPr="00182DFE">
              <w:rPr>
                <w:rFonts w:ascii="Verdana" w:hAnsi="Verdana"/>
                <w:b/>
                <w:color w:val="2F5496"/>
                <w:sz w:val="18"/>
                <w:szCs w:val="18"/>
              </w:rPr>
              <w:t>4,7</w:t>
            </w:r>
          </w:p>
        </w:tc>
      </w:tr>
    </w:tbl>
    <w:p w14:paraId="012AAAFD" w14:textId="77777777" w:rsidR="00F667AD" w:rsidRDefault="00F667AD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409D2154" w14:textId="77777777" w:rsidR="00F667AD" w:rsidRDefault="00F667AD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1321CB59" w14:textId="77777777" w:rsidR="00F667AD" w:rsidRPr="00D65504" w:rsidRDefault="00F667AD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620EF6C8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 xml:space="preserve">λάδου 47 της στατιστικής ταξινόμησης οικονομικών δραστηριοτήτων NACE </w:t>
      </w:r>
      <w:proofErr w:type="spellStart"/>
      <w:r w:rsidRPr="00AE0687">
        <w:rPr>
          <w:rFonts w:ascii="Verdana" w:hAnsi="Verdana"/>
          <w:sz w:val="18"/>
          <w:szCs w:val="18"/>
          <w:lang w:val="el-GR"/>
        </w:rPr>
        <w:t>Αναθ</w:t>
      </w:r>
      <w:proofErr w:type="spellEnd"/>
      <w:r w:rsidRPr="00AE0687">
        <w:rPr>
          <w:rFonts w:ascii="Verdana" w:hAnsi="Verdana"/>
          <w:sz w:val="18"/>
          <w:szCs w:val="18"/>
          <w:lang w:val="el-GR"/>
        </w:rPr>
        <w:t>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68A484E4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573503E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Μέθοδος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Υ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πολογισμού και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Π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ρακτικές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Δ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3E15C165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</w:t>
      </w:r>
      <w:r w:rsidR="00DF02E7" w:rsidRPr="00DF02E7">
        <w:rPr>
          <w:rFonts w:ascii="Verdana" w:hAnsi="Verdana"/>
          <w:sz w:val="18"/>
          <w:szCs w:val="18"/>
          <w:shd w:val="clear" w:color="auto" w:fill="FFFFFF"/>
          <w:lang w:val="el-GR"/>
        </w:rPr>
        <w:t>21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</w:t>
      </w:r>
      <w:r w:rsidR="00DF02E7" w:rsidRPr="00DF02E7">
        <w:rPr>
          <w:rFonts w:ascii="Verdana" w:hAnsi="Verdana"/>
          <w:sz w:val="18"/>
          <w:szCs w:val="18"/>
          <w:shd w:val="clear" w:color="auto" w:fill="FFFFFF"/>
          <w:lang w:val="el-GR"/>
        </w:rPr>
        <w:t>21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για το</w:t>
      </w:r>
      <w:r w:rsidR="008416C2">
        <w:rPr>
          <w:rFonts w:ascii="Verdana" w:hAnsi="Verdana"/>
          <w:sz w:val="18"/>
          <w:szCs w:val="18"/>
          <w:shd w:val="clear" w:color="auto" w:fill="FFFFFF"/>
          <w:lang w:val="el-GR"/>
        </w:rPr>
        <w:t>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</w:t>
      </w:r>
      <w:r w:rsidR="00DF02E7" w:rsidRPr="00DF02E7">
        <w:rPr>
          <w:rFonts w:ascii="Verdana" w:hAnsi="Verdana"/>
          <w:sz w:val="18"/>
          <w:szCs w:val="18"/>
          <w:shd w:val="clear" w:color="auto" w:fill="FFFFFF"/>
          <w:lang w:val="el-GR"/>
        </w:rPr>
        <w:t>21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αποπληθωριστή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04592C20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Αναθ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</w:t>
      </w:r>
      <w:r w:rsidR="00DF02E7" w:rsidRPr="00DF02E7">
        <w:rPr>
          <w:rFonts w:ascii="Verdana" w:hAnsi="Verdana"/>
          <w:sz w:val="18"/>
          <w:szCs w:val="18"/>
          <w:shd w:val="clear" w:color="auto" w:fill="FFFFFF"/>
          <w:lang w:val="el-GR"/>
        </w:rPr>
        <w:t>21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6D3CB9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 καταρτισμός του Δείκτη γίνεται στο πλαίσιο εφαρμογής του </w:t>
      </w:r>
      <w:r w:rsidRPr="006D3CB9">
        <w:rPr>
          <w:rFonts w:ascii="Verdana" w:hAnsi="Verdana"/>
          <w:sz w:val="18"/>
          <w:szCs w:val="18"/>
          <w:lang w:val="el-GR"/>
        </w:rPr>
        <w:t xml:space="preserve">Κανονισμού (ΕΕ) 2019/2152 σχετικά με τις </w:t>
      </w:r>
      <w:r w:rsidRPr="000A066C">
        <w:rPr>
          <w:rFonts w:ascii="Verdana" w:hAnsi="Verdana"/>
          <w:sz w:val="18"/>
          <w:szCs w:val="18"/>
          <w:lang w:val="el-GR"/>
        </w:rPr>
        <w:t>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>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Default="0057334B" w:rsidP="0057334B">
      <w:pPr>
        <w:rPr>
          <w:rStyle w:val="Hyperlink"/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Εμπόριο</w:t>
        </w:r>
      </w:hyperlink>
    </w:p>
    <w:p w14:paraId="07841EB8" w14:textId="77777777" w:rsidR="009E5BFE" w:rsidRDefault="00000000" w:rsidP="009E5BFE">
      <w:pPr>
        <w:rPr>
          <w:rStyle w:val="Hyperlink"/>
          <w:rFonts w:ascii="Verdana" w:hAnsi="Verdana"/>
          <w:sz w:val="18"/>
          <w:szCs w:val="18"/>
          <w:lang w:val="el-GR"/>
        </w:rPr>
      </w:pPr>
      <w:hyperlink r:id="rId10" w:history="1">
        <w:r w:rsidR="009E5BFE" w:rsidRPr="00633D3E">
          <w:rPr>
            <w:rStyle w:val="Hyperlink"/>
            <w:rFonts w:ascii="Verdana" w:hAnsi="Verdana"/>
            <w:sz w:val="18"/>
            <w:szCs w:val="18"/>
            <w:lang w:val="el-GR"/>
          </w:rPr>
          <w:t>Ενημέρωση για την Αλλαγή Έτους Βάσης</w:t>
        </w:r>
      </w:hyperlink>
    </w:p>
    <w:p w14:paraId="172CE6EC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CYSTAT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74A8B737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85E9756" w14:textId="77777777" w:rsidR="009E5BFE" w:rsidRPr="002C7BCF" w:rsidRDefault="009E5BFE" w:rsidP="009E5BFE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Style w:val="markedcontent"/>
          <w:rFonts w:ascii="Verdana" w:hAnsi="Verdana" w:cs="Arial"/>
          <w:b/>
          <w:bCs/>
          <w:sz w:val="18"/>
          <w:szCs w:val="18"/>
          <w:lang w:val="el-GR"/>
        </w:rPr>
        <w:t xml:space="preserve">Τα στοιχεία για το έτος βάσης 2021=100 είναι διαθέσιμα μόνο </w:t>
      </w:r>
      <w:r w:rsidRPr="002C7BCF">
        <w:rPr>
          <w:rStyle w:val="markedcontent"/>
          <w:rFonts w:ascii="Verdana" w:hAnsi="Verdana" w:cs="Arial"/>
          <w:b/>
          <w:bCs/>
          <w:sz w:val="18"/>
          <w:szCs w:val="18"/>
          <w:lang w:val="el-GR"/>
        </w:rPr>
        <w:t xml:space="preserve">στη Βάση Δεδομένων </w:t>
      </w:r>
      <w:r w:rsidRPr="002C7BCF">
        <w:rPr>
          <w:rStyle w:val="markedcontent"/>
          <w:rFonts w:ascii="Verdana" w:hAnsi="Verdana" w:cs="Arial"/>
          <w:b/>
          <w:bCs/>
          <w:sz w:val="18"/>
          <w:szCs w:val="18"/>
        </w:rPr>
        <w:t>CYSTAT</w:t>
      </w:r>
      <w:r w:rsidRPr="002C7BCF">
        <w:rPr>
          <w:rStyle w:val="markedcontent"/>
          <w:rFonts w:ascii="Verdana" w:hAnsi="Verdana" w:cs="Arial"/>
          <w:b/>
          <w:bCs/>
          <w:sz w:val="18"/>
          <w:szCs w:val="18"/>
          <w:lang w:val="el-GR"/>
        </w:rPr>
        <w:t>-</w:t>
      </w:r>
      <w:r w:rsidRPr="002C7BCF">
        <w:rPr>
          <w:rStyle w:val="markedcontent"/>
          <w:rFonts w:ascii="Verdana" w:hAnsi="Verdana" w:cs="Arial"/>
          <w:b/>
          <w:bCs/>
          <w:sz w:val="18"/>
          <w:szCs w:val="18"/>
        </w:rPr>
        <w:t>DB</w:t>
      </w:r>
      <w:r w:rsidRPr="002C7BCF">
        <w:rPr>
          <w:rStyle w:val="markedcontent"/>
          <w:rFonts w:ascii="Verdana" w:hAnsi="Verdana" w:cs="Arial"/>
          <w:sz w:val="18"/>
          <w:szCs w:val="18"/>
          <w:lang w:val="el-GR"/>
        </w:rPr>
        <w:t>.</w:t>
      </w:r>
    </w:p>
    <w:p w14:paraId="2003666C" w14:textId="77777777" w:rsidR="0057334B" w:rsidRPr="00DF02E7" w:rsidRDefault="0057334B" w:rsidP="0057334B">
      <w:pPr>
        <w:jc w:val="both"/>
        <w:rPr>
          <w:rFonts w:ascii="Verdana" w:hAnsi="Verdana"/>
          <w:color w:val="FF0000"/>
          <w:sz w:val="18"/>
          <w:szCs w:val="18"/>
          <w:lang w:val="el-GR"/>
        </w:rPr>
      </w:pPr>
    </w:p>
    <w:p w14:paraId="3D7CF50E" w14:textId="77777777" w:rsidR="0057334B" w:rsidRPr="00DE4034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DE4034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DE4034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Ευαγγελία Ευσταθίου: </w:t>
      </w:r>
      <w:proofErr w:type="spellStart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1" w:name="_Hlk70060227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1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DE4034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DE4034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DE4034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DE403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DE4034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2" w:name="_Hlk70060202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2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DE4034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Pr="00DE4034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1D32E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E84E8" w14:textId="77777777" w:rsidR="001D32E7" w:rsidRDefault="001D32E7" w:rsidP="00FB398F">
      <w:r>
        <w:separator/>
      </w:r>
    </w:p>
  </w:endnote>
  <w:endnote w:type="continuationSeparator" w:id="0">
    <w:p w14:paraId="0D341C4C" w14:textId="77777777" w:rsidR="001D32E7" w:rsidRDefault="001D32E7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FD4340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F5EB3" w14:textId="77777777" w:rsidR="001D32E7" w:rsidRDefault="001D32E7" w:rsidP="00FB398F">
      <w:r>
        <w:separator/>
      </w:r>
    </w:p>
  </w:footnote>
  <w:footnote w:type="continuationSeparator" w:id="0">
    <w:p w14:paraId="10559F61" w14:textId="77777777" w:rsidR="001D32E7" w:rsidRDefault="001D32E7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1DDB94CC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30594">
    <w:abstractNumId w:val="4"/>
  </w:num>
  <w:num w:numId="2" w16cid:durableId="1017536357">
    <w:abstractNumId w:val="1"/>
  </w:num>
  <w:num w:numId="3" w16cid:durableId="695691150">
    <w:abstractNumId w:val="2"/>
  </w:num>
  <w:num w:numId="4" w16cid:durableId="182939523">
    <w:abstractNumId w:val="3"/>
  </w:num>
  <w:num w:numId="5" w16cid:durableId="1438910813">
    <w:abstractNumId w:val="0"/>
  </w:num>
  <w:num w:numId="6" w16cid:durableId="17337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193"/>
    <w:rsid w:val="00013E40"/>
    <w:rsid w:val="000161B1"/>
    <w:rsid w:val="00016991"/>
    <w:rsid w:val="00021B6D"/>
    <w:rsid w:val="0002512C"/>
    <w:rsid w:val="00025A39"/>
    <w:rsid w:val="000277D8"/>
    <w:rsid w:val="00027853"/>
    <w:rsid w:val="00030E18"/>
    <w:rsid w:val="00031D32"/>
    <w:rsid w:val="00032C17"/>
    <w:rsid w:val="00033F8C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3DCD"/>
    <w:rsid w:val="00084A02"/>
    <w:rsid w:val="00084BF7"/>
    <w:rsid w:val="000870E9"/>
    <w:rsid w:val="000932CF"/>
    <w:rsid w:val="00096ED8"/>
    <w:rsid w:val="00097198"/>
    <w:rsid w:val="000A1A88"/>
    <w:rsid w:val="000A2B5C"/>
    <w:rsid w:val="000A3601"/>
    <w:rsid w:val="000A6FA8"/>
    <w:rsid w:val="000B00BD"/>
    <w:rsid w:val="000C1070"/>
    <w:rsid w:val="000C4E72"/>
    <w:rsid w:val="000D03A9"/>
    <w:rsid w:val="000D1E7A"/>
    <w:rsid w:val="000D5DA1"/>
    <w:rsid w:val="000E24B1"/>
    <w:rsid w:val="000E2735"/>
    <w:rsid w:val="000E32D6"/>
    <w:rsid w:val="000E4CB0"/>
    <w:rsid w:val="000E57F2"/>
    <w:rsid w:val="000E72A7"/>
    <w:rsid w:val="000F1162"/>
    <w:rsid w:val="000F2E99"/>
    <w:rsid w:val="000F3467"/>
    <w:rsid w:val="000F38DE"/>
    <w:rsid w:val="000F532A"/>
    <w:rsid w:val="000F5D6C"/>
    <w:rsid w:val="00106852"/>
    <w:rsid w:val="00110F9D"/>
    <w:rsid w:val="00114A67"/>
    <w:rsid w:val="00117C35"/>
    <w:rsid w:val="00124706"/>
    <w:rsid w:val="001253B6"/>
    <w:rsid w:val="001262C3"/>
    <w:rsid w:val="00127320"/>
    <w:rsid w:val="00127456"/>
    <w:rsid w:val="001312D8"/>
    <w:rsid w:val="0013137B"/>
    <w:rsid w:val="00135715"/>
    <w:rsid w:val="00140575"/>
    <w:rsid w:val="0015118B"/>
    <w:rsid w:val="001512B7"/>
    <w:rsid w:val="001519CE"/>
    <w:rsid w:val="00161CF3"/>
    <w:rsid w:val="00162C00"/>
    <w:rsid w:val="001639EF"/>
    <w:rsid w:val="0016589F"/>
    <w:rsid w:val="001712CF"/>
    <w:rsid w:val="0017295C"/>
    <w:rsid w:val="0017769A"/>
    <w:rsid w:val="0018132D"/>
    <w:rsid w:val="00181701"/>
    <w:rsid w:val="00182DFE"/>
    <w:rsid w:val="00183DFC"/>
    <w:rsid w:val="00184384"/>
    <w:rsid w:val="00186717"/>
    <w:rsid w:val="00187356"/>
    <w:rsid w:val="00187FFC"/>
    <w:rsid w:val="0019391C"/>
    <w:rsid w:val="0019636B"/>
    <w:rsid w:val="001A2018"/>
    <w:rsid w:val="001B1C0B"/>
    <w:rsid w:val="001B2C39"/>
    <w:rsid w:val="001B3675"/>
    <w:rsid w:val="001B5E10"/>
    <w:rsid w:val="001B6AB3"/>
    <w:rsid w:val="001B6C56"/>
    <w:rsid w:val="001B73D5"/>
    <w:rsid w:val="001C00EF"/>
    <w:rsid w:val="001C0681"/>
    <w:rsid w:val="001C0E66"/>
    <w:rsid w:val="001C1403"/>
    <w:rsid w:val="001C62B3"/>
    <w:rsid w:val="001C7C8C"/>
    <w:rsid w:val="001D0D6A"/>
    <w:rsid w:val="001D1CE2"/>
    <w:rsid w:val="001D20A4"/>
    <w:rsid w:val="001D32E7"/>
    <w:rsid w:val="001E00D1"/>
    <w:rsid w:val="001E0E58"/>
    <w:rsid w:val="001E14F3"/>
    <w:rsid w:val="001E15ED"/>
    <w:rsid w:val="001E61AA"/>
    <w:rsid w:val="00200909"/>
    <w:rsid w:val="0020309E"/>
    <w:rsid w:val="00205E6A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3704"/>
    <w:rsid w:val="002447D0"/>
    <w:rsid w:val="002454C5"/>
    <w:rsid w:val="00245E19"/>
    <w:rsid w:val="00246AEB"/>
    <w:rsid w:val="00250005"/>
    <w:rsid w:val="00250B32"/>
    <w:rsid w:val="002519C4"/>
    <w:rsid w:val="0025254F"/>
    <w:rsid w:val="0025566D"/>
    <w:rsid w:val="0025595C"/>
    <w:rsid w:val="00257149"/>
    <w:rsid w:val="002576E7"/>
    <w:rsid w:val="00260357"/>
    <w:rsid w:val="00260588"/>
    <w:rsid w:val="002640EA"/>
    <w:rsid w:val="00264F04"/>
    <w:rsid w:val="0026704C"/>
    <w:rsid w:val="00267554"/>
    <w:rsid w:val="0028338F"/>
    <w:rsid w:val="0028740A"/>
    <w:rsid w:val="002915C4"/>
    <w:rsid w:val="00297E6B"/>
    <w:rsid w:val="002A0EAE"/>
    <w:rsid w:val="002A1D1C"/>
    <w:rsid w:val="002A43D0"/>
    <w:rsid w:val="002A4D64"/>
    <w:rsid w:val="002B3979"/>
    <w:rsid w:val="002B4969"/>
    <w:rsid w:val="002B6554"/>
    <w:rsid w:val="002C117F"/>
    <w:rsid w:val="002C4B3E"/>
    <w:rsid w:val="002D018E"/>
    <w:rsid w:val="002D05F0"/>
    <w:rsid w:val="002D2829"/>
    <w:rsid w:val="002D7D4A"/>
    <w:rsid w:val="002E126F"/>
    <w:rsid w:val="002E3846"/>
    <w:rsid w:val="002E3F78"/>
    <w:rsid w:val="002E6EE0"/>
    <w:rsid w:val="002F1D6F"/>
    <w:rsid w:val="002F400C"/>
    <w:rsid w:val="002F485A"/>
    <w:rsid w:val="002F4D76"/>
    <w:rsid w:val="002F6D26"/>
    <w:rsid w:val="002F7BCC"/>
    <w:rsid w:val="00300596"/>
    <w:rsid w:val="0030231E"/>
    <w:rsid w:val="003042C4"/>
    <w:rsid w:val="0030431F"/>
    <w:rsid w:val="00304CB4"/>
    <w:rsid w:val="00313F37"/>
    <w:rsid w:val="003141D0"/>
    <w:rsid w:val="00316065"/>
    <w:rsid w:val="003168C1"/>
    <w:rsid w:val="00321C88"/>
    <w:rsid w:val="00322FBE"/>
    <w:rsid w:val="00325632"/>
    <w:rsid w:val="0032656A"/>
    <w:rsid w:val="00327549"/>
    <w:rsid w:val="003342A5"/>
    <w:rsid w:val="00334616"/>
    <w:rsid w:val="003349AF"/>
    <w:rsid w:val="00336C36"/>
    <w:rsid w:val="00343815"/>
    <w:rsid w:val="003522BB"/>
    <w:rsid w:val="003528C5"/>
    <w:rsid w:val="00352F6C"/>
    <w:rsid w:val="003556EA"/>
    <w:rsid w:val="00364E6D"/>
    <w:rsid w:val="003765FB"/>
    <w:rsid w:val="00381127"/>
    <w:rsid w:val="0038422B"/>
    <w:rsid w:val="00386FC7"/>
    <w:rsid w:val="00390A32"/>
    <w:rsid w:val="003921CA"/>
    <w:rsid w:val="0039285D"/>
    <w:rsid w:val="003A1E91"/>
    <w:rsid w:val="003A27A9"/>
    <w:rsid w:val="003A40F2"/>
    <w:rsid w:val="003A45F9"/>
    <w:rsid w:val="003A5079"/>
    <w:rsid w:val="003A50D1"/>
    <w:rsid w:val="003B0F68"/>
    <w:rsid w:val="003B196D"/>
    <w:rsid w:val="003B2710"/>
    <w:rsid w:val="003B4608"/>
    <w:rsid w:val="003C2392"/>
    <w:rsid w:val="003C41A6"/>
    <w:rsid w:val="003C5174"/>
    <w:rsid w:val="003C5240"/>
    <w:rsid w:val="003C67CD"/>
    <w:rsid w:val="003C76E6"/>
    <w:rsid w:val="003D0D3A"/>
    <w:rsid w:val="003D14E0"/>
    <w:rsid w:val="003D1EA5"/>
    <w:rsid w:val="003D3348"/>
    <w:rsid w:val="003D4E63"/>
    <w:rsid w:val="003D6822"/>
    <w:rsid w:val="003D724C"/>
    <w:rsid w:val="003E0CE2"/>
    <w:rsid w:val="003E1AE2"/>
    <w:rsid w:val="003F49E4"/>
    <w:rsid w:val="003F4D2F"/>
    <w:rsid w:val="003F5E32"/>
    <w:rsid w:val="003F71A0"/>
    <w:rsid w:val="003F75F6"/>
    <w:rsid w:val="00404670"/>
    <w:rsid w:val="004144BC"/>
    <w:rsid w:val="00414CA0"/>
    <w:rsid w:val="004179F0"/>
    <w:rsid w:val="00420B2C"/>
    <w:rsid w:val="00422F54"/>
    <w:rsid w:val="0042524D"/>
    <w:rsid w:val="00431516"/>
    <w:rsid w:val="00432D8F"/>
    <w:rsid w:val="00434B54"/>
    <w:rsid w:val="00435593"/>
    <w:rsid w:val="004361B3"/>
    <w:rsid w:val="0044249D"/>
    <w:rsid w:val="0044379F"/>
    <w:rsid w:val="00444FCC"/>
    <w:rsid w:val="00446FB1"/>
    <w:rsid w:val="00452753"/>
    <w:rsid w:val="00454A96"/>
    <w:rsid w:val="00455051"/>
    <w:rsid w:val="0046078F"/>
    <w:rsid w:val="00461A03"/>
    <w:rsid w:val="00463214"/>
    <w:rsid w:val="0046434D"/>
    <w:rsid w:val="004656FA"/>
    <w:rsid w:val="00470CAD"/>
    <w:rsid w:val="0047110D"/>
    <w:rsid w:val="00471D77"/>
    <w:rsid w:val="0047252C"/>
    <w:rsid w:val="00475587"/>
    <w:rsid w:val="00476CE2"/>
    <w:rsid w:val="00480BC2"/>
    <w:rsid w:val="004845C3"/>
    <w:rsid w:val="00485A9E"/>
    <w:rsid w:val="004929C2"/>
    <w:rsid w:val="00493FDD"/>
    <w:rsid w:val="0049586B"/>
    <w:rsid w:val="004A1D78"/>
    <w:rsid w:val="004A3E44"/>
    <w:rsid w:val="004B2018"/>
    <w:rsid w:val="004B2896"/>
    <w:rsid w:val="004B38E9"/>
    <w:rsid w:val="004B3F00"/>
    <w:rsid w:val="004B3FBA"/>
    <w:rsid w:val="004B643D"/>
    <w:rsid w:val="004B6599"/>
    <w:rsid w:val="004C1F7E"/>
    <w:rsid w:val="004C2B9A"/>
    <w:rsid w:val="004C6CA7"/>
    <w:rsid w:val="004D4357"/>
    <w:rsid w:val="004D4950"/>
    <w:rsid w:val="004E0EE4"/>
    <w:rsid w:val="004E2393"/>
    <w:rsid w:val="004E3450"/>
    <w:rsid w:val="004E3745"/>
    <w:rsid w:val="004E42BE"/>
    <w:rsid w:val="004E4A61"/>
    <w:rsid w:val="004E4F42"/>
    <w:rsid w:val="004E5A67"/>
    <w:rsid w:val="004E63D5"/>
    <w:rsid w:val="004F03FD"/>
    <w:rsid w:val="004F0AA8"/>
    <w:rsid w:val="004F52F0"/>
    <w:rsid w:val="004F6250"/>
    <w:rsid w:val="004F677C"/>
    <w:rsid w:val="004F6D8F"/>
    <w:rsid w:val="00505503"/>
    <w:rsid w:val="0051107B"/>
    <w:rsid w:val="00512F9C"/>
    <w:rsid w:val="0051717D"/>
    <w:rsid w:val="00522D03"/>
    <w:rsid w:val="0052770E"/>
    <w:rsid w:val="00527CDB"/>
    <w:rsid w:val="00530735"/>
    <w:rsid w:val="00532282"/>
    <w:rsid w:val="0053340D"/>
    <w:rsid w:val="005341C9"/>
    <w:rsid w:val="005369CA"/>
    <w:rsid w:val="00536DE9"/>
    <w:rsid w:val="0053702F"/>
    <w:rsid w:val="00540A81"/>
    <w:rsid w:val="00541E08"/>
    <w:rsid w:val="00554FE0"/>
    <w:rsid w:val="0055789A"/>
    <w:rsid w:val="00560952"/>
    <w:rsid w:val="00561EB7"/>
    <w:rsid w:val="005652D1"/>
    <w:rsid w:val="005660A0"/>
    <w:rsid w:val="00566A4F"/>
    <w:rsid w:val="00566AE8"/>
    <w:rsid w:val="00567D64"/>
    <w:rsid w:val="005730BF"/>
    <w:rsid w:val="0057334B"/>
    <w:rsid w:val="00575AFD"/>
    <w:rsid w:val="00586CDD"/>
    <w:rsid w:val="005978D4"/>
    <w:rsid w:val="005A23FA"/>
    <w:rsid w:val="005B2A67"/>
    <w:rsid w:val="005B3DCD"/>
    <w:rsid w:val="005B4556"/>
    <w:rsid w:val="005B4AD4"/>
    <w:rsid w:val="005C2798"/>
    <w:rsid w:val="005C36C3"/>
    <w:rsid w:val="005C56EE"/>
    <w:rsid w:val="005D1714"/>
    <w:rsid w:val="005D7638"/>
    <w:rsid w:val="005E5D1F"/>
    <w:rsid w:val="005E75D2"/>
    <w:rsid w:val="005F12F5"/>
    <w:rsid w:val="005F1C20"/>
    <w:rsid w:val="005F7C7D"/>
    <w:rsid w:val="006011A7"/>
    <w:rsid w:val="006044B7"/>
    <w:rsid w:val="006071CE"/>
    <w:rsid w:val="00607567"/>
    <w:rsid w:val="006075B5"/>
    <w:rsid w:val="0061018C"/>
    <w:rsid w:val="0061094E"/>
    <w:rsid w:val="0061198F"/>
    <w:rsid w:val="00613440"/>
    <w:rsid w:val="00613BE3"/>
    <w:rsid w:val="0062327B"/>
    <w:rsid w:val="00626B12"/>
    <w:rsid w:val="00632777"/>
    <w:rsid w:val="00633729"/>
    <w:rsid w:val="00633750"/>
    <w:rsid w:val="00634491"/>
    <w:rsid w:val="0063679C"/>
    <w:rsid w:val="00637055"/>
    <w:rsid w:val="00641D59"/>
    <w:rsid w:val="006425C6"/>
    <w:rsid w:val="00644507"/>
    <w:rsid w:val="00646880"/>
    <w:rsid w:val="006474DF"/>
    <w:rsid w:val="00647D2A"/>
    <w:rsid w:val="006537BB"/>
    <w:rsid w:val="0065643E"/>
    <w:rsid w:val="0066658B"/>
    <w:rsid w:val="00667D02"/>
    <w:rsid w:val="00667E07"/>
    <w:rsid w:val="00671785"/>
    <w:rsid w:val="00672BA9"/>
    <w:rsid w:val="00673005"/>
    <w:rsid w:val="006739F8"/>
    <w:rsid w:val="00676D19"/>
    <w:rsid w:val="006804BE"/>
    <w:rsid w:val="0068434A"/>
    <w:rsid w:val="0069008E"/>
    <w:rsid w:val="0069087E"/>
    <w:rsid w:val="006925C4"/>
    <w:rsid w:val="006950C1"/>
    <w:rsid w:val="006A02B7"/>
    <w:rsid w:val="006A1BAF"/>
    <w:rsid w:val="006A5C39"/>
    <w:rsid w:val="006A7019"/>
    <w:rsid w:val="006B46D5"/>
    <w:rsid w:val="006B46F4"/>
    <w:rsid w:val="006C2126"/>
    <w:rsid w:val="006C2168"/>
    <w:rsid w:val="006C7AF3"/>
    <w:rsid w:val="006D0B9D"/>
    <w:rsid w:val="006D3CB9"/>
    <w:rsid w:val="006D6548"/>
    <w:rsid w:val="006E0E20"/>
    <w:rsid w:val="006E10E1"/>
    <w:rsid w:val="006E4256"/>
    <w:rsid w:val="006E4BBA"/>
    <w:rsid w:val="006E5F43"/>
    <w:rsid w:val="006E60A6"/>
    <w:rsid w:val="006F0F69"/>
    <w:rsid w:val="006F116B"/>
    <w:rsid w:val="006F117F"/>
    <w:rsid w:val="006F13DF"/>
    <w:rsid w:val="006F1BB6"/>
    <w:rsid w:val="006F2780"/>
    <w:rsid w:val="006F5B4B"/>
    <w:rsid w:val="006F72EF"/>
    <w:rsid w:val="00702F26"/>
    <w:rsid w:val="0070313E"/>
    <w:rsid w:val="00703799"/>
    <w:rsid w:val="00705C5C"/>
    <w:rsid w:val="00706381"/>
    <w:rsid w:val="00710C26"/>
    <w:rsid w:val="00711475"/>
    <w:rsid w:val="007114D7"/>
    <w:rsid w:val="007166F8"/>
    <w:rsid w:val="0072548A"/>
    <w:rsid w:val="007277A6"/>
    <w:rsid w:val="0074078D"/>
    <w:rsid w:val="00741DBE"/>
    <w:rsid w:val="00741E34"/>
    <w:rsid w:val="007437AB"/>
    <w:rsid w:val="00745425"/>
    <w:rsid w:val="00750B5F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87B95"/>
    <w:rsid w:val="0079043B"/>
    <w:rsid w:val="00792F28"/>
    <w:rsid w:val="007935CA"/>
    <w:rsid w:val="00793758"/>
    <w:rsid w:val="0079543F"/>
    <w:rsid w:val="00795880"/>
    <w:rsid w:val="007A32EF"/>
    <w:rsid w:val="007A4367"/>
    <w:rsid w:val="007B0867"/>
    <w:rsid w:val="007B14CA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0A42"/>
    <w:rsid w:val="00801793"/>
    <w:rsid w:val="00803642"/>
    <w:rsid w:val="00803D2C"/>
    <w:rsid w:val="00806EA2"/>
    <w:rsid w:val="008109D2"/>
    <w:rsid w:val="00812A2B"/>
    <w:rsid w:val="00814A4C"/>
    <w:rsid w:val="00820B72"/>
    <w:rsid w:val="00821730"/>
    <w:rsid w:val="00830D39"/>
    <w:rsid w:val="00831223"/>
    <w:rsid w:val="00831AAB"/>
    <w:rsid w:val="00833BCD"/>
    <w:rsid w:val="00834B82"/>
    <w:rsid w:val="0083574E"/>
    <w:rsid w:val="0083640C"/>
    <w:rsid w:val="008374E3"/>
    <w:rsid w:val="0084157B"/>
    <w:rsid w:val="008416C2"/>
    <w:rsid w:val="00842BFB"/>
    <w:rsid w:val="00846B85"/>
    <w:rsid w:val="00847DC3"/>
    <w:rsid w:val="00847F49"/>
    <w:rsid w:val="008535C5"/>
    <w:rsid w:val="00853765"/>
    <w:rsid w:val="0085516F"/>
    <w:rsid w:val="008570F8"/>
    <w:rsid w:val="00867186"/>
    <w:rsid w:val="00870AF6"/>
    <w:rsid w:val="0087301A"/>
    <w:rsid w:val="00876A70"/>
    <w:rsid w:val="00877452"/>
    <w:rsid w:val="00881268"/>
    <w:rsid w:val="008812A3"/>
    <w:rsid w:val="0088394A"/>
    <w:rsid w:val="0088415B"/>
    <w:rsid w:val="008860BD"/>
    <w:rsid w:val="00887399"/>
    <w:rsid w:val="0088779E"/>
    <w:rsid w:val="008901D6"/>
    <w:rsid w:val="008912AF"/>
    <w:rsid w:val="008913D2"/>
    <w:rsid w:val="00892114"/>
    <w:rsid w:val="008927F1"/>
    <w:rsid w:val="00892CB9"/>
    <w:rsid w:val="008935CB"/>
    <w:rsid w:val="008A1430"/>
    <w:rsid w:val="008A31D1"/>
    <w:rsid w:val="008B0E7E"/>
    <w:rsid w:val="008B4771"/>
    <w:rsid w:val="008B65BD"/>
    <w:rsid w:val="008B7900"/>
    <w:rsid w:val="008C3E4F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041AB"/>
    <w:rsid w:val="00914A23"/>
    <w:rsid w:val="00915D26"/>
    <w:rsid w:val="00922C11"/>
    <w:rsid w:val="00930754"/>
    <w:rsid w:val="00934F68"/>
    <w:rsid w:val="009355AC"/>
    <w:rsid w:val="00935F38"/>
    <w:rsid w:val="00937586"/>
    <w:rsid w:val="009400B6"/>
    <w:rsid w:val="009419AB"/>
    <w:rsid w:val="00947889"/>
    <w:rsid w:val="009478BD"/>
    <w:rsid w:val="00960DC6"/>
    <w:rsid w:val="00960E98"/>
    <w:rsid w:val="00962F2D"/>
    <w:rsid w:val="00963A82"/>
    <w:rsid w:val="00963CD5"/>
    <w:rsid w:val="00970904"/>
    <w:rsid w:val="00972912"/>
    <w:rsid w:val="00973BFC"/>
    <w:rsid w:val="00976D1F"/>
    <w:rsid w:val="00981C81"/>
    <w:rsid w:val="00987BF4"/>
    <w:rsid w:val="009A2D24"/>
    <w:rsid w:val="009A456C"/>
    <w:rsid w:val="009B00E0"/>
    <w:rsid w:val="009B292A"/>
    <w:rsid w:val="009B3B72"/>
    <w:rsid w:val="009B6E6C"/>
    <w:rsid w:val="009B76D5"/>
    <w:rsid w:val="009C165D"/>
    <w:rsid w:val="009C3CEA"/>
    <w:rsid w:val="009C583D"/>
    <w:rsid w:val="009D2611"/>
    <w:rsid w:val="009D43A0"/>
    <w:rsid w:val="009D79D2"/>
    <w:rsid w:val="009D7AE9"/>
    <w:rsid w:val="009E0A17"/>
    <w:rsid w:val="009E0BFA"/>
    <w:rsid w:val="009E247C"/>
    <w:rsid w:val="009E31BA"/>
    <w:rsid w:val="009E5BFE"/>
    <w:rsid w:val="009E7952"/>
    <w:rsid w:val="009F0528"/>
    <w:rsid w:val="009F0806"/>
    <w:rsid w:val="009F233B"/>
    <w:rsid w:val="00A05D16"/>
    <w:rsid w:val="00A0659F"/>
    <w:rsid w:val="00A079BA"/>
    <w:rsid w:val="00A13B79"/>
    <w:rsid w:val="00A13FCE"/>
    <w:rsid w:val="00A14E8C"/>
    <w:rsid w:val="00A20C70"/>
    <w:rsid w:val="00A24F5D"/>
    <w:rsid w:val="00A33875"/>
    <w:rsid w:val="00A360A1"/>
    <w:rsid w:val="00A402B3"/>
    <w:rsid w:val="00A544B7"/>
    <w:rsid w:val="00A568D0"/>
    <w:rsid w:val="00A618CF"/>
    <w:rsid w:val="00A62770"/>
    <w:rsid w:val="00A62EEB"/>
    <w:rsid w:val="00A63CCB"/>
    <w:rsid w:val="00A660FF"/>
    <w:rsid w:val="00A7317B"/>
    <w:rsid w:val="00A73395"/>
    <w:rsid w:val="00A771E3"/>
    <w:rsid w:val="00A82B4C"/>
    <w:rsid w:val="00A8452A"/>
    <w:rsid w:val="00A93A4C"/>
    <w:rsid w:val="00A94D5D"/>
    <w:rsid w:val="00A94DAD"/>
    <w:rsid w:val="00A97432"/>
    <w:rsid w:val="00AA1D9B"/>
    <w:rsid w:val="00AA2543"/>
    <w:rsid w:val="00AA3804"/>
    <w:rsid w:val="00AA55C2"/>
    <w:rsid w:val="00AB0ACA"/>
    <w:rsid w:val="00AB1D41"/>
    <w:rsid w:val="00AC3011"/>
    <w:rsid w:val="00AC5E9A"/>
    <w:rsid w:val="00AC704B"/>
    <w:rsid w:val="00AD43D2"/>
    <w:rsid w:val="00AD553E"/>
    <w:rsid w:val="00AD5848"/>
    <w:rsid w:val="00AE317D"/>
    <w:rsid w:val="00AE5ADA"/>
    <w:rsid w:val="00AF5352"/>
    <w:rsid w:val="00AF57F1"/>
    <w:rsid w:val="00AF6145"/>
    <w:rsid w:val="00AF70D2"/>
    <w:rsid w:val="00B01386"/>
    <w:rsid w:val="00B01915"/>
    <w:rsid w:val="00B01BB5"/>
    <w:rsid w:val="00B026CC"/>
    <w:rsid w:val="00B04AF4"/>
    <w:rsid w:val="00B05214"/>
    <w:rsid w:val="00B1041C"/>
    <w:rsid w:val="00B21849"/>
    <w:rsid w:val="00B30D97"/>
    <w:rsid w:val="00B31074"/>
    <w:rsid w:val="00B3181A"/>
    <w:rsid w:val="00B35A7C"/>
    <w:rsid w:val="00B44ECD"/>
    <w:rsid w:val="00B450D1"/>
    <w:rsid w:val="00B45E3D"/>
    <w:rsid w:val="00B472AA"/>
    <w:rsid w:val="00B47780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85A8D"/>
    <w:rsid w:val="00B93668"/>
    <w:rsid w:val="00B950EE"/>
    <w:rsid w:val="00B96AAB"/>
    <w:rsid w:val="00BA06C0"/>
    <w:rsid w:val="00BA2A52"/>
    <w:rsid w:val="00BA68C6"/>
    <w:rsid w:val="00BB12F1"/>
    <w:rsid w:val="00BB276E"/>
    <w:rsid w:val="00BB3FEE"/>
    <w:rsid w:val="00BB5EB0"/>
    <w:rsid w:val="00BC0637"/>
    <w:rsid w:val="00BC245A"/>
    <w:rsid w:val="00BC3978"/>
    <w:rsid w:val="00BC3B0D"/>
    <w:rsid w:val="00BC5F29"/>
    <w:rsid w:val="00BC63B7"/>
    <w:rsid w:val="00BD12BE"/>
    <w:rsid w:val="00BD16FA"/>
    <w:rsid w:val="00BD3144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3770"/>
    <w:rsid w:val="00BF5755"/>
    <w:rsid w:val="00BF684B"/>
    <w:rsid w:val="00C0014C"/>
    <w:rsid w:val="00C016F3"/>
    <w:rsid w:val="00C03352"/>
    <w:rsid w:val="00C15193"/>
    <w:rsid w:val="00C15609"/>
    <w:rsid w:val="00C15F6A"/>
    <w:rsid w:val="00C22604"/>
    <w:rsid w:val="00C23EA7"/>
    <w:rsid w:val="00C256F3"/>
    <w:rsid w:val="00C270A2"/>
    <w:rsid w:val="00C315B5"/>
    <w:rsid w:val="00C347CE"/>
    <w:rsid w:val="00C356C9"/>
    <w:rsid w:val="00C35E28"/>
    <w:rsid w:val="00C426AF"/>
    <w:rsid w:val="00C4518C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4B0"/>
    <w:rsid w:val="00C66F2E"/>
    <w:rsid w:val="00C6785C"/>
    <w:rsid w:val="00C70FD1"/>
    <w:rsid w:val="00C72B76"/>
    <w:rsid w:val="00C733AA"/>
    <w:rsid w:val="00C811E4"/>
    <w:rsid w:val="00C824F5"/>
    <w:rsid w:val="00C83027"/>
    <w:rsid w:val="00C83804"/>
    <w:rsid w:val="00C84B8A"/>
    <w:rsid w:val="00C85E65"/>
    <w:rsid w:val="00C86AE8"/>
    <w:rsid w:val="00C86CE9"/>
    <w:rsid w:val="00C87CA1"/>
    <w:rsid w:val="00C90E11"/>
    <w:rsid w:val="00C911B4"/>
    <w:rsid w:val="00C91B3B"/>
    <w:rsid w:val="00C94262"/>
    <w:rsid w:val="00C94D1D"/>
    <w:rsid w:val="00C976E1"/>
    <w:rsid w:val="00CA148E"/>
    <w:rsid w:val="00CA3A9A"/>
    <w:rsid w:val="00CB6BC1"/>
    <w:rsid w:val="00CB7021"/>
    <w:rsid w:val="00CB7D62"/>
    <w:rsid w:val="00CD2ED8"/>
    <w:rsid w:val="00CD3294"/>
    <w:rsid w:val="00CD4524"/>
    <w:rsid w:val="00CD784D"/>
    <w:rsid w:val="00CE10B0"/>
    <w:rsid w:val="00CE2A95"/>
    <w:rsid w:val="00CF3A1C"/>
    <w:rsid w:val="00CF40F8"/>
    <w:rsid w:val="00CF4B8D"/>
    <w:rsid w:val="00D008DA"/>
    <w:rsid w:val="00D0416F"/>
    <w:rsid w:val="00D05851"/>
    <w:rsid w:val="00D10FED"/>
    <w:rsid w:val="00D11736"/>
    <w:rsid w:val="00D121A6"/>
    <w:rsid w:val="00D12EE8"/>
    <w:rsid w:val="00D13430"/>
    <w:rsid w:val="00D14CDF"/>
    <w:rsid w:val="00D15FF1"/>
    <w:rsid w:val="00D167F4"/>
    <w:rsid w:val="00D2092A"/>
    <w:rsid w:val="00D219B5"/>
    <w:rsid w:val="00D2216D"/>
    <w:rsid w:val="00D24FA5"/>
    <w:rsid w:val="00D2643B"/>
    <w:rsid w:val="00D31A6F"/>
    <w:rsid w:val="00D353D1"/>
    <w:rsid w:val="00D367DB"/>
    <w:rsid w:val="00D3683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6407C"/>
    <w:rsid w:val="00D70D36"/>
    <w:rsid w:val="00D74119"/>
    <w:rsid w:val="00D76249"/>
    <w:rsid w:val="00D77DB9"/>
    <w:rsid w:val="00D80271"/>
    <w:rsid w:val="00D841C6"/>
    <w:rsid w:val="00D859AF"/>
    <w:rsid w:val="00D900B0"/>
    <w:rsid w:val="00D945A0"/>
    <w:rsid w:val="00D969B4"/>
    <w:rsid w:val="00DA27BD"/>
    <w:rsid w:val="00DA6AE0"/>
    <w:rsid w:val="00DA7D12"/>
    <w:rsid w:val="00DC21D7"/>
    <w:rsid w:val="00DC23CF"/>
    <w:rsid w:val="00DC37A3"/>
    <w:rsid w:val="00DC6562"/>
    <w:rsid w:val="00DE0550"/>
    <w:rsid w:val="00DE130D"/>
    <w:rsid w:val="00DE24CF"/>
    <w:rsid w:val="00DE4034"/>
    <w:rsid w:val="00DE407C"/>
    <w:rsid w:val="00DE7C7D"/>
    <w:rsid w:val="00DF02E7"/>
    <w:rsid w:val="00DF1BB4"/>
    <w:rsid w:val="00DF2992"/>
    <w:rsid w:val="00DF2D0C"/>
    <w:rsid w:val="00E00058"/>
    <w:rsid w:val="00E01B9D"/>
    <w:rsid w:val="00E02C9B"/>
    <w:rsid w:val="00E0468F"/>
    <w:rsid w:val="00E04F5E"/>
    <w:rsid w:val="00E0522E"/>
    <w:rsid w:val="00E120F4"/>
    <w:rsid w:val="00E13BAE"/>
    <w:rsid w:val="00E17172"/>
    <w:rsid w:val="00E17802"/>
    <w:rsid w:val="00E22847"/>
    <w:rsid w:val="00E22F01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47329"/>
    <w:rsid w:val="00E5066A"/>
    <w:rsid w:val="00E52CF9"/>
    <w:rsid w:val="00E54C7F"/>
    <w:rsid w:val="00E63F34"/>
    <w:rsid w:val="00E63FEA"/>
    <w:rsid w:val="00E65719"/>
    <w:rsid w:val="00E6715A"/>
    <w:rsid w:val="00E72120"/>
    <w:rsid w:val="00E72956"/>
    <w:rsid w:val="00E75DC9"/>
    <w:rsid w:val="00E81610"/>
    <w:rsid w:val="00E81BA9"/>
    <w:rsid w:val="00E84910"/>
    <w:rsid w:val="00E85B28"/>
    <w:rsid w:val="00E905DD"/>
    <w:rsid w:val="00E91976"/>
    <w:rsid w:val="00E947A6"/>
    <w:rsid w:val="00E97FC7"/>
    <w:rsid w:val="00EA0690"/>
    <w:rsid w:val="00EA3956"/>
    <w:rsid w:val="00EA3EBA"/>
    <w:rsid w:val="00EA7136"/>
    <w:rsid w:val="00EB325A"/>
    <w:rsid w:val="00EC02A5"/>
    <w:rsid w:val="00EC176B"/>
    <w:rsid w:val="00EC33CD"/>
    <w:rsid w:val="00EC5BE5"/>
    <w:rsid w:val="00EC698A"/>
    <w:rsid w:val="00ED2650"/>
    <w:rsid w:val="00ED483B"/>
    <w:rsid w:val="00ED721A"/>
    <w:rsid w:val="00EE2D21"/>
    <w:rsid w:val="00EE393D"/>
    <w:rsid w:val="00EF01CF"/>
    <w:rsid w:val="00EF6A47"/>
    <w:rsid w:val="00EF7AF9"/>
    <w:rsid w:val="00EF7E25"/>
    <w:rsid w:val="00F00952"/>
    <w:rsid w:val="00F01495"/>
    <w:rsid w:val="00F10138"/>
    <w:rsid w:val="00F1060D"/>
    <w:rsid w:val="00F10A0B"/>
    <w:rsid w:val="00F122E0"/>
    <w:rsid w:val="00F12D2B"/>
    <w:rsid w:val="00F13F92"/>
    <w:rsid w:val="00F143F7"/>
    <w:rsid w:val="00F2279E"/>
    <w:rsid w:val="00F22ECA"/>
    <w:rsid w:val="00F240E8"/>
    <w:rsid w:val="00F243B7"/>
    <w:rsid w:val="00F244FA"/>
    <w:rsid w:val="00F24812"/>
    <w:rsid w:val="00F24BE4"/>
    <w:rsid w:val="00F363E8"/>
    <w:rsid w:val="00F365F7"/>
    <w:rsid w:val="00F366A2"/>
    <w:rsid w:val="00F41465"/>
    <w:rsid w:val="00F447FD"/>
    <w:rsid w:val="00F448C1"/>
    <w:rsid w:val="00F44F43"/>
    <w:rsid w:val="00F450E1"/>
    <w:rsid w:val="00F50DF4"/>
    <w:rsid w:val="00F57AFE"/>
    <w:rsid w:val="00F6278E"/>
    <w:rsid w:val="00F63C41"/>
    <w:rsid w:val="00F63E96"/>
    <w:rsid w:val="00F667AD"/>
    <w:rsid w:val="00F701E3"/>
    <w:rsid w:val="00F71008"/>
    <w:rsid w:val="00F719F2"/>
    <w:rsid w:val="00F71F8C"/>
    <w:rsid w:val="00F76D90"/>
    <w:rsid w:val="00F8076F"/>
    <w:rsid w:val="00F86AD4"/>
    <w:rsid w:val="00F955CC"/>
    <w:rsid w:val="00F97E2B"/>
    <w:rsid w:val="00FA0113"/>
    <w:rsid w:val="00FA1235"/>
    <w:rsid w:val="00FA12B2"/>
    <w:rsid w:val="00FA7610"/>
    <w:rsid w:val="00FB02BD"/>
    <w:rsid w:val="00FB1C2E"/>
    <w:rsid w:val="00FB398F"/>
    <w:rsid w:val="00FB4983"/>
    <w:rsid w:val="00FB4EF8"/>
    <w:rsid w:val="00FB54AE"/>
    <w:rsid w:val="00FB709A"/>
    <w:rsid w:val="00FB78DD"/>
    <w:rsid w:val="00FC314E"/>
    <w:rsid w:val="00FC3C00"/>
    <w:rsid w:val="00FC3EF3"/>
    <w:rsid w:val="00FC509C"/>
    <w:rsid w:val="00FC55AF"/>
    <w:rsid w:val="00FC5D35"/>
    <w:rsid w:val="00FC68C3"/>
    <w:rsid w:val="00FD1823"/>
    <w:rsid w:val="00FD2049"/>
    <w:rsid w:val="00FD2140"/>
    <w:rsid w:val="00FD43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customStyle="1" w:styleId="markedcontent">
    <w:name w:val="markedcontent"/>
    <w:basedOn w:val="DefaultParagraphFont"/>
    <w:rsid w:val="009E5BFE"/>
  </w:style>
  <w:style w:type="character" w:styleId="FollowedHyperlink">
    <w:name w:val="FollowedHyperlink"/>
    <w:basedOn w:val="DefaultParagraphFont"/>
    <w:uiPriority w:val="99"/>
    <w:semiHidden/>
    <w:unhideWhenUsed/>
    <w:rsid w:val="00182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KeyFiguresList?s=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statdb.cystat.gov.cy/pxweb/el/8.CYSTAT-DB/8.CYSTAT-DB__Trade_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ystat.gov.cy/el/PressRelease?id=69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534</cp:revision>
  <cp:lastPrinted>2024-01-02T09:35:00Z</cp:lastPrinted>
  <dcterms:created xsi:type="dcterms:W3CDTF">2023-02-28T12:40:00Z</dcterms:created>
  <dcterms:modified xsi:type="dcterms:W3CDTF">2024-04-03T08:29:00Z</dcterms:modified>
</cp:coreProperties>
</file>