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5652585A" w:rsidR="008C6CFC" w:rsidRPr="001F6211" w:rsidRDefault="007C5262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 w:rsidRPr="001F6211">
        <w:rPr>
          <w:rFonts w:ascii="Verdana" w:hAnsi="Verdana" w:cs="Arial"/>
          <w:sz w:val="18"/>
          <w:szCs w:val="18"/>
        </w:rPr>
        <w:t>4</w:t>
      </w:r>
      <w:r w:rsidR="000A2E87" w:rsidRPr="001F6211">
        <w:rPr>
          <w:rFonts w:ascii="Verdana" w:hAnsi="Verdana" w:cs="Arial"/>
          <w:sz w:val="18"/>
          <w:szCs w:val="18"/>
        </w:rPr>
        <w:t xml:space="preserve"> </w:t>
      </w:r>
      <w:r w:rsidRPr="001F6211">
        <w:rPr>
          <w:rFonts w:ascii="Verdana" w:hAnsi="Verdana" w:cs="Arial"/>
          <w:sz w:val="18"/>
          <w:szCs w:val="18"/>
        </w:rPr>
        <w:t>March</w:t>
      </w:r>
      <w:r w:rsidR="008C6CFC" w:rsidRPr="001F6211">
        <w:rPr>
          <w:rFonts w:ascii="Verdana" w:hAnsi="Verdana" w:cs="Arial"/>
          <w:sz w:val="18"/>
          <w:szCs w:val="18"/>
          <w:lang w:val="en-GB"/>
        </w:rPr>
        <w:t>,</w:t>
      </w:r>
      <w:r w:rsidR="008C6CFC" w:rsidRPr="001F6211">
        <w:rPr>
          <w:rFonts w:ascii="Verdana" w:eastAsia="Malgun Gothic" w:hAnsi="Verdana" w:cs="Arial"/>
          <w:sz w:val="18"/>
          <w:szCs w:val="18"/>
        </w:rPr>
        <w:t xml:space="preserve"> 202</w:t>
      </w:r>
      <w:r w:rsidR="009D10A2" w:rsidRPr="001F6211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2CF9F012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="0041722D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7C5262" w:rsidRPr="007C5262">
        <w:rPr>
          <w:rFonts w:ascii="Verdana" w:eastAsia="Times New Roman" w:hAnsi="Verdana"/>
          <w:b/>
          <w:u w:val="single"/>
          <w:shd w:val="clear" w:color="auto" w:fill="FFFFFF"/>
        </w:rPr>
        <w:t xml:space="preserve">JANUARY </w:t>
      </w:r>
      <w:r w:rsidRPr="007C5262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7C5262" w:rsidRPr="007C5262">
        <w:rPr>
          <w:rFonts w:ascii="Verdana" w:eastAsia="Times New Roman" w:hAnsi="Verdana"/>
          <w:b/>
          <w:u w:val="single"/>
          <w:shd w:val="clear" w:color="auto" w:fill="FFFFFF"/>
        </w:rPr>
        <w:t>5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245DD37B" w:rsidR="008C6CFC" w:rsidRPr="001F6211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1F6211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1F6211">
        <w:rPr>
          <w:rFonts w:ascii="Verdana" w:eastAsia="Malgun Gothic" w:hAnsi="Verdana" w:cs="Arial"/>
          <w:b/>
          <w:bCs/>
        </w:rPr>
        <w:t>C</w:t>
      </w:r>
      <w:r w:rsidRPr="001F6211">
        <w:rPr>
          <w:rFonts w:ascii="Verdana" w:eastAsia="Malgun Gothic" w:hAnsi="Verdana" w:cs="Arial"/>
          <w:b/>
          <w:bCs/>
          <w:lang w:val="en-GB"/>
        </w:rPr>
        <w:t>hange</w:t>
      </w:r>
      <w:r w:rsidRPr="001F6211">
        <w:rPr>
          <w:rFonts w:ascii="Verdana" w:eastAsia="Malgun Gothic" w:hAnsi="Verdana" w:cs="Arial"/>
          <w:b/>
          <w:bCs/>
        </w:rPr>
        <w:t xml:space="preserve"> +</w:t>
      </w:r>
      <w:r w:rsidR="001F6211" w:rsidRPr="001F6211">
        <w:rPr>
          <w:rFonts w:ascii="Verdana" w:eastAsia="Malgun Gothic" w:hAnsi="Verdana" w:cs="Arial"/>
          <w:b/>
          <w:bCs/>
        </w:rPr>
        <w:t>4</w:t>
      </w:r>
      <w:r w:rsidRPr="001F6211">
        <w:rPr>
          <w:rFonts w:ascii="Verdana" w:eastAsia="Malgun Gothic" w:hAnsi="Verdana" w:cs="Arial"/>
          <w:b/>
          <w:bCs/>
        </w:rPr>
        <w:t>,</w:t>
      </w:r>
      <w:r w:rsidR="005C098D" w:rsidRPr="001F6211">
        <w:rPr>
          <w:rFonts w:ascii="Verdana" w:eastAsia="Malgun Gothic" w:hAnsi="Verdana" w:cs="Arial"/>
          <w:b/>
          <w:bCs/>
        </w:rPr>
        <w:t>8</w:t>
      </w:r>
      <w:r w:rsidRPr="001F6211">
        <w:rPr>
          <w:rFonts w:ascii="Verdana" w:eastAsia="Malgun Gothic" w:hAnsi="Verdana" w:cs="Arial"/>
          <w:b/>
          <w:bCs/>
        </w:rPr>
        <w:t xml:space="preserve">% in </w:t>
      </w:r>
      <w:r w:rsidR="00F30687" w:rsidRPr="001F6211">
        <w:rPr>
          <w:rFonts w:ascii="Verdana" w:eastAsia="Malgun Gothic" w:hAnsi="Verdana" w:cs="Arial"/>
          <w:b/>
          <w:bCs/>
        </w:rPr>
        <w:t>V</w:t>
      </w:r>
      <w:r w:rsidRPr="001F6211">
        <w:rPr>
          <w:rFonts w:ascii="Verdana" w:eastAsia="Malgun Gothic" w:hAnsi="Verdana" w:cs="Arial"/>
          <w:b/>
          <w:bCs/>
        </w:rPr>
        <w:t xml:space="preserve">alue and </w:t>
      </w:r>
      <w:r w:rsidR="002B0328" w:rsidRPr="001F6211">
        <w:rPr>
          <w:rFonts w:ascii="Verdana" w:eastAsia="Malgun Gothic" w:hAnsi="Verdana" w:cs="Arial"/>
          <w:b/>
          <w:bCs/>
        </w:rPr>
        <w:t>+</w:t>
      </w:r>
      <w:r w:rsidR="001F6211" w:rsidRPr="001F6211">
        <w:rPr>
          <w:rFonts w:ascii="Verdana" w:eastAsia="Malgun Gothic" w:hAnsi="Verdana" w:cs="Arial"/>
          <w:b/>
          <w:bCs/>
        </w:rPr>
        <w:t>2</w:t>
      </w:r>
      <w:r w:rsidRPr="001F6211">
        <w:rPr>
          <w:rFonts w:ascii="Verdana" w:eastAsia="Malgun Gothic" w:hAnsi="Verdana" w:cs="Arial"/>
          <w:b/>
          <w:bCs/>
        </w:rPr>
        <w:t>,</w:t>
      </w:r>
      <w:r w:rsidR="005C098D" w:rsidRPr="001F6211">
        <w:rPr>
          <w:rFonts w:ascii="Verdana" w:eastAsia="Malgun Gothic" w:hAnsi="Verdana" w:cs="Arial"/>
          <w:b/>
          <w:bCs/>
        </w:rPr>
        <w:t>6</w:t>
      </w:r>
      <w:r w:rsidRPr="001F6211">
        <w:rPr>
          <w:rFonts w:ascii="Verdana" w:eastAsia="Malgun Gothic" w:hAnsi="Verdana" w:cs="Arial"/>
          <w:b/>
          <w:bCs/>
        </w:rPr>
        <w:t xml:space="preserve">% in </w:t>
      </w:r>
      <w:r w:rsidR="00F30687" w:rsidRPr="001F6211">
        <w:rPr>
          <w:rFonts w:ascii="Verdana" w:eastAsia="Malgun Gothic" w:hAnsi="Verdana" w:cs="Arial"/>
          <w:b/>
          <w:bCs/>
        </w:rPr>
        <w:t>V</w:t>
      </w:r>
      <w:r w:rsidRPr="001F6211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1F6211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3826E6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52757C05" w:rsidR="008C6CFC" w:rsidRPr="005C098D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F34699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F34699">
        <w:rPr>
          <w:rFonts w:ascii="Verdana" w:hAnsi="Verdana"/>
          <w:sz w:val="18"/>
          <w:szCs w:val="18"/>
          <w:shd w:val="clear" w:color="auto" w:fill="FFFFFF"/>
        </w:rPr>
        <w:t xml:space="preserve">Value Index of Retail Trade </w:t>
      </w:r>
      <w:r w:rsidR="00894417" w:rsidRPr="001F6211">
        <w:rPr>
          <w:rFonts w:ascii="Verdana" w:hAnsi="Verdana"/>
          <w:sz w:val="18"/>
          <w:szCs w:val="18"/>
          <w:shd w:val="clear" w:color="auto" w:fill="FFFFFF"/>
        </w:rPr>
        <w:t>for</w:t>
      </w:r>
      <w:r w:rsidR="00CD7233" w:rsidRPr="001F621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C5262" w:rsidRPr="001F6211">
        <w:rPr>
          <w:rFonts w:ascii="Verdana" w:hAnsi="Verdana"/>
          <w:sz w:val="18"/>
          <w:szCs w:val="18"/>
          <w:shd w:val="clear" w:color="auto" w:fill="FFFFFF"/>
        </w:rPr>
        <w:t xml:space="preserve">January </w:t>
      </w:r>
      <w:r w:rsidRPr="001F6211">
        <w:rPr>
          <w:rFonts w:ascii="Verdana" w:hAnsi="Verdana"/>
          <w:sz w:val="18"/>
          <w:szCs w:val="18"/>
          <w:shd w:val="clear" w:color="auto" w:fill="FFFFFF"/>
        </w:rPr>
        <w:t>202</w:t>
      </w:r>
      <w:r w:rsidR="007C5262" w:rsidRPr="001F6211">
        <w:rPr>
          <w:rFonts w:ascii="Verdana" w:hAnsi="Verdana"/>
          <w:sz w:val="18"/>
          <w:szCs w:val="18"/>
          <w:shd w:val="clear" w:color="auto" w:fill="FFFFFF"/>
        </w:rPr>
        <w:t>5</w:t>
      </w:r>
      <w:r w:rsidR="00842F36" w:rsidRPr="001F621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F6211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1F6211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1F6211" w:rsidRPr="001F6211">
        <w:rPr>
          <w:rFonts w:ascii="Verdana" w:hAnsi="Verdana"/>
          <w:sz w:val="18"/>
          <w:szCs w:val="18"/>
          <w:shd w:val="clear" w:color="auto" w:fill="FFFFFF"/>
        </w:rPr>
        <w:t>4</w:t>
      </w:r>
      <w:r w:rsidRPr="001F6211">
        <w:rPr>
          <w:rFonts w:ascii="Verdana" w:hAnsi="Verdana"/>
          <w:sz w:val="18"/>
          <w:szCs w:val="18"/>
          <w:shd w:val="clear" w:color="auto" w:fill="FFFFFF"/>
        </w:rPr>
        <w:t>,</w:t>
      </w:r>
      <w:r w:rsidR="005C098D" w:rsidRPr="001F6211">
        <w:rPr>
          <w:rFonts w:ascii="Verdana" w:hAnsi="Verdana"/>
          <w:sz w:val="18"/>
          <w:szCs w:val="18"/>
          <w:shd w:val="clear" w:color="auto" w:fill="FFFFFF"/>
        </w:rPr>
        <w:t>8</w:t>
      </w:r>
      <w:r w:rsidRPr="001F6211">
        <w:rPr>
          <w:rFonts w:ascii="Verdana" w:hAnsi="Verdana"/>
          <w:sz w:val="18"/>
          <w:szCs w:val="18"/>
          <w:shd w:val="clear" w:color="auto" w:fill="FFFFFF"/>
        </w:rPr>
        <w:t xml:space="preserve">% compared 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 xml:space="preserve">to the corresponding month of the previous year (Table 1). For the same month, the Turnover Volume Index of 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 xml:space="preserve">Retail </w:t>
      </w:r>
      <w:r w:rsidRPr="001F6211">
        <w:rPr>
          <w:rFonts w:ascii="Verdana" w:hAnsi="Verdana"/>
          <w:sz w:val="18"/>
          <w:szCs w:val="18"/>
          <w:shd w:val="clear" w:color="auto" w:fill="FFFFFF"/>
        </w:rPr>
        <w:t xml:space="preserve">Trade </w:t>
      </w:r>
      <w:r w:rsidR="002B0328" w:rsidRPr="001F6211">
        <w:rPr>
          <w:rFonts w:ascii="Verdana" w:hAnsi="Verdana"/>
          <w:sz w:val="18"/>
          <w:szCs w:val="18"/>
          <w:shd w:val="clear" w:color="auto" w:fill="FFFFFF"/>
        </w:rPr>
        <w:t>in</w:t>
      </w:r>
      <w:r w:rsidRPr="001F6211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1F6211" w:rsidRPr="001F6211">
        <w:rPr>
          <w:rFonts w:ascii="Verdana" w:hAnsi="Verdana"/>
          <w:sz w:val="18"/>
          <w:szCs w:val="18"/>
          <w:shd w:val="clear" w:color="auto" w:fill="FFFFFF"/>
        </w:rPr>
        <w:t>2</w:t>
      </w:r>
      <w:r w:rsidRPr="001F6211">
        <w:rPr>
          <w:rFonts w:ascii="Verdana" w:hAnsi="Verdana"/>
          <w:sz w:val="18"/>
          <w:szCs w:val="18"/>
          <w:shd w:val="clear" w:color="auto" w:fill="FFFFFF"/>
        </w:rPr>
        <w:t>,</w:t>
      </w:r>
      <w:r w:rsidR="005C098D" w:rsidRPr="001F6211">
        <w:rPr>
          <w:rFonts w:ascii="Verdana" w:hAnsi="Verdana"/>
          <w:sz w:val="18"/>
          <w:szCs w:val="18"/>
          <w:shd w:val="clear" w:color="auto" w:fill="FFFFFF"/>
        </w:rPr>
        <w:t>6</w:t>
      </w:r>
      <w:r w:rsidRPr="001F6211">
        <w:rPr>
          <w:rFonts w:ascii="Verdana" w:hAnsi="Verdana"/>
          <w:sz w:val="18"/>
          <w:szCs w:val="18"/>
          <w:shd w:val="clear" w:color="auto" w:fill="FFFFFF"/>
        </w:rPr>
        <w:t xml:space="preserve">% compared 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>to the corresponding month of the previous year (Table 2).</w:t>
      </w:r>
    </w:p>
    <w:p w14:paraId="0584457A" w14:textId="77777777" w:rsidR="00D16C0B" w:rsidRPr="005C098D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5DFD52B1" w14:textId="03430000" w:rsidR="008C6CFC" w:rsidRPr="006100EF" w:rsidRDefault="001F6211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3270069F" wp14:editId="1A0C676E">
            <wp:extent cx="6059805" cy="4495800"/>
            <wp:effectExtent l="0" t="0" r="0" b="0"/>
            <wp:docPr id="20947715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A403E" w14:textId="7C7FACD4" w:rsidR="008C6CFC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755"/>
        <w:gridCol w:w="1525"/>
        <w:gridCol w:w="237"/>
        <w:gridCol w:w="1730"/>
        <w:gridCol w:w="284"/>
      </w:tblGrid>
      <w:tr w:rsidR="00F63849" w:rsidRPr="000915C7" w14:paraId="21E376F4" w14:textId="77777777" w:rsidTr="00523889">
        <w:trPr>
          <w:trHeight w:val="284"/>
          <w:jc w:val="center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157984" w14:textId="04F6D714" w:rsidR="00F63849" w:rsidRPr="000915C7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eastAsia="Malgun Gothic" w:hAnsi="Verdana" w:cs="Arial"/>
                <w:bCs/>
                <w:sz w:val="18"/>
                <w:szCs w:val="18"/>
              </w:rPr>
              <w:br w:type="page"/>
            </w:r>
            <w:r w:rsidRPr="000915C7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 xml:space="preserve">Table 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1</w:t>
            </w:r>
          </w:p>
        </w:tc>
      </w:tr>
      <w:tr w:rsidR="00F63849" w:rsidRPr="000915C7" w14:paraId="20831354" w14:textId="77777777" w:rsidTr="00523889">
        <w:trPr>
          <w:trHeight w:val="680"/>
          <w:jc w:val="center"/>
        </w:trPr>
        <w:tc>
          <w:tcPr>
            <w:tcW w:w="182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5720C5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5F90ECE6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75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DD0A65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V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a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lue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7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2FA2168D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47DE76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</w:p>
          <w:p w14:paraId="782E3A64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F63849" w:rsidRPr="000915C7" w14:paraId="5C4AC7F0" w14:textId="77777777" w:rsidTr="00523889">
        <w:trPr>
          <w:trHeight w:val="624"/>
          <w:jc w:val="center"/>
        </w:trPr>
        <w:tc>
          <w:tcPr>
            <w:tcW w:w="182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F8940E0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75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F8AB688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7893B1F" w14:textId="16CAB087" w:rsidR="00F63849" w:rsidRDefault="00585026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January</w:t>
            </w:r>
            <w:r w:rsidR="00F6384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66AE0B8C" w14:textId="32EF80F2" w:rsidR="00F63849" w:rsidRPr="00585026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58502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5</w:t>
            </w:r>
          </w:p>
        </w:tc>
        <w:tc>
          <w:tcPr>
            <w:tcW w:w="237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FDDA4B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3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9852CB" w14:textId="77777777" w:rsidR="00585026" w:rsidRDefault="00585026" w:rsidP="002B0889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January</w:t>
            </w:r>
          </w:p>
          <w:p w14:paraId="4EAC4051" w14:textId="71815AB0" w:rsidR="00F63849" w:rsidRPr="00585026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850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5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5850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12C51CC" w14:textId="46C61011" w:rsidR="00F63849" w:rsidRPr="00585026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1F6211" w:rsidRPr="000915C7" w14:paraId="5AA0A0CB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314F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657C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3251" w14:textId="7D90F698" w:rsidR="001F6211" w:rsidRPr="001F6211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120,5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3953" w14:textId="77777777" w:rsidR="001F6211" w:rsidRPr="002B0328" w:rsidRDefault="001F6211" w:rsidP="001F621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EE35" w14:textId="3D511F5A" w:rsidR="001F6211" w:rsidRPr="001F6211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44EA" w14:textId="796CB3C6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2739BC36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7924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3B6A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031D" w14:textId="6C2C9C87" w:rsidR="001F6211" w:rsidRPr="001F6211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118,5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2C75" w14:textId="77777777" w:rsidR="001F6211" w:rsidRPr="002B0328" w:rsidRDefault="001F6211" w:rsidP="001F621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2B78" w14:textId="067DE946" w:rsidR="001F6211" w:rsidRPr="001F6211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5F73" w14:textId="0B7BD10A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3E437DE3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9CA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40BC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Automotive fuel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4AEE" w14:textId="276ACA38" w:rsidR="001F6211" w:rsidRPr="001B701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117,4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761C" w14:textId="77777777" w:rsidR="001F6211" w:rsidRPr="002B0328" w:rsidRDefault="001F6211" w:rsidP="001F6211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EE5C" w14:textId="46DC8B21" w:rsidR="001F6211" w:rsidRPr="001B701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FF42" w14:textId="18FED54B" w:rsidR="001F6211" w:rsidRPr="001B701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63FAC412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517F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3B6B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Information and communication equipment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603F" w14:textId="15D24117" w:rsidR="001F6211" w:rsidRPr="001B701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112,3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2BC6" w14:textId="77777777" w:rsidR="001F6211" w:rsidRPr="002B0328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316F" w14:textId="3E17C980" w:rsidR="001F6211" w:rsidRPr="001B701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3563" w14:textId="293EBF48" w:rsidR="001F6211" w:rsidRPr="001B701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57473D36" w14:textId="77777777" w:rsidTr="00523889">
        <w:trPr>
          <w:trHeight w:val="1077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CDB8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C3E4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Other household equipment </w:t>
            </w:r>
            <w:r w:rsidRPr="001B7749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construction materials, carpets, furniture, electrical appliances</w:t>
            </w:r>
            <w:r w:rsidRPr="00CC5B9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lighting)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D692" w14:textId="319A0B8B" w:rsidR="001F6211" w:rsidRPr="001F6211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103,9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F8997" w14:textId="77777777" w:rsidR="001F6211" w:rsidRPr="002B0328" w:rsidRDefault="001F6211" w:rsidP="001F6211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2492" w14:textId="7DB99761" w:rsidR="001F6211" w:rsidRPr="001F6211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D028" w14:textId="1EEC1528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0F3BFA7F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20AC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6171" w14:textId="77777777" w:rsidR="001F6211" w:rsidRPr="005B20EF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08A9" w14:textId="53F153CE" w:rsidR="001F6211" w:rsidRPr="001F6211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121,8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28B7" w14:textId="77777777" w:rsidR="001F6211" w:rsidRPr="005B20EF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CED8" w14:textId="6C28F181" w:rsidR="001F6211" w:rsidRPr="001F6211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108E" w14:textId="62E619CB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4290AA52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84A0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A139" w14:textId="77777777" w:rsidR="001F6211" w:rsidRPr="000915C7" w:rsidRDefault="001F6211" w:rsidP="001F6211">
            <w:pPr>
              <w:spacing w:line="276" w:lineRule="auto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Clothing and footwear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344" w14:textId="79C5E2BD" w:rsidR="001F6211" w:rsidRPr="001B701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115,4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0F68" w14:textId="77777777" w:rsidR="001F6211" w:rsidRPr="002B0328" w:rsidRDefault="001F6211" w:rsidP="001F6211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0276" w14:textId="379856AF" w:rsidR="001F6211" w:rsidRPr="001B701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6878" w14:textId="543C6F39" w:rsidR="001F6211" w:rsidRPr="001B701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5AD4D475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E6C1" w14:textId="77777777" w:rsidR="001F6211" w:rsidRDefault="001F6211" w:rsidP="001F621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E9A5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32C9" w14:textId="6A42524F" w:rsidR="001F6211" w:rsidRPr="001B701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119,1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2CAE" w14:textId="77777777" w:rsidR="001F6211" w:rsidRPr="006E42F6" w:rsidRDefault="001F6211" w:rsidP="001F6211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B2A8" w14:textId="0D5C9FA2" w:rsidR="001F6211" w:rsidRPr="001B701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8749" w14:textId="68AEA78E" w:rsidR="001F6211" w:rsidRPr="001B701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4E8BCDB6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7DA6" w14:textId="77777777" w:rsidR="001F6211" w:rsidRDefault="001F6211" w:rsidP="001F621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3F6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6A62" w14:textId="3564B1CA" w:rsidR="001F6211" w:rsidRPr="001F6211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115,0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E84D" w14:textId="77777777" w:rsidR="001F6211" w:rsidRPr="002B0328" w:rsidRDefault="001F6211" w:rsidP="001F621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9C60" w14:textId="7305651A" w:rsidR="001F6211" w:rsidRPr="001F6211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F6E0" w14:textId="73E32341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70B1EF1E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45F8CE4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0ACF57F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sale not in stores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52EDD7" w14:textId="310484AB" w:rsidR="001F6211" w:rsidRPr="001F6211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85,0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67B2FBD" w14:textId="77777777" w:rsidR="001F6211" w:rsidRPr="002B0328" w:rsidRDefault="001F6211" w:rsidP="001F621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EE34F4E" w14:textId="15624F18" w:rsidR="001F6211" w:rsidRPr="001F6211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-5,1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666809" w14:textId="32AD57A5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3CA8B430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4788" w14:textId="77777777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except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75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3381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trade except of automotive fuel</w:t>
            </w:r>
          </w:p>
        </w:tc>
        <w:tc>
          <w:tcPr>
            <w:tcW w:w="15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A285" w14:textId="7780FD51" w:rsidR="001F6211" w:rsidRPr="001F6211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116,2</w:t>
            </w:r>
          </w:p>
        </w:tc>
        <w:tc>
          <w:tcPr>
            <w:tcW w:w="23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AD2C" w14:textId="77777777" w:rsidR="001F6211" w:rsidRPr="002B0328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3731" w14:textId="2A831612" w:rsidR="001F6211" w:rsidRPr="001F6211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4,5</w:t>
            </w:r>
          </w:p>
        </w:tc>
        <w:tc>
          <w:tcPr>
            <w:tcW w:w="28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3435" w14:textId="551DB000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35FEA0E3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7499" w14:textId="77777777" w:rsidR="001F6211" w:rsidRPr="004F620D" w:rsidRDefault="001F6211" w:rsidP="001F621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DF48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Edible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4DC" w14:textId="01F27DF2" w:rsidR="001F6211" w:rsidRPr="001B701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121,1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1E61" w14:textId="77777777" w:rsidR="001F6211" w:rsidRPr="002B0328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73DD" w14:textId="4ED65261" w:rsidR="001F6211" w:rsidRPr="001B701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AC3D" w14:textId="6C6F8554" w:rsidR="001F6211" w:rsidRPr="001B701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726742F4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00B5" w14:textId="77777777" w:rsidR="001F6211" w:rsidRPr="004F620D" w:rsidRDefault="001F6211" w:rsidP="001F621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47.19+47.4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to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C3DF" w14:textId="77777777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 e</w:t>
            </w: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0A9E" w14:textId="0F232631" w:rsidR="001F6211" w:rsidRPr="001B701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110,9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99D" w14:textId="77777777" w:rsidR="001F6211" w:rsidRPr="002B0328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3A2F" w14:textId="527CCCD6" w:rsidR="001F6211" w:rsidRPr="001B701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0839" w14:textId="5819B830" w:rsidR="001F6211" w:rsidRPr="001B701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5E9F8FEA" w14:textId="77777777" w:rsidTr="00523889">
        <w:trPr>
          <w:trHeight w:val="113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807915" w14:textId="77777777" w:rsidR="001F6211" w:rsidRPr="000915C7" w:rsidRDefault="001F6211" w:rsidP="001F6211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B210F1" w14:textId="77777777" w:rsidR="001F6211" w:rsidRPr="000915C7" w:rsidRDefault="001F6211" w:rsidP="001F6211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C032" w14:textId="77777777" w:rsidR="001F6211" w:rsidRPr="002B0328" w:rsidRDefault="001F6211" w:rsidP="001F6211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256B" w14:textId="77777777" w:rsidR="001F6211" w:rsidRPr="002B0328" w:rsidRDefault="001F6211" w:rsidP="001F621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38E2" w14:textId="77777777" w:rsidR="001F6211" w:rsidRPr="002B0328" w:rsidRDefault="001F6211" w:rsidP="001F6211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2D17" w14:textId="77777777" w:rsidR="001F6211" w:rsidRPr="002B0328" w:rsidRDefault="001F6211" w:rsidP="001F621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  <w:tr w:rsidR="001F6211" w:rsidRPr="000915C7" w14:paraId="369F5259" w14:textId="77777777" w:rsidTr="00523889">
        <w:trPr>
          <w:trHeight w:val="851"/>
          <w:jc w:val="center"/>
        </w:trPr>
        <w:tc>
          <w:tcPr>
            <w:tcW w:w="18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A60E591" w14:textId="77777777" w:rsidR="001F6211" w:rsidRPr="000915C7" w:rsidRDefault="001F6211" w:rsidP="001F6211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47</w:t>
            </w:r>
          </w:p>
        </w:tc>
        <w:tc>
          <w:tcPr>
            <w:tcW w:w="375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253B22E" w14:textId="77777777" w:rsidR="001F6211" w:rsidRPr="000915C7" w:rsidRDefault="001F6211" w:rsidP="001F6211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RETAIL TRADE, EXCEPT OF MOTOR VEHICLES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E78BFE" w14:textId="18CB1FF0" w:rsidR="001F6211" w:rsidRPr="001F6211" w:rsidRDefault="001F6211" w:rsidP="001F6211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116,4</w:t>
            </w:r>
          </w:p>
        </w:tc>
        <w:tc>
          <w:tcPr>
            <w:tcW w:w="2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25DB9" w14:textId="77777777" w:rsidR="001F6211" w:rsidRPr="002B0328" w:rsidRDefault="001F6211" w:rsidP="001F621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0262DD" w14:textId="4394E6C5" w:rsidR="001F6211" w:rsidRPr="001F6211" w:rsidRDefault="001F6211" w:rsidP="001F6211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4,8</w:t>
            </w:r>
          </w:p>
        </w:tc>
        <w:tc>
          <w:tcPr>
            <w:tcW w:w="28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979E43" w14:textId="22066617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</w:tbl>
    <w:p w14:paraId="34DB8B24" w14:textId="617FD6D0" w:rsidR="008C6CFC" w:rsidRDefault="008C6CFC" w:rsidP="008C6CFC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755"/>
        <w:gridCol w:w="1525"/>
        <w:gridCol w:w="237"/>
        <w:gridCol w:w="1385"/>
        <w:gridCol w:w="345"/>
      </w:tblGrid>
      <w:tr w:rsidR="008C6CFC" w:rsidRPr="000915C7" w14:paraId="71B02A48" w14:textId="77777777" w:rsidTr="00523889">
        <w:trPr>
          <w:trHeight w:val="284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575C269" w14:textId="77777777" w:rsidR="008C6CFC" w:rsidRPr="000915C7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eastAsia="Malgun Gothic" w:hAnsi="Verdana" w:cs="Arial"/>
                <w:bCs/>
                <w:sz w:val="18"/>
                <w:szCs w:val="18"/>
              </w:rPr>
              <w:br w:type="page"/>
            </w:r>
            <w:r w:rsidRPr="000915C7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Table 2</w:t>
            </w:r>
          </w:p>
        </w:tc>
      </w:tr>
      <w:tr w:rsidR="008C6CFC" w:rsidRPr="000915C7" w14:paraId="70514519" w14:textId="77777777" w:rsidTr="00523889">
        <w:trPr>
          <w:trHeight w:val="680"/>
          <w:jc w:val="center"/>
        </w:trPr>
        <w:tc>
          <w:tcPr>
            <w:tcW w:w="182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52FAD4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206D556F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75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734291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Volume</w:t>
            </w:r>
            <w:r w:rsidR="000429B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 w:rsidR="00BA7C2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7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09E1DDAB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01A570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</w:p>
          <w:p w14:paraId="0F349BFF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A007B6" w:rsidRPr="000915C7" w14:paraId="09D154D9" w14:textId="77777777" w:rsidTr="00523889">
        <w:trPr>
          <w:trHeight w:val="624"/>
          <w:jc w:val="center"/>
        </w:trPr>
        <w:tc>
          <w:tcPr>
            <w:tcW w:w="182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D4CA83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75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69FC4D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42889EE" w14:textId="77777777" w:rsidR="0093252C" w:rsidRDefault="0093252C" w:rsidP="0093252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January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7B00E16C" w14:textId="22401561" w:rsidR="00A007B6" w:rsidRPr="00BA7C26" w:rsidRDefault="0093252C" w:rsidP="0093252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5</w:t>
            </w:r>
          </w:p>
        </w:tc>
        <w:tc>
          <w:tcPr>
            <w:tcW w:w="237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D4E910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8899D54" w14:textId="77777777" w:rsidR="0093252C" w:rsidRDefault="0093252C" w:rsidP="0093252C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January</w:t>
            </w:r>
          </w:p>
          <w:p w14:paraId="67C6038C" w14:textId="02657E14" w:rsidR="00A007B6" w:rsidRPr="00BA7C26" w:rsidRDefault="0093252C" w:rsidP="0093252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5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E394D3" w14:textId="3AF18F21" w:rsidR="00A007B6" w:rsidRPr="00BA7C26" w:rsidRDefault="00A007B6" w:rsidP="00E368E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</w:tr>
      <w:tr w:rsidR="001F6211" w:rsidRPr="000915C7" w14:paraId="71AB8DBF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B56A" w14:textId="1469BB21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046" w14:textId="382BCE1C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ABF5" w14:textId="458EB0F8" w:rsidR="001F6211" w:rsidRPr="009B389A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103,3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ECE7D" w14:textId="77777777" w:rsidR="001F6211" w:rsidRPr="002B0328" w:rsidRDefault="001F6211" w:rsidP="001F621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6E40" w14:textId="0E27E34D" w:rsidR="001F6211" w:rsidRPr="009B389A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42C0" w14:textId="37633F9B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483CA5F1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DBF6" w14:textId="373CA579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44B5" w14:textId="69F283E5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B383" w14:textId="2B47C635" w:rsidR="001F6211" w:rsidRPr="009B389A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97,5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87AD" w14:textId="77777777" w:rsidR="001F6211" w:rsidRPr="002B0328" w:rsidRDefault="001F6211" w:rsidP="001F621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BE95" w14:textId="7B8BB2CC" w:rsidR="001F6211" w:rsidRPr="009B389A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1F96" w14:textId="48C483B5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6E0C8A62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F055" w14:textId="2CA4ED8C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C84A" w14:textId="1CC07069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Automotive fuel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6AFCD" w14:textId="39572A41" w:rsidR="001F6211" w:rsidRPr="00AC08B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101,5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1B0D" w14:textId="77777777" w:rsidR="001F6211" w:rsidRPr="002B0328" w:rsidRDefault="001F6211" w:rsidP="001F6211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7173" w14:textId="5FFCDA0D" w:rsidR="001F6211" w:rsidRPr="00AC08B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3DAB" w14:textId="7E26F29B" w:rsidR="001F6211" w:rsidRPr="00AC08B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702817EB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B375" w14:textId="4E39DE7D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7209" w14:textId="1DA52218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Information and communication equipment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97B6" w14:textId="024607C8" w:rsidR="001F6211" w:rsidRPr="00AC08B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127,4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1627" w14:textId="77777777" w:rsidR="001F6211" w:rsidRPr="002B0328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CBE1" w14:textId="53A53C14" w:rsidR="001F6211" w:rsidRPr="00AC08B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5E4A" w14:textId="43CBF182" w:rsidR="001F6211" w:rsidRPr="00AC08B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20638076" w14:textId="77777777" w:rsidTr="00523889">
        <w:trPr>
          <w:trHeight w:val="1077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6CF" w14:textId="1D1937F4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9786" w14:textId="6319C42A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Other household equipment </w:t>
            </w:r>
            <w:r w:rsidRPr="001B7749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construction materials, carpets, furniture, electrical appliances</w:t>
            </w:r>
            <w:r w:rsidRPr="00CC5B9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lighting)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F832" w14:textId="04FE9C7F" w:rsidR="001F6211" w:rsidRPr="009B389A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94,4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492" w14:textId="77777777" w:rsidR="001F6211" w:rsidRPr="002B0328" w:rsidRDefault="001F6211" w:rsidP="001F6211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6900" w14:textId="36C6545B" w:rsidR="001F6211" w:rsidRPr="009B389A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F52D" w14:textId="2BF56AB8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442CA5CB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02CA" w14:textId="6B845D9C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C3A4" w14:textId="6E876A1A" w:rsidR="001F6211" w:rsidRPr="005B20EF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56A1" w14:textId="719F04F1" w:rsidR="001F6211" w:rsidRPr="009B389A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111,5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0F1E" w14:textId="77777777" w:rsidR="001F6211" w:rsidRPr="005B20EF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C750" w14:textId="7C8D823D" w:rsidR="001F6211" w:rsidRPr="009B389A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12,6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4AF6" w14:textId="6192E625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7D3CAEE5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55FC" w14:textId="50081EEF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ADBD" w14:textId="5BFE6865" w:rsidR="001F6211" w:rsidRPr="000915C7" w:rsidRDefault="001F6211" w:rsidP="001F6211">
            <w:pPr>
              <w:spacing w:line="276" w:lineRule="auto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Clothing and footwear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1BFA" w14:textId="5BCA658E" w:rsidR="001F6211" w:rsidRPr="00AC08B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124,8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A60" w14:textId="77777777" w:rsidR="001F6211" w:rsidRPr="002B0328" w:rsidRDefault="001F6211" w:rsidP="001F6211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7592" w14:textId="7EA6DB1D" w:rsidR="001F6211" w:rsidRPr="00AC08B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53EF" w14:textId="34642F03" w:rsidR="001F6211" w:rsidRPr="00AC08B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7E9C9052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2CEB" w14:textId="77777777" w:rsidR="001F6211" w:rsidRDefault="001F6211" w:rsidP="001F621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C03B" w14:textId="49F7DBC2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8595" w14:textId="6230E244" w:rsidR="001F6211" w:rsidRPr="00AC08B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110,7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5935" w14:textId="77777777" w:rsidR="001F6211" w:rsidRPr="006E42F6" w:rsidRDefault="001F6211" w:rsidP="001F6211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02F1" w14:textId="086538ED" w:rsidR="001F6211" w:rsidRPr="00AC08B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DCB4" w14:textId="278A70AB" w:rsidR="001F6211" w:rsidRPr="00AC08B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5D51E316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B804" w14:textId="77777777" w:rsidR="001F6211" w:rsidRDefault="001F6211" w:rsidP="001F621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F0D3" w14:textId="44B67EFD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85DF" w14:textId="2E4596FE" w:rsidR="001F6211" w:rsidRPr="009B389A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97,2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B732" w14:textId="77777777" w:rsidR="001F6211" w:rsidRPr="002B0328" w:rsidRDefault="001F6211" w:rsidP="001F621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C451" w14:textId="3EBE5F45" w:rsidR="001F6211" w:rsidRPr="009B389A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3863" w14:textId="71EF7FFE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52E22BA1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2545538" w14:textId="576DB943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856264E" w14:textId="28327DC3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sale not in stores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083375" w14:textId="2859C178" w:rsidR="001F6211" w:rsidRPr="009B389A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78,9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1AB0764" w14:textId="77777777" w:rsidR="001F6211" w:rsidRPr="002B0328" w:rsidRDefault="001F6211" w:rsidP="001F621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94752C7" w14:textId="165FE58C" w:rsidR="001F6211" w:rsidRPr="009B389A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-4,8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03F991F" w14:textId="326C1369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2DFEB38D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9295" w14:textId="27691AFB" w:rsidR="001F6211" w:rsidRPr="000915C7" w:rsidRDefault="001F6211" w:rsidP="001F6211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except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75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48D4" w14:textId="340F711D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trade except of automotive fuel</w:t>
            </w:r>
          </w:p>
        </w:tc>
        <w:tc>
          <w:tcPr>
            <w:tcW w:w="15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B9AB" w14:textId="77F5F43D" w:rsidR="001F6211" w:rsidRPr="009B389A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104,7</w:t>
            </w:r>
          </w:p>
        </w:tc>
        <w:tc>
          <w:tcPr>
            <w:tcW w:w="23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A7FD" w14:textId="77777777" w:rsidR="001F6211" w:rsidRPr="002B0328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9111" w14:textId="31A7B3D5" w:rsidR="001F6211" w:rsidRPr="009B389A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2,5</w:t>
            </w:r>
          </w:p>
        </w:tc>
        <w:tc>
          <w:tcPr>
            <w:tcW w:w="34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1230" w14:textId="483AAF14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1F6211" w:rsidRPr="000915C7" w14:paraId="02A6633B" w14:textId="77777777" w:rsidTr="0052388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410E" w14:textId="23993B54" w:rsidR="001F6211" w:rsidRPr="004F620D" w:rsidRDefault="001F6211" w:rsidP="001F621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7673" w14:textId="4F73461E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Edible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F4BE" w14:textId="09AACCF9" w:rsidR="001F6211" w:rsidRPr="00AC08B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103,1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E422" w14:textId="77777777" w:rsidR="001F6211" w:rsidRPr="002B0328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AE4A" w14:textId="788610B8" w:rsidR="001F6211" w:rsidRPr="00AC08B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3,0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20BB" w14:textId="493405C1" w:rsidR="001F6211" w:rsidRPr="00AC08B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0B830BC7" w14:textId="77777777" w:rsidTr="0052388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4DA2" w14:textId="47241892" w:rsidR="001F6211" w:rsidRPr="004F620D" w:rsidRDefault="001F6211" w:rsidP="001F621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47.19+47.4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to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9FF" w14:textId="1455CBE9" w:rsidR="001F6211" w:rsidRPr="000915C7" w:rsidRDefault="001F6211" w:rsidP="001F62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 e</w:t>
            </w: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0376" w14:textId="4A3C5FC0" w:rsidR="001F6211" w:rsidRPr="00AC08B7" w:rsidRDefault="001F6211" w:rsidP="001F6211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106,5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85B6" w14:textId="77777777" w:rsidR="001F6211" w:rsidRPr="002B0328" w:rsidRDefault="001F6211" w:rsidP="001F621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414D" w14:textId="09321ACD" w:rsidR="001F6211" w:rsidRPr="00AC08B7" w:rsidRDefault="001F6211" w:rsidP="001F6211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0AEE" w14:textId="46A1D4E8" w:rsidR="001F6211" w:rsidRPr="00AC08B7" w:rsidRDefault="001F6211" w:rsidP="001F621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1F6211" w:rsidRPr="000915C7" w14:paraId="27203A2A" w14:textId="77777777" w:rsidTr="00523889">
        <w:trPr>
          <w:trHeight w:val="113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F3AE238" w14:textId="4A290B09" w:rsidR="001F6211" w:rsidRPr="000915C7" w:rsidRDefault="001F6211" w:rsidP="001F6211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054873" w14:textId="77777777" w:rsidR="001F6211" w:rsidRPr="000915C7" w:rsidRDefault="001F6211" w:rsidP="001F6211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B92FE8" w14:textId="77777777" w:rsidR="001F6211" w:rsidRPr="002B0328" w:rsidRDefault="001F6211" w:rsidP="001F6211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6F9FBE" w14:textId="77777777" w:rsidR="001F6211" w:rsidRPr="002B0328" w:rsidRDefault="001F6211" w:rsidP="001F621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4FE1F0" w14:textId="77777777" w:rsidR="001F6211" w:rsidRPr="002B0328" w:rsidRDefault="001F6211" w:rsidP="001F6211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19B8A94" w14:textId="77777777" w:rsidR="001F6211" w:rsidRPr="002B0328" w:rsidRDefault="001F6211" w:rsidP="001F621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  <w:tr w:rsidR="001F6211" w:rsidRPr="000915C7" w14:paraId="6972B420" w14:textId="77777777" w:rsidTr="00523889">
        <w:trPr>
          <w:trHeight w:val="851"/>
          <w:jc w:val="center"/>
        </w:trPr>
        <w:tc>
          <w:tcPr>
            <w:tcW w:w="18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643467" w14:textId="064FBB10" w:rsidR="001F6211" w:rsidRPr="000915C7" w:rsidRDefault="001F6211" w:rsidP="001F6211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47</w:t>
            </w:r>
          </w:p>
        </w:tc>
        <w:tc>
          <w:tcPr>
            <w:tcW w:w="375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3B106A" w14:textId="51E4AAB9" w:rsidR="001F6211" w:rsidRPr="000915C7" w:rsidRDefault="001F6211" w:rsidP="001F6211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RETAIL TRADE, EXCEPT OF MOTOR VEHICLES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F16071" w14:textId="623AD9FA" w:rsidR="001F6211" w:rsidRPr="009B389A" w:rsidRDefault="001F6211" w:rsidP="001F6211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104,4</w:t>
            </w:r>
          </w:p>
        </w:tc>
        <w:tc>
          <w:tcPr>
            <w:tcW w:w="2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40D8FCA" w14:textId="77777777" w:rsidR="001F6211" w:rsidRPr="002B0328" w:rsidRDefault="001F6211" w:rsidP="001F621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520FD3" w14:textId="06C92BCF" w:rsidR="001F6211" w:rsidRPr="009B389A" w:rsidRDefault="001F6211" w:rsidP="001F6211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2,6</w:t>
            </w:r>
          </w:p>
        </w:tc>
        <w:tc>
          <w:tcPr>
            <w:tcW w:w="34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235EA85" w14:textId="087F3464" w:rsidR="001F6211" w:rsidRPr="009B389A" w:rsidRDefault="001F6211" w:rsidP="001F621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</w:tbl>
    <w:p w14:paraId="572F496D" w14:textId="77777777" w:rsidR="008C6CFC" w:rsidRPr="0013709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2B77F6E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9B4B43F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4FA759DB" w14:textId="77777777" w:rsidR="008C6CFC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A89F7B8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8C6CF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ighted average of the Turnover 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8C6CFC">
      <w:pPr>
        <w:ind w:right="-79"/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A94906" w:rsidP="00A94906">
      <w:pPr>
        <w:rPr>
          <w:color w:val="000000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3B2D1A09" w14:textId="77777777" w:rsidR="00A94906" w:rsidRPr="00DA031C" w:rsidRDefault="00A94906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DA031C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tooltip="Methodological Information" w:history="1">
        <w:r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3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DDE66" w14:textId="77777777" w:rsidR="000E0CB1" w:rsidRDefault="000E0CB1" w:rsidP="00FB398F">
      <w:r>
        <w:separator/>
      </w:r>
    </w:p>
  </w:endnote>
  <w:endnote w:type="continuationSeparator" w:id="0">
    <w:p w14:paraId="3321D850" w14:textId="77777777" w:rsidR="000E0CB1" w:rsidRDefault="000E0CB1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94906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299A87F5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6BB82E69" w:rsidR="0060256A" w:rsidRPr="009B3F2E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9B3F2E">
      <w:rPr>
        <w:rFonts w:ascii="Arial" w:hAnsi="Arial" w:cs="Arial"/>
        <w:i/>
        <w:iCs/>
        <w:sz w:val="16"/>
        <w:szCs w:val="16"/>
        <w:lang w:val="pt-PT"/>
      </w:rPr>
      <w:t>Tel.:  22 602129,</w:t>
    </w:r>
    <w:r w:rsidR="009E0FD9">
      <w:rPr>
        <w:rFonts w:ascii="Arial" w:hAnsi="Arial" w:cs="Arial"/>
        <w:i/>
        <w:iCs/>
        <w:sz w:val="16"/>
        <w:szCs w:val="16"/>
        <w:lang w:val="pt-PT"/>
      </w:rPr>
      <w:t xml:space="preserve"> </w:t>
    </w:r>
    <w:r w:rsidR="0060256A" w:rsidRPr="009B3F2E">
      <w:rPr>
        <w:rFonts w:ascii="Arial" w:hAnsi="Arial" w:cs="Arial"/>
        <w:i/>
        <w:iCs/>
        <w:sz w:val="16"/>
        <w:szCs w:val="16"/>
        <w:lang w:val="pt-PT"/>
      </w:rPr>
      <w:t>E-mail:  enquiries@cystat.mof.gov.cy</w:t>
    </w:r>
  </w:p>
  <w:p w14:paraId="53D85FE4" w14:textId="2BD27D39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B4398D">
      <w:rPr>
        <w:rFonts w:ascii="Arial" w:hAnsi="Arial" w:cs="Arial"/>
        <w:i/>
        <w:iCs/>
        <w:sz w:val="16"/>
        <w:szCs w:val="16"/>
        <w:lang w:val="pt-PT"/>
      </w:rPr>
      <w:t xml:space="preserve">Web </w:t>
    </w:r>
    <w:r w:rsidR="003C55A7">
      <w:rPr>
        <w:rFonts w:ascii="Arial" w:hAnsi="Arial" w:cs="Arial"/>
        <w:i/>
        <w:iCs/>
        <w:sz w:val="16"/>
        <w:szCs w:val="16"/>
        <w:lang w:val="pt-PT"/>
      </w:rPr>
      <w:t>P</w:t>
    </w:r>
    <w:r w:rsidR="00B4398D" w:rsidRPr="00B4398D">
      <w:rPr>
        <w:rFonts w:ascii="Arial" w:hAnsi="Arial" w:cs="Arial"/>
        <w:i/>
        <w:iCs/>
        <w:sz w:val="16"/>
        <w:szCs w:val="16"/>
        <w:lang w:val="pt-PT"/>
      </w:rPr>
      <w:t>or</w:t>
    </w:r>
    <w:r w:rsidR="00B4398D">
      <w:rPr>
        <w:rFonts w:ascii="Arial" w:hAnsi="Arial" w:cs="Arial"/>
        <w:i/>
        <w:iCs/>
        <w:sz w:val="16"/>
        <w:szCs w:val="16"/>
        <w:lang w:val="pt-PT"/>
      </w:rPr>
      <w:t>tal</w:t>
    </w:r>
    <w:r w:rsidRPr="00B4398D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B4398D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0C5E" w14:textId="77777777" w:rsidR="000E0CB1" w:rsidRDefault="000E0CB1" w:rsidP="00FB398F">
      <w:r>
        <w:separator/>
      </w:r>
    </w:p>
  </w:footnote>
  <w:footnote w:type="continuationSeparator" w:id="0">
    <w:p w14:paraId="54F923F7" w14:textId="77777777" w:rsidR="000E0CB1" w:rsidRDefault="000E0CB1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800810">
    <w:abstractNumId w:val="4"/>
  </w:num>
  <w:num w:numId="2" w16cid:durableId="1508787671">
    <w:abstractNumId w:val="1"/>
  </w:num>
  <w:num w:numId="3" w16cid:durableId="1812168652">
    <w:abstractNumId w:val="2"/>
  </w:num>
  <w:num w:numId="4" w16cid:durableId="59594878">
    <w:abstractNumId w:val="3"/>
  </w:num>
  <w:num w:numId="5" w16cid:durableId="1931353659">
    <w:abstractNumId w:val="0"/>
  </w:num>
  <w:num w:numId="6" w16cid:durableId="983924455">
    <w:abstractNumId w:val="5"/>
  </w:num>
  <w:num w:numId="7" w16cid:durableId="604074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A02"/>
    <w:rsid w:val="00084BF7"/>
    <w:rsid w:val="00086C2E"/>
    <w:rsid w:val="000870E9"/>
    <w:rsid w:val="000928EF"/>
    <w:rsid w:val="000932CF"/>
    <w:rsid w:val="00095219"/>
    <w:rsid w:val="00095BB8"/>
    <w:rsid w:val="00096ED8"/>
    <w:rsid w:val="000A1A88"/>
    <w:rsid w:val="000A2B5C"/>
    <w:rsid w:val="000A2E87"/>
    <w:rsid w:val="000A3601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0CB1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44E7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B75"/>
    <w:rsid w:val="001F0DC6"/>
    <w:rsid w:val="001F5FA1"/>
    <w:rsid w:val="001F6211"/>
    <w:rsid w:val="001F7398"/>
    <w:rsid w:val="0020309E"/>
    <w:rsid w:val="0020426A"/>
    <w:rsid w:val="00204D88"/>
    <w:rsid w:val="00205BA0"/>
    <w:rsid w:val="0020675A"/>
    <w:rsid w:val="00210B58"/>
    <w:rsid w:val="00211813"/>
    <w:rsid w:val="00211DFF"/>
    <w:rsid w:val="00213010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7669"/>
    <w:rsid w:val="002A1D1C"/>
    <w:rsid w:val="002A4D64"/>
    <w:rsid w:val="002B0328"/>
    <w:rsid w:val="002B04D9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72DB8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C55A7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14CA0"/>
    <w:rsid w:val="00415E84"/>
    <w:rsid w:val="0041722D"/>
    <w:rsid w:val="00422F54"/>
    <w:rsid w:val="0042370A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47620"/>
    <w:rsid w:val="0046078F"/>
    <w:rsid w:val="00463214"/>
    <w:rsid w:val="0046434D"/>
    <w:rsid w:val="004656FA"/>
    <w:rsid w:val="00467931"/>
    <w:rsid w:val="00471D77"/>
    <w:rsid w:val="004736C0"/>
    <w:rsid w:val="00475587"/>
    <w:rsid w:val="00480BC2"/>
    <w:rsid w:val="00485B33"/>
    <w:rsid w:val="00486CE0"/>
    <w:rsid w:val="0049063A"/>
    <w:rsid w:val="004929C2"/>
    <w:rsid w:val="00493FDD"/>
    <w:rsid w:val="0049586B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81C"/>
    <w:rsid w:val="004C35CE"/>
    <w:rsid w:val="004C42FC"/>
    <w:rsid w:val="004C6CA7"/>
    <w:rsid w:val="004C77BD"/>
    <w:rsid w:val="004C77BE"/>
    <w:rsid w:val="004D0DD6"/>
    <w:rsid w:val="004D11D0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2571"/>
    <w:rsid w:val="00504503"/>
    <w:rsid w:val="00505503"/>
    <w:rsid w:val="0051107B"/>
    <w:rsid w:val="00511D14"/>
    <w:rsid w:val="00512F9C"/>
    <w:rsid w:val="00514814"/>
    <w:rsid w:val="00517A51"/>
    <w:rsid w:val="00522917"/>
    <w:rsid w:val="00523889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789A"/>
    <w:rsid w:val="00557F18"/>
    <w:rsid w:val="00563A2C"/>
    <w:rsid w:val="005652D1"/>
    <w:rsid w:val="005660A0"/>
    <w:rsid w:val="00566A4F"/>
    <w:rsid w:val="00566D67"/>
    <w:rsid w:val="00567C93"/>
    <w:rsid w:val="00567D64"/>
    <w:rsid w:val="00572BC2"/>
    <w:rsid w:val="00585026"/>
    <w:rsid w:val="00585A3F"/>
    <w:rsid w:val="005938ED"/>
    <w:rsid w:val="0059478C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098D"/>
    <w:rsid w:val="005C2798"/>
    <w:rsid w:val="005C36C3"/>
    <w:rsid w:val="005C3FE3"/>
    <w:rsid w:val="005C56EE"/>
    <w:rsid w:val="005C5D4B"/>
    <w:rsid w:val="005D1714"/>
    <w:rsid w:val="005D2D39"/>
    <w:rsid w:val="005D7638"/>
    <w:rsid w:val="005E4077"/>
    <w:rsid w:val="005E493C"/>
    <w:rsid w:val="005F12F5"/>
    <w:rsid w:val="005F4B4F"/>
    <w:rsid w:val="005F703C"/>
    <w:rsid w:val="005F7C7D"/>
    <w:rsid w:val="0060256A"/>
    <w:rsid w:val="00603F21"/>
    <w:rsid w:val="006044B7"/>
    <w:rsid w:val="00605931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5063"/>
    <w:rsid w:val="007354AF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11BA"/>
    <w:rsid w:val="007738AA"/>
    <w:rsid w:val="00780A62"/>
    <w:rsid w:val="00783241"/>
    <w:rsid w:val="007838EC"/>
    <w:rsid w:val="00784BDC"/>
    <w:rsid w:val="00792F28"/>
    <w:rsid w:val="0079543F"/>
    <w:rsid w:val="00795880"/>
    <w:rsid w:val="007A27F8"/>
    <w:rsid w:val="007A3725"/>
    <w:rsid w:val="007A4367"/>
    <w:rsid w:val="007B0867"/>
    <w:rsid w:val="007B0FE2"/>
    <w:rsid w:val="007B1AC1"/>
    <w:rsid w:val="007B5A08"/>
    <w:rsid w:val="007B5F0D"/>
    <w:rsid w:val="007B693D"/>
    <w:rsid w:val="007B730D"/>
    <w:rsid w:val="007C377C"/>
    <w:rsid w:val="007C5262"/>
    <w:rsid w:val="007D0338"/>
    <w:rsid w:val="007D1637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0910"/>
    <w:rsid w:val="008535C5"/>
    <w:rsid w:val="00853765"/>
    <w:rsid w:val="0085516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659"/>
    <w:rsid w:val="00892CB9"/>
    <w:rsid w:val="0089341C"/>
    <w:rsid w:val="008935CB"/>
    <w:rsid w:val="00894417"/>
    <w:rsid w:val="008A1107"/>
    <w:rsid w:val="008B0E7E"/>
    <w:rsid w:val="008B344B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3B8A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252C"/>
    <w:rsid w:val="00934F68"/>
    <w:rsid w:val="009355AC"/>
    <w:rsid w:val="009355B9"/>
    <w:rsid w:val="00935F38"/>
    <w:rsid w:val="0093609B"/>
    <w:rsid w:val="00936436"/>
    <w:rsid w:val="00937586"/>
    <w:rsid w:val="00944554"/>
    <w:rsid w:val="00947889"/>
    <w:rsid w:val="00953CDF"/>
    <w:rsid w:val="0095405B"/>
    <w:rsid w:val="00957B48"/>
    <w:rsid w:val="00960E98"/>
    <w:rsid w:val="00963A82"/>
    <w:rsid w:val="00964B0B"/>
    <w:rsid w:val="00965C51"/>
    <w:rsid w:val="00966DD4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37F7"/>
    <w:rsid w:val="009C3CEA"/>
    <w:rsid w:val="009C583D"/>
    <w:rsid w:val="009D10A2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A007B6"/>
    <w:rsid w:val="00A03271"/>
    <w:rsid w:val="00A05D16"/>
    <w:rsid w:val="00A0659F"/>
    <w:rsid w:val="00A079BA"/>
    <w:rsid w:val="00A15B83"/>
    <w:rsid w:val="00A2256D"/>
    <w:rsid w:val="00A25B43"/>
    <w:rsid w:val="00A33875"/>
    <w:rsid w:val="00A360A1"/>
    <w:rsid w:val="00A402B3"/>
    <w:rsid w:val="00A422A4"/>
    <w:rsid w:val="00A544B7"/>
    <w:rsid w:val="00A54AAA"/>
    <w:rsid w:val="00A618CF"/>
    <w:rsid w:val="00A62770"/>
    <w:rsid w:val="00A62EEB"/>
    <w:rsid w:val="00A62F2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2751"/>
    <w:rsid w:val="00AD553E"/>
    <w:rsid w:val="00AD5848"/>
    <w:rsid w:val="00AE5ADA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ED1"/>
    <w:rsid w:val="00B70F5C"/>
    <w:rsid w:val="00B71873"/>
    <w:rsid w:val="00B726A2"/>
    <w:rsid w:val="00B75AE5"/>
    <w:rsid w:val="00B800C0"/>
    <w:rsid w:val="00B8132B"/>
    <w:rsid w:val="00B8493B"/>
    <w:rsid w:val="00B84C5A"/>
    <w:rsid w:val="00B858F5"/>
    <w:rsid w:val="00B85ADA"/>
    <w:rsid w:val="00B93668"/>
    <w:rsid w:val="00BA68C6"/>
    <w:rsid w:val="00BA7C26"/>
    <w:rsid w:val="00BA7D53"/>
    <w:rsid w:val="00BB12F1"/>
    <w:rsid w:val="00BB276E"/>
    <w:rsid w:val="00BB3FEE"/>
    <w:rsid w:val="00BB5EB0"/>
    <w:rsid w:val="00BB7A27"/>
    <w:rsid w:val="00BC2301"/>
    <w:rsid w:val="00BC245A"/>
    <w:rsid w:val="00BC340C"/>
    <w:rsid w:val="00BC3EBD"/>
    <w:rsid w:val="00BD16FA"/>
    <w:rsid w:val="00BD21C2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3476"/>
    <w:rsid w:val="00BF4FE4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220"/>
    <w:rsid w:val="00C26329"/>
    <w:rsid w:val="00C270A2"/>
    <w:rsid w:val="00C315B5"/>
    <w:rsid w:val="00C32D3A"/>
    <w:rsid w:val="00C35E28"/>
    <w:rsid w:val="00C426AF"/>
    <w:rsid w:val="00C433F9"/>
    <w:rsid w:val="00C44B6A"/>
    <w:rsid w:val="00C44C7B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86C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7233"/>
    <w:rsid w:val="00CD784D"/>
    <w:rsid w:val="00CD7966"/>
    <w:rsid w:val="00CE0325"/>
    <w:rsid w:val="00CE0B31"/>
    <w:rsid w:val="00CE39B0"/>
    <w:rsid w:val="00CF40F8"/>
    <w:rsid w:val="00CF545D"/>
    <w:rsid w:val="00D008DA"/>
    <w:rsid w:val="00D02A5A"/>
    <w:rsid w:val="00D0416F"/>
    <w:rsid w:val="00D05851"/>
    <w:rsid w:val="00D10FED"/>
    <w:rsid w:val="00D11736"/>
    <w:rsid w:val="00D12EE8"/>
    <w:rsid w:val="00D13C9C"/>
    <w:rsid w:val="00D15FF1"/>
    <w:rsid w:val="00D167F4"/>
    <w:rsid w:val="00D16C0B"/>
    <w:rsid w:val="00D2092A"/>
    <w:rsid w:val="00D2216D"/>
    <w:rsid w:val="00D31A6F"/>
    <w:rsid w:val="00D33293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23E1"/>
    <w:rsid w:val="00D56F0D"/>
    <w:rsid w:val="00D57D3E"/>
    <w:rsid w:val="00D668C6"/>
    <w:rsid w:val="00D724EF"/>
    <w:rsid w:val="00D843F4"/>
    <w:rsid w:val="00D84C5A"/>
    <w:rsid w:val="00D90625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7116"/>
    <w:rsid w:val="00E0193C"/>
    <w:rsid w:val="00E01B9D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68E4"/>
    <w:rsid w:val="00E372AF"/>
    <w:rsid w:val="00E37D68"/>
    <w:rsid w:val="00E40EAE"/>
    <w:rsid w:val="00E43244"/>
    <w:rsid w:val="00E436AC"/>
    <w:rsid w:val="00E44FF8"/>
    <w:rsid w:val="00E5066A"/>
    <w:rsid w:val="00E52CF9"/>
    <w:rsid w:val="00E53CC7"/>
    <w:rsid w:val="00E57025"/>
    <w:rsid w:val="00E63F34"/>
    <w:rsid w:val="00E66154"/>
    <w:rsid w:val="00E6715A"/>
    <w:rsid w:val="00E74C26"/>
    <w:rsid w:val="00E75DC9"/>
    <w:rsid w:val="00E80EF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5571"/>
    <w:rsid w:val="00EB73E6"/>
    <w:rsid w:val="00EC02A5"/>
    <w:rsid w:val="00EC14BC"/>
    <w:rsid w:val="00EC176B"/>
    <w:rsid w:val="00EC33CD"/>
    <w:rsid w:val="00EC5BE5"/>
    <w:rsid w:val="00ED24D4"/>
    <w:rsid w:val="00ED2650"/>
    <w:rsid w:val="00ED721A"/>
    <w:rsid w:val="00EE05B1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04CA1"/>
    <w:rsid w:val="00F10138"/>
    <w:rsid w:val="00F13F92"/>
    <w:rsid w:val="00F14101"/>
    <w:rsid w:val="00F152DF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6642F"/>
    <w:rsid w:val="00F701E3"/>
    <w:rsid w:val="00F71F8C"/>
    <w:rsid w:val="00F735D8"/>
    <w:rsid w:val="00F80265"/>
    <w:rsid w:val="00F80362"/>
    <w:rsid w:val="00F8143B"/>
    <w:rsid w:val="00F84619"/>
    <w:rsid w:val="00F86AD4"/>
    <w:rsid w:val="00F92EE4"/>
    <w:rsid w:val="00F931AB"/>
    <w:rsid w:val="00F93537"/>
    <w:rsid w:val="00F951D2"/>
    <w:rsid w:val="00FA0113"/>
    <w:rsid w:val="00FA12B2"/>
    <w:rsid w:val="00FA7610"/>
    <w:rsid w:val="00FB02BD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fstathi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Trade__Wholesa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B35-9654-4AAE-9EBB-F29337AA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</cp:revision>
  <cp:lastPrinted>2024-04-02T07:14:00Z</cp:lastPrinted>
  <dcterms:created xsi:type="dcterms:W3CDTF">2025-02-04T10:07:00Z</dcterms:created>
  <dcterms:modified xsi:type="dcterms:W3CDTF">2025-03-04T09:02:00Z</dcterms:modified>
</cp:coreProperties>
</file>