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E346548" w14:textId="77777777" w:rsidR="00261150" w:rsidRDefault="00261150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32657589" w:rsidR="0057334B" w:rsidRPr="001F30EE" w:rsidRDefault="003C67CD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300596">
        <w:rPr>
          <w:rFonts w:ascii="Verdana" w:hAnsi="Verdana" w:cs="Arial"/>
          <w:sz w:val="18"/>
          <w:szCs w:val="18"/>
          <w:lang w:val="el-GR"/>
        </w:rPr>
        <w:t>1</w:t>
      </w:r>
      <w:r w:rsidR="00D945A0" w:rsidRPr="00321C88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Αυγούστου</w:t>
      </w:r>
      <w:r w:rsidR="0057334B" w:rsidRPr="001F30EE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F955CC">
        <w:rPr>
          <w:rFonts w:ascii="Verdana" w:eastAsia="Malgun Gothic" w:hAnsi="Verdana" w:cs="Arial"/>
          <w:sz w:val="18"/>
          <w:szCs w:val="18"/>
          <w:lang w:val="el-GR"/>
        </w:rPr>
        <w:t>3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6CE13303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3C67CD">
        <w:rPr>
          <w:rFonts w:ascii="Verdana" w:hAnsi="Verdana"/>
          <w:szCs w:val="22"/>
          <w:shd w:val="clear" w:color="auto" w:fill="FFFFFF"/>
        </w:rPr>
        <w:t xml:space="preserve"> ΙΟΥΝΙΟΣ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9041AB">
        <w:rPr>
          <w:rFonts w:ascii="Verdana" w:hAnsi="Verdana"/>
          <w:szCs w:val="22"/>
          <w:shd w:val="clear" w:color="auto" w:fill="FFFFFF"/>
        </w:rPr>
        <w:t>3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14BF1C83" w:rsidR="0057334B" w:rsidRPr="00300596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300596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300596">
        <w:rPr>
          <w:rFonts w:ascii="Verdana" w:eastAsia="Malgun Gothic" w:hAnsi="Verdana" w:cs="Arial"/>
          <w:b/>
          <w:lang w:val="el-GR"/>
        </w:rPr>
        <w:t>Μ</w:t>
      </w:r>
      <w:r w:rsidRPr="00300596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300596">
        <w:rPr>
          <w:rFonts w:ascii="Verdana" w:eastAsia="Malgun Gothic" w:hAnsi="Verdana" w:cs="Arial"/>
          <w:b/>
          <w:lang w:val="el-GR"/>
        </w:rPr>
        <w:t>+</w:t>
      </w:r>
      <w:r w:rsidR="00D80271" w:rsidRPr="00300596">
        <w:rPr>
          <w:rFonts w:ascii="Verdana" w:eastAsia="Malgun Gothic" w:hAnsi="Verdana" w:cs="Arial"/>
          <w:b/>
          <w:lang w:val="el-GR"/>
        </w:rPr>
        <w:t>8</w:t>
      </w:r>
      <w:r w:rsidRPr="00300596">
        <w:rPr>
          <w:rFonts w:ascii="Verdana" w:eastAsia="Malgun Gothic" w:hAnsi="Verdana" w:cs="Arial"/>
          <w:b/>
          <w:lang w:val="el-GR"/>
        </w:rPr>
        <w:t>,</w:t>
      </w:r>
      <w:r w:rsidR="00300596" w:rsidRPr="00300596">
        <w:rPr>
          <w:rFonts w:ascii="Verdana" w:eastAsia="Malgun Gothic" w:hAnsi="Verdana" w:cs="Arial"/>
          <w:b/>
          <w:lang w:val="el-GR"/>
        </w:rPr>
        <w:t>4</w:t>
      </w:r>
      <w:r w:rsidR="00E42474" w:rsidRPr="00300596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300596">
        <w:rPr>
          <w:rFonts w:ascii="Verdana" w:eastAsia="Malgun Gothic" w:hAnsi="Verdana" w:cs="Arial"/>
          <w:b/>
          <w:lang w:val="el-GR"/>
        </w:rPr>
        <w:t>Α</w:t>
      </w:r>
      <w:r w:rsidR="00E42474" w:rsidRPr="00300596">
        <w:rPr>
          <w:rFonts w:ascii="Verdana" w:eastAsia="Malgun Gothic" w:hAnsi="Verdana" w:cs="Arial"/>
          <w:b/>
          <w:lang w:val="el-GR"/>
        </w:rPr>
        <w:t>ξία και +</w:t>
      </w:r>
      <w:r w:rsidR="00D80271" w:rsidRPr="00300596">
        <w:rPr>
          <w:rFonts w:ascii="Verdana" w:eastAsia="Malgun Gothic" w:hAnsi="Verdana" w:cs="Arial"/>
          <w:b/>
          <w:lang w:val="el-GR"/>
        </w:rPr>
        <w:t>6</w:t>
      </w:r>
      <w:r w:rsidRPr="00300596">
        <w:rPr>
          <w:rFonts w:ascii="Verdana" w:eastAsia="Malgun Gothic" w:hAnsi="Verdana" w:cs="Arial"/>
          <w:b/>
          <w:lang w:val="el-GR"/>
        </w:rPr>
        <w:t>,</w:t>
      </w:r>
      <w:r w:rsidR="00300596" w:rsidRPr="00300596">
        <w:rPr>
          <w:rFonts w:ascii="Verdana" w:eastAsia="Malgun Gothic" w:hAnsi="Verdana" w:cs="Arial"/>
          <w:b/>
          <w:lang w:val="el-GR"/>
        </w:rPr>
        <w:t>4</w:t>
      </w:r>
      <w:r w:rsidRPr="00300596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300596">
        <w:rPr>
          <w:rFonts w:ascii="Verdana" w:eastAsia="Malgun Gothic" w:hAnsi="Verdana" w:cs="Arial"/>
          <w:b/>
          <w:lang w:val="el-GR"/>
        </w:rPr>
        <w:t>Ό</w:t>
      </w:r>
      <w:r w:rsidRPr="00300596">
        <w:rPr>
          <w:rFonts w:ascii="Verdana" w:eastAsia="Malgun Gothic" w:hAnsi="Verdana" w:cs="Arial"/>
          <w:b/>
          <w:lang w:val="el-GR"/>
        </w:rPr>
        <w:t>γκο</w:t>
      </w:r>
    </w:p>
    <w:p w14:paraId="42DA3C15" w14:textId="77777777" w:rsidR="0057334B" w:rsidRPr="00300596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0A7D12F4" w:rsidR="0057334B" w:rsidRPr="00300596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3C67CD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Ιούνιο 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9041AB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0431F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D80271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00596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E42474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αυξήθηκε 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D80271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00596"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30059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με τον αντίστοιχο μήνα του προηγούμενου έτους (Πίνακας 2). </w:t>
      </w:r>
    </w:p>
    <w:p w14:paraId="2E9BB5B5" w14:textId="77777777" w:rsidR="0057334B" w:rsidRPr="00300596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045599FB" w:rsidR="0057334B" w:rsidRPr="00F2279E" w:rsidRDefault="00261150" w:rsidP="0057334B">
      <w:pPr>
        <w:jc w:val="center"/>
        <w:rPr>
          <w:noProof/>
          <w:lang w:val="el-GR"/>
        </w:rPr>
      </w:pPr>
      <w:r>
        <w:rPr>
          <w:noProof/>
          <w:lang w:val="el-GR"/>
        </w:rPr>
        <w:drawing>
          <wp:inline distT="0" distB="0" distL="0" distR="0" wp14:anchorId="29C3A1C8" wp14:editId="55099C8A">
            <wp:extent cx="6084000" cy="4377697"/>
            <wp:effectExtent l="0" t="0" r="0" b="3810"/>
            <wp:docPr id="2099534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0" cy="4377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3E5F14" w14:textId="7328E09E" w:rsidR="0057334B" w:rsidRDefault="0057334B" w:rsidP="009B6E6C">
      <w:pPr>
        <w:jc w:val="center"/>
        <w:rPr>
          <w:noProof/>
          <w:lang w:val="el-GR"/>
        </w:rPr>
      </w:pPr>
      <w:r w:rsidRPr="002F1D6F">
        <w:rPr>
          <w:noProof/>
          <w:lang w:val="el-GR"/>
        </w:rPr>
        <w:br w:type="page"/>
      </w:r>
    </w:p>
    <w:p w14:paraId="41410AA8" w14:textId="77777777" w:rsidR="00261150" w:rsidRPr="00261150" w:rsidRDefault="00261150" w:rsidP="00261150">
      <w:pPr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2989"/>
        <w:gridCol w:w="1417"/>
        <w:gridCol w:w="269"/>
        <w:gridCol w:w="1739"/>
        <w:gridCol w:w="1846"/>
      </w:tblGrid>
      <w:tr w:rsidR="0057334B" w:rsidRPr="006E42F6" w14:paraId="750A6AA4" w14:textId="77777777" w:rsidTr="00261150">
        <w:trPr>
          <w:trHeight w:val="284"/>
          <w:jc w:val="center"/>
        </w:trPr>
        <w:tc>
          <w:tcPr>
            <w:tcW w:w="10658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77777777" w:rsidR="0057334B" w:rsidRPr="006E42F6" w:rsidRDefault="0057334B" w:rsidP="00CF57C8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Πίνακας 1</w:t>
            </w:r>
          </w:p>
        </w:tc>
      </w:tr>
      <w:tr w:rsidR="0057334B" w:rsidRPr="006E42F6" w14:paraId="0733693A" w14:textId="77777777" w:rsidTr="00261150">
        <w:trPr>
          <w:trHeight w:val="680"/>
          <w:jc w:val="center"/>
        </w:trPr>
        <w:tc>
          <w:tcPr>
            <w:tcW w:w="2398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2989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1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3590" w14:textId="77777777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 Αξίας (2015=100)</w:t>
            </w:r>
          </w:p>
        </w:tc>
        <w:tc>
          <w:tcPr>
            <w:tcW w:w="26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57334B" w:rsidRPr="002640EA" w14:paraId="4774238E" w14:textId="77777777" w:rsidTr="00261150">
        <w:trPr>
          <w:trHeight w:val="624"/>
          <w:jc w:val="center"/>
        </w:trPr>
        <w:tc>
          <w:tcPr>
            <w:tcW w:w="2398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57334B" w:rsidRPr="006E42F6" w:rsidRDefault="0057334B" w:rsidP="00CF57C8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989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57334B" w:rsidRPr="006E42F6" w:rsidRDefault="0057334B" w:rsidP="00CF57C8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B225F1" w14:textId="6E5487B4" w:rsidR="00032C17" w:rsidRDefault="003C67CD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Ιούνιος</w:t>
            </w:r>
            <w:r w:rsidR="00B85A8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1588EFE3" w14:textId="6B91E95B" w:rsidR="0057334B" w:rsidRPr="00380A10" w:rsidRDefault="009041A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6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57334B" w:rsidRPr="00380A10" w:rsidRDefault="0057334B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C5B5072" w14:textId="44B84205" w:rsidR="0057334B" w:rsidRPr="002640EA" w:rsidRDefault="003C67CD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Ιούνιος</w:t>
            </w:r>
            <w:r w:rsidR="0057334B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9041A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57334B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57334B" w:rsidRPr="002640E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       </w:t>
            </w:r>
          </w:p>
          <w:p w14:paraId="162A0C71" w14:textId="625D3469" w:rsidR="0057334B" w:rsidRPr="00380A10" w:rsidRDefault="0057334B" w:rsidP="00F24BE4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3C67C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Ιούνιος</w:t>
            </w:r>
            <w:r w:rsidR="00DC37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9041AB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</w:tc>
        <w:tc>
          <w:tcPr>
            <w:tcW w:w="184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05E189" w14:textId="0534A545" w:rsidR="00FC68C3" w:rsidRPr="00380A10" w:rsidRDefault="00FC68C3" w:rsidP="00F24BE4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Ιουν</w:t>
            </w:r>
            <w:r w:rsidR="00DC37A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 w:rsidR="00FD182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</w:t>
            </w:r>
          </w:p>
          <w:p w14:paraId="4528C0AA" w14:textId="0BCE6517" w:rsidR="0057334B" w:rsidRPr="00380A10" w:rsidRDefault="00FC68C3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Ιουν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 w:rsidR="00FD1823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FC68C3" w:rsidRPr="00300596" w14:paraId="3B9F9AAC" w14:textId="77777777" w:rsidTr="00261150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D84EAB5" w14:textId="1C396E6E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F2CFFB6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των καυσίμων οχημάτων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32ABBF52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156,5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682B65E2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6B2C9F04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13,8</w:t>
            </w:r>
          </w:p>
        </w:tc>
      </w:tr>
      <w:tr w:rsidR="00FC68C3" w:rsidRPr="00300596" w14:paraId="6763C8E2" w14:textId="77777777" w:rsidTr="00261150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4FD8A2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DA9F9E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(σε μη ειδικευμένα καταστήματα)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196FD67F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149,8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1A2A71A4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53997A1C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13,4</w:t>
            </w:r>
          </w:p>
        </w:tc>
      </w:tr>
      <w:tr w:rsidR="00FC68C3" w:rsidRPr="00300596" w14:paraId="69EB27EF" w14:textId="77777777" w:rsidTr="00261150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A1E7900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E14F6E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Τρόφιμα, ποτά, καπνός (σε μη ειδικευμένα καταστήματα)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62202738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153,9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FC68C3" w:rsidRPr="00097198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326756A0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12,7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065172B7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13,3</w:t>
            </w:r>
          </w:p>
        </w:tc>
      </w:tr>
      <w:tr w:rsidR="00FC68C3" w:rsidRPr="00300596" w14:paraId="6CFABFB4" w14:textId="77777777" w:rsidTr="00261150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D67DB0E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44BA31F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 λιανικό εμπόριο (σε μη ειδικευμένα καταστήματα)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59377534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90,1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607F1115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3FF1CA37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14,9</w:t>
            </w:r>
          </w:p>
        </w:tc>
      </w:tr>
      <w:tr w:rsidR="00FC68C3" w:rsidRPr="00300596" w14:paraId="2AFA2B80" w14:textId="77777777" w:rsidTr="00261150">
        <w:trPr>
          <w:trHeight w:val="87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A9952B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706960A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τροφίμων, ποτών, καπνού (σε ειδικευμένα καταστήματα)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6F53AE5E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136,6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FC68C3" w:rsidRPr="006E42F6" w:rsidRDefault="00FC68C3" w:rsidP="00B1041C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7194E7F0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17,9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21ED0D42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18,8</w:t>
            </w:r>
          </w:p>
        </w:tc>
      </w:tr>
      <w:tr w:rsidR="00FC68C3" w:rsidRPr="006E42F6" w14:paraId="067C928F" w14:textId="77777777" w:rsidTr="00261150">
        <w:trPr>
          <w:trHeight w:val="567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A639462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47.2+47.11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394046FF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προϊόντα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00DBF628" w:rsidR="00FC68C3" w:rsidRPr="00F448C1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151,3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02007B84" w:rsidR="00FC68C3" w:rsidRPr="00F448C1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3405FC2A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14,0</w:t>
            </w:r>
          </w:p>
        </w:tc>
      </w:tr>
      <w:tr w:rsidR="00FC68C3" w:rsidRPr="00300596" w14:paraId="6C2C7D17" w14:textId="77777777" w:rsidTr="00261150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740F2B3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47.19+47.4+47.5</w:t>
            </w:r>
          </w:p>
          <w:p w14:paraId="04F93229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+47.6+47.7+47.9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705EF09" w14:textId="77777777" w:rsidR="00FC68C3" w:rsidRPr="006E42F6" w:rsidRDefault="00FC68C3" w:rsidP="00FC68C3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προϊόντα (εκτός των καυσίμων οχημάτων)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55859B02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162,8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FC68C3" w:rsidRPr="006E42F6" w:rsidRDefault="00FC68C3" w:rsidP="00B1041C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7D60CED2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11,4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30A30662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13,6</w:t>
            </w:r>
          </w:p>
        </w:tc>
      </w:tr>
      <w:tr w:rsidR="00FC68C3" w:rsidRPr="006E42F6" w14:paraId="0FC1F9A0" w14:textId="77777777" w:rsidTr="00261150">
        <w:trPr>
          <w:trHeight w:val="680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01C7CBAD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47.51+47.71+47.72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8DD6A1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Υφάσματα, ενδύματα, υποδήματα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0B285C0F" w:rsidR="00FC68C3" w:rsidRPr="00F448C1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159,7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6D38B4FC" w:rsidR="00FC68C3" w:rsidRPr="00F448C1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13,3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7E6EC159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18,5</w:t>
            </w:r>
          </w:p>
        </w:tc>
      </w:tr>
      <w:tr w:rsidR="00FC68C3" w:rsidRPr="00300596" w14:paraId="7CA505BA" w14:textId="77777777" w:rsidTr="00261150">
        <w:trPr>
          <w:trHeight w:val="964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F9223E0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47.43+47.52+47.54</w:t>
            </w:r>
          </w:p>
          <w:p w14:paraId="44771D6B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+47.59+47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.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63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8B071EE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Ηλεκτρικές οικιακές συσκευές, έπιπλα, φωτιστικά, οικοδομικά υλικά, κ.ά.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6A22FB18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209,6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2383025B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4FD488C7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9,6</w:t>
            </w:r>
          </w:p>
        </w:tc>
      </w:tr>
      <w:tr w:rsidR="00FC68C3" w:rsidRPr="00300596" w14:paraId="62713B0F" w14:textId="77777777" w:rsidTr="00261150">
        <w:trPr>
          <w:trHeight w:val="170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61D9B9D6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47.41+47.42+47.53</w:t>
            </w:r>
          </w:p>
          <w:p w14:paraId="78BB3DF3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+47.61+47.62+47.64</w:t>
            </w:r>
          </w:p>
          <w:p w14:paraId="4244931B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5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+47.76</w:t>
            </w:r>
          </w:p>
          <w:p w14:paraId="5BCC482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+47.77+47.78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6F8D5BC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Ηλεκτρονικοί υπολογιστές και τηλεπικοινωνιακός εξοπλισμός, κουρτίνες, χαλιά, βιβλία, γραφική ύλη, αθλητικός εξοπλισμός, παιγνίδια, άνθη, φυτά, ρολόγια, κοσμήματα, κ.ά.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C77C5" w14:textId="4C74082D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152,8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B9EAD" w14:textId="77777777" w:rsidR="00FC68C3" w:rsidRPr="006E42F6" w:rsidRDefault="00FC68C3" w:rsidP="00B1041C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3215" w14:textId="65A4E430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15,3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2460" w14:textId="28F3A32F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17,6</w:t>
            </w:r>
          </w:p>
        </w:tc>
      </w:tr>
      <w:tr w:rsidR="00FC68C3" w:rsidRPr="00300596" w14:paraId="52F20EA4" w14:textId="77777777" w:rsidTr="00261150">
        <w:trPr>
          <w:trHeight w:val="851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CF39387" w14:textId="77777777" w:rsidR="00FC68C3" w:rsidRPr="006E42F6" w:rsidRDefault="00FC68C3" w:rsidP="00FC68C3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76F7D29" w14:textId="77777777" w:rsidR="00FC68C3" w:rsidRPr="006E42F6" w:rsidRDefault="00FC68C3" w:rsidP="00FC68C3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καυσίμων οχημάτων σε ειδικευμένα καταστήματα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6708802B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127,6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FC68C3" w:rsidRPr="006E42F6" w:rsidRDefault="00FC68C3" w:rsidP="00B1041C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1D1E5B34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-17,6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1820BAF4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-5,4</w:t>
            </w:r>
          </w:p>
        </w:tc>
      </w:tr>
      <w:tr w:rsidR="00FC68C3" w:rsidRPr="00300596" w14:paraId="35B70EC7" w14:textId="77777777" w:rsidTr="00261150">
        <w:trPr>
          <w:trHeight w:hRule="exact" w:val="57"/>
          <w:jc w:val="center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2B2883F1" w14:textId="77777777" w:rsidR="00FC68C3" w:rsidRPr="006849EF" w:rsidRDefault="00FC68C3" w:rsidP="00FC68C3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C5A90A3" w14:textId="77777777" w:rsidR="00FC68C3" w:rsidRPr="006849EF" w:rsidRDefault="00FC68C3" w:rsidP="00FC68C3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77777777" w:rsidR="00FC68C3" w:rsidRPr="006849EF" w:rsidRDefault="00FC68C3" w:rsidP="001C1403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77777777" w:rsidR="00FC68C3" w:rsidRPr="006849EF" w:rsidRDefault="00FC68C3" w:rsidP="00261150">
            <w:pPr>
              <w:ind w:right="478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77777777" w:rsidR="00FC68C3" w:rsidRPr="006849EF" w:rsidRDefault="00FC68C3" w:rsidP="00261150">
            <w:pPr>
              <w:ind w:right="622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FC68C3" w:rsidRPr="00300596" w14:paraId="2E9C0013" w14:textId="77777777" w:rsidTr="00261150">
        <w:trPr>
          <w:trHeight w:hRule="exact" w:val="1134"/>
          <w:jc w:val="center"/>
        </w:trPr>
        <w:tc>
          <w:tcPr>
            <w:tcW w:w="239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4ABECBA3" w14:textId="77777777" w:rsidR="00FC68C3" w:rsidRPr="006E42F6" w:rsidRDefault="00FC68C3" w:rsidP="00FC68C3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298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14971797" w14:textId="77777777" w:rsidR="00FC68C3" w:rsidRPr="006E42F6" w:rsidRDefault="00FC68C3" w:rsidP="00FC68C3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1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49544B95" w:rsidR="00FC68C3" w:rsidRPr="00300596" w:rsidRDefault="00300596" w:rsidP="001C1403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153,0</w:t>
            </w:r>
          </w:p>
        </w:tc>
        <w:tc>
          <w:tcPr>
            <w:tcW w:w="26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FC68C3" w:rsidRPr="006E42F6" w:rsidRDefault="00FC68C3" w:rsidP="00B1041C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3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3610E919" w:rsidR="00FC68C3" w:rsidRPr="00300596" w:rsidRDefault="00300596" w:rsidP="00261150">
            <w:pPr>
              <w:ind w:right="478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8,4</w:t>
            </w:r>
          </w:p>
        </w:tc>
        <w:tc>
          <w:tcPr>
            <w:tcW w:w="184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3351D0E8" w:rsidR="00FC68C3" w:rsidRPr="00E17802" w:rsidRDefault="00E17802" w:rsidP="00261150">
            <w:pPr>
              <w:ind w:right="622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11,5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p w14:paraId="4F16976E" w14:textId="77777777" w:rsidR="00261150" w:rsidRPr="00D65504" w:rsidRDefault="00261150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2927"/>
        <w:gridCol w:w="1559"/>
        <w:gridCol w:w="271"/>
        <w:gridCol w:w="1714"/>
        <w:gridCol w:w="1842"/>
      </w:tblGrid>
      <w:tr w:rsidR="00032C17" w:rsidRPr="006E42F6" w14:paraId="29EADAEF" w14:textId="77777777" w:rsidTr="00261150">
        <w:trPr>
          <w:trHeight w:val="284"/>
          <w:jc w:val="center"/>
        </w:trPr>
        <w:tc>
          <w:tcPr>
            <w:tcW w:w="231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0809FC2" w14:textId="4B8C0012" w:rsidR="00032C17" w:rsidRPr="00032C17" w:rsidRDefault="00032C17" w:rsidP="00032C17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</w:rPr>
              <w:t>2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17DB2D6" w14:textId="77777777" w:rsidR="00032C17" w:rsidRPr="006E42F6" w:rsidRDefault="00032C17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E42A204" w14:textId="77777777" w:rsidR="00032C17" w:rsidRPr="006E42F6" w:rsidRDefault="00032C17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5D4E7168" w14:textId="77777777" w:rsidR="00032C17" w:rsidRPr="006E42F6" w:rsidRDefault="00032C17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56189A9" w14:textId="77777777" w:rsidR="00032C17" w:rsidRPr="006E42F6" w:rsidRDefault="00032C17" w:rsidP="00CF57C8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57334B" w:rsidRPr="006E42F6" w14:paraId="1A4CA09C" w14:textId="77777777" w:rsidTr="00261150">
        <w:trPr>
          <w:trHeight w:val="680"/>
          <w:jc w:val="center"/>
        </w:trPr>
        <w:tc>
          <w:tcPr>
            <w:tcW w:w="2318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936C05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6AA3B19D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NACE </w:t>
            </w:r>
            <w:proofErr w:type="spellStart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Αναθ</w:t>
            </w:r>
            <w:proofErr w:type="spellEnd"/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292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4E1BDE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033F6060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5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0F65A" w14:textId="77777777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 Όγκου (2015=100)</w:t>
            </w:r>
          </w:p>
        </w:tc>
        <w:tc>
          <w:tcPr>
            <w:tcW w:w="271" w:type="dxa"/>
            <w:vMerge w:val="restart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</w:tcPr>
          <w:p w14:paraId="6FD7AC5E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FFC828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5528D3A7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D24FA5" w:rsidRPr="006E42F6" w14:paraId="17A725CE" w14:textId="77777777" w:rsidTr="00261150">
        <w:trPr>
          <w:trHeight w:val="624"/>
          <w:jc w:val="center"/>
        </w:trPr>
        <w:tc>
          <w:tcPr>
            <w:tcW w:w="2318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08BA4C94" w14:textId="77777777" w:rsidR="00D24FA5" w:rsidRPr="006E42F6" w:rsidRDefault="00D24FA5" w:rsidP="00D24FA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92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E187D50" w14:textId="77777777" w:rsidR="00D24FA5" w:rsidRPr="006E42F6" w:rsidRDefault="00D24FA5" w:rsidP="00D24FA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8E862D0" w14:textId="22C5E3EA" w:rsidR="00D24FA5" w:rsidRDefault="003C67CD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Ιούνιος</w:t>
            </w:r>
            <w:r w:rsidR="00D24FA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  <w:p w14:paraId="3C8C6511" w14:textId="6623BD5F" w:rsidR="00D24FA5" w:rsidRPr="00380A10" w:rsidRDefault="00D24FA5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2023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710E1284" w14:textId="77777777" w:rsidR="00D24FA5" w:rsidRPr="00380A10" w:rsidRDefault="00D24FA5" w:rsidP="00D24FA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424D05D" w14:textId="05AC6897" w:rsidR="00D24FA5" w:rsidRPr="002640EA" w:rsidRDefault="003C67CD" w:rsidP="00D24FA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Ιούνιος</w:t>
            </w:r>
            <w:r w:rsidR="00D24FA5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202</w:t>
            </w:r>
            <w:r w:rsidR="00D24FA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="00D24FA5"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</w:t>
            </w:r>
            <w:r w:rsidR="00D24FA5" w:rsidRPr="002640E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        </w:t>
            </w:r>
          </w:p>
          <w:p w14:paraId="685DC1B9" w14:textId="66DCEBEA" w:rsidR="00D24FA5" w:rsidRPr="00380A10" w:rsidRDefault="00D24FA5" w:rsidP="00D24FA5">
            <w:pP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3C67C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Ιούνιος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</w:tc>
        <w:tc>
          <w:tcPr>
            <w:tcW w:w="1842" w:type="dxa"/>
            <w:tcBorders>
              <w:top w:val="single" w:sz="4" w:space="0" w:color="2F5496" w:themeColor="accent1" w:themeShade="BF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68A21B9" w14:textId="07EC35E4" w:rsidR="00D24FA5" w:rsidRPr="00380A10" w:rsidRDefault="00D24FA5" w:rsidP="00D24FA5">
            <w:pPr>
              <w:jc w:val="center"/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Ιουν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</w:t>
            </w:r>
          </w:p>
          <w:p w14:paraId="29720E9B" w14:textId="29930BE2" w:rsidR="00D24FA5" w:rsidRPr="00380A10" w:rsidRDefault="00D24FA5" w:rsidP="00D24FA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C67CD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Ιουν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D24FA5" w:rsidRPr="00300596" w14:paraId="39FEA08E" w14:textId="77777777" w:rsidTr="00261150">
        <w:trPr>
          <w:trHeight w:val="680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02620CFB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698B50E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των καυσίμων οχημάτων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69296" w14:textId="1486DA07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143,4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24D51" w14:textId="77777777" w:rsidR="00D24FA5" w:rsidRPr="003C67CD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D5EE" w14:textId="6BE251AF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8082E" w14:textId="31E2633B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7,9</w:t>
            </w:r>
          </w:p>
        </w:tc>
      </w:tr>
      <w:tr w:rsidR="00D24FA5" w:rsidRPr="00300596" w14:paraId="21C077B3" w14:textId="77777777" w:rsidTr="00261150">
        <w:trPr>
          <w:trHeight w:val="680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78624B3D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DED5353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(σε μη ειδικευμένα καταστήματα)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29435" w14:textId="73A7F60D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131,9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C953D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612C9" w14:textId="66015AF1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B89C1" w14:textId="4CA9894E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5,4</w:t>
            </w:r>
          </w:p>
        </w:tc>
      </w:tr>
      <w:tr w:rsidR="00D24FA5" w:rsidRPr="00300596" w14:paraId="3CE0462F" w14:textId="77777777" w:rsidTr="00261150">
        <w:trPr>
          <w:trHeight w:val="851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6FBCC58C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7F37C8D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Τρόφιμα, ποτά, καπνός (σε μη ειδικευμένα καταστήματα)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0E42" w14:textId="12B65319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135,5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5B612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69DF1" w14:textId="70A976FD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5F260" w14:textId="2BA051F5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5,3</w:t>
            </w:r>
          </w:p>
        </w:tc>
      </w:tr>
      <w:tr w:rsidR="00D24FA5" w:rsidRPr="00300596" w14:paraId="325CDF91" w14:textId="77777777" w:rsidTr="00261150">
        <w:trPr>
          <w:trHeight w:val="851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02F155EA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F79A781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 λιανικό εμπόριο (σε μη ειδικευμένα καταστήματα)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BF43A" w14:textId="52A7DA9A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78,5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54949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944DE" w14:textId="18AB166D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3E034" w14:textId="329D1F2A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7,0</w:t>
            </w:r>
          </w:p>
        </w:tc>
      </w:tr>
      <w:tr w:rsidR="00D24FA5" w:rsidRPr="00300596" w14:paraId="12283BE4" w14:textId="77777777" w:rsidTr="00261150">
        <w:trPr>
          <w:trHeight w:val="870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2FF98BC1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137328EF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τροφίμων, ποτών, καπνού (σε ειδικευμένα καταστήματα)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606AE" w14:textId="60E34F36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115,1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B2158" w14:textId="77777777" w:rsidR="00D24FA5" w:rsidRPr="006E42F6" w:rsidRDefault="00D24FA5" w:rsidP="00D24FA5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0888" w14:textId="40ECAD1B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321E6" w14:textId="0AAAEE0C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11,4</w:t>
            </w:r>
          </w:p>
        </w:tc>
      </w:tr>
      <w:tr w:rsidR="00D24FA5" w:rsidRPr="006E42F6" w14:paraId="3ACFEEAF" w14:textId="77777777" w:rsidTr="00261150">
        <w:trPr>
          <w:trHeight w:val="567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2C8E4A4F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47.2+47.11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9C5802E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προϊόντα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3497D" w14:textId="5B2C77EF" w:rsidR="00D24FA5" w:rsidRPr="00667D02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132,5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2603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A269E" w14:textId="185995A9" w:rsidR="00D24FA5" w:rsidRPr="00667D02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859F6" w14:textId="1579D36D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6,1</w:t>
            </w:r>
          </w:p>
        </w:tc>
      </w:tr>
      <w:tr w:rsidR="00D24FA5" w:rsidRPr="00300596" w14:paraId="22EECD9E" w14:textId="77777777" w:rsidTr="00261150">
        <w:trPr>
          <w:trHeight w:val="851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560491E1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47.19+47.4+47.5</w:t>
            </w:r>
          </w:p>
          <w:p w14:paraId="085D4A92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+47.6+47.7+47.9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7E0270BE" w14:textId="77777777" w:rsidR="00D24FA5" w:rsidRPr="006E42F6" w:rsidRDefault="00D24FA5" w:rsidP="00D24FA5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προϊόντα (εκτός των καυσίμων οχημάτων)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C2195" w14:textId="7D7D9001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156,9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13502" w14:textId="77777777" w:rsidR="00D24FA5" w:rsidRPr="006E42F6" w:rsidRDefault="00D24FA5" w:rsidP="00D24FA5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B6C70" w14:textId="2410CE26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CEF1" w14:textId="64413415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10,1</w:t>
            </w:r>
          </w:p>
        </w:tc>
      </w:tr>
      <w:tr w:rsidR="00D24FA5" w:rsidRPr="006E42F6" w14:paraId="0017E962" w14:textId="77777777" w:rsidTr="00261150">
        <w:trPr>
          <w:trHeight w:val="680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3E52E69D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47.51+47.71+47.72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0D65E211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Υφάσματα, ενδύματα, υποδήματα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4F2A" w14:textId="13B7FEB5" w:rsidR="00D24FA5" w:rsidRPr="00667D02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147,7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BF73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534D" w14:textId="39E8E1D5" w:rsidR="00D24FA5" w:rsidRPr="00667D02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89779" w14:textId="24A34CA7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16,3</w:t>
            </w:r>
          </w:p>
        </w:tc>
      </w:tr>
      <w:tr w:rsidR="00D24FA5" w:rsidRPr="00300596" w14:paraId="58F2D67A" w14:textId="77777777" w:rsidTr="00261150">
        <w:trPr>
          <w:trHeight w:val="964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306101C9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47.43+47.52+47.54</w:t>
            </w:r>
          </w:p>
          <w:p w14:paraId="148E43CE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+47.59+47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.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63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0CBF766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Ηλεκτρικές οικιακές συσκευές, έπιπλα, φωτιστικά, οικοδομικά υλικά, κ.ά.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EDB6C" w14:textId="4C7ADB7C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192,0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49021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A3049" w14:textId="4FEE846A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B2262" w14:textId="05A32744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5,9</w:t>
            </w:r>
          </w:p>
        </w:tc>
      </w:tr>
      <w:tr w:rsidR="00D24FA5" w:rsidRPr="00300596" w14:paraId="3A8BB11F" w14:textId="77777777" w:rsidTr="00261150">
        <w:trPr>
          <w:trHeight w:val="1702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771AEE18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47.41+47.42+47.53</w:t>
            </w:r>
          </w:p>
          <w:p w14:paraId="5F2CFE83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+47.61+47.62+47.64</w:t>
            </w:r>
          </w:p>
          <w:p w14:paraId="5C2CC1BA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+47.6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5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+47.76</w:t>
            </w:r>
          </w:p>
          <w:p w14:paraId="3C10EA1E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+47.77+47.78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6FF249CD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Ηλεκτρονικοί υπολογιστές και τηλεπικοινωνιακός εξοπλισμός, κουρτίνες, χαλιά, βιβλία, γραφική ύλη, αθλητικός εξοπλισμός, παιγνίδια, άνθη, φυτά, ρολόγια, κοσμήματα, κ.ά.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6338F" w14:textId="5C7E99BD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160,3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4D8FB" w14:textId="77777777" w:rsidR="00D24FA5" w:rsidRPr="006E42F6" w:rsidRDefault="00D24FA5" w:rsidP="00D24FA5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4DB78" w14:textId="71FD3559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44C9C" w14:textId="345468F0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13,7</w:t>
            </w:r>
          </w:p>
        </w:tc>
      </w:tr>
      <w:tr w:rsidR="00D24FA5" w:rsidRPr="00300596" w14:paraId="3B8D2286" w14:textId="77777777" w:rsidTr="00261150">
        <w:trPr>
          <w:trHeight w:val="851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1C16D1CC" w14:textId="77777777" w:rsidR="00D24FA5" w:rsidRPr="006E42F6" w:rsidRDefault="00D24FA5" w:rsidP="00D24FA5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center"/>
          </w:tcPr>
          <w:p w14:paraId="327B494A" w14:textId="77777777" w:rsidR="00D24FA5" w:rsidRPr="006E42F6" w:rsidRDefault="00D24FA5" w:rsidP="00D24FA5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καυσίμων οχημάτων σε ειδικευμένα καταστήματα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76EFB" w14:textId="7AD7B57E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111,8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95785" w14:textId="77777777" w:rsidR="00D24FA5" w:rsidRPr="006E42F6" w:rsidRDefault="00D24FA5" w:rsidP="00D24FA5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F55F8" w14:textId="31CBE8A5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1DDF6" w14:textId="46BE7105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  <w:lang w:val="el-GR"/>
              </w:rPr>
              <w:t>3,0</w:t>
            </w:r>
          </w:p>
        </w:tc>
      </w:tr>
      <w:tr w:rsidR="00D24FA5" w:rsidRPr="00300596" w14:paraId="1C348B90" w14:textId="77777777" w:rsidTr="00261150">
        <w:trPr>
          <w:trHeight w:hRule="exact" w:val="57"/>
          <w:jc w:val="center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247C5" w14:textId="77777777" w:rsidR="00D24FA5" w:rsidRPr="006849EF" w:rsidRDefault="00D24FA5" w:rsidP="00D24FA5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82948" w14:textId="77777777" w:rsidR="00D24FA5" w:rsidRPr="006849EF" w:rsidRDefault="00D24FA5" w:rsidP="00D24FA5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48B65" w14:textId="77777777" w:rsidR="00D24FA5" w:rsidRPr="006849EF" w:rsidRDefault="00D24FA5" w:rsidP="00D24FA5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6C2B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9C97" w14:textId="77777777" w:rsidR="00D24FA5" w:rsidRPr="006849EF" w:rsidRDefault="00D24FA5" w:rsidP="00261150">
            <w:pPr>
              <w:ind w:right="456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2724" w14:textId="77777777" w:rsidR="00D24FA5" w:rsidRPr="006849EF" w:rsidRDefault="00D24FA5" w:rsidP="00261150">
            <w:pPr>
              <w:ind w:right="60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D24FA5" w:rsidRPr="00300596" w14:paraId="15EAAD29" w14:textId="77777777" w:rsidTr="00261150">
        <w:trPr>
          <w:trHeight w:hRule="exact" w:val="1134"/>
          <w:jc w:val="center"/>
        </w:trPr>
        <w:tc>
          <w:tcPr>
            <w:tcW w:w="231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</w:tcMar>
            <w:vAlign w:val="center"/>
          </w:tcPr>
          <w:p w14:paraId="26DAD3FA" w14:textId="77777777" w:rsidR="00D24FA5" w:rsidRPr="006E42F6" w:rsidRDefault="00D24FA5" w:rsidP="00D24FA5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292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402EE4B" w14:textId="77777777" w:rsidR="00D24FA5" w:rsidRPr="006E42F6" w:rsidRDefault="00D24FA5" w:rsidP="00D24FA5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F7C903B" w14:textId="2F8C070D" w:rsidR="00D24FA5" w:rsidRPr="008812A3" w:rsidRDefault="008812A3" w:rsidP="00D24FA5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139,6</w:t>
            </w:r>
          </w:p>
        </w:tc>
        <w:tc>
          <w:tcPr>
            <w:tcW w:w="2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8B6113C" w14:textId="77777777" w:rsidR="00D24FA5" w:rsidRPr="006E42F6" w:rsidRDefault="00D24FA5" w:rsidP="00D24FA5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71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BFF08F" w14:textId="27397449" w:rsidR="00D24FA5" w:rsidRPr="008812A3" w:rsidRDefault="008812A3" w:rsidP="00261150">
            <w:pPr>
              <w:ind w:right="456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6,4</w:t>
            </w:r>
          </w:p>
        </w:tc>
        <w:tc>
          <w:tcPr>
            <w:tcW w:w="184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7C558C" w14:textId="004D3FF1" w:rsidR="00D24FA5" w:rsidRPr="0052770E" w:rsidRDefault="0052770E" w:rsidP="00261150">
            <w:pPr>
              <w:ind w:right="60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  <w:t>7,4</w:t>
            </w:r>
          </w:p>
        </w:tc>
      </w:tr>
    </w:tbl>
    <w:p w14:paraId="6701B471" w14:textId="77777777" w:rsidR="0057334B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</w:p>
    <w:p w14:paraId="2B885777" w14:textId="77777777" w:rsidR="00261150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</w:p>
    <w:p w14:paraId="6C793164" w14:textId="77777777" w:rsidR="00261150" w:rsidRPr="00261150" w:rsidRDefault="00261150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5C866973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 xml:space="preserve">λάδου 47 της στατιστικής ταξινόμησης οικονομικών δραστηριοτήτων NACE </w:t>
      </w:r>
      <w:proofErr w:type="spellStart"/>
      <w:r w:rsidRPr="00AE0687">
        <w:rPr>
          <w:rFonts w:ascii="Verdana" w:hAnsi="Verdana"/>
          <w:sz w:val="18"/>
          <w:szCs w:val="18"/>
          <w:lang w:val="el-GR"/>
        </w:rPr>
        <w:t>Αναθ</w:t>
      </w:r>
      <w:proofErr w:type="spellEnd"/>
      <w:r w:rsidRPr="00AE0687">
        <w:rPr>
          <w:rFonts w:ascii="Verdana" w:hAnsi="Verdana"/>
          <w:sz w:val="18"/>
          <w:szCs w:val="18"/>
          <w:lang w:val="el-GR"/>
        </w:rPr>
        <w:t>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5AB46E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Καλύπτονται όλες οι επιχειρήσεις που απασχολούν 10 ή περισσότερα άτομα και δείγμα από μικρότερες επιχειρήσεις.</w:t>
      </w: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77777777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με αποστολή τηλεομοιότυπων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2015,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2015.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για το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2015.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</w:t>
      </w:r>
      <w:proofErr w:type="spellStart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αποπληθωριστή</w:t>
      </w:r>
      <w:proofErr w:type="spellEnd"/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Αναθ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(2015)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καταρτισμός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γίνεται στο πλαίσιο εφαρμογής του </w:t>
      </w:r>
      <w:r>
        <w:rPr>
          <w:rFonts w:ascii="Verdana" w:hAnsi="Verdana"/>
          <w:sz w:val="18"/>
          <w:szCs w:val="18"/>
          <w:lang w:val="el-GR"/>
        </w:rPr>
        <w:t>Κανονισμού</w:t>
      </w:r>
      <w:r w:rsidRPr="000A066C">
        <w:rPr>
          <w:rFonts w:ascii="Verdana" w:hAnsi="Verdana"/>
          <w:sz w:val="18"/>
          <w:szCs w:val="18"/>
          <w:lang w:val="el-GR"/>
        </w:rPr>
        <w:t xml:space="preserve"> (ΕΕ) 2019/2152 σχετικά με τις 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</w:t>
      </w:r>
      <w:proofErr w:type="spellStart"/>
      <w:r>
        <w:rPr>
          <w:rFonts w:ascii="Verdana" w:hAnsi="Verdana"/>
          <w:sz w:val="18"/>
          <w:szCs w:val="18"/>
          <w:shd w:val="clear" w:color="auto" w:fill="FFFFFF"/>
          <w:lang w:val="el-GR"/>
        </w:rPr>
        <w:t>Eurostat</w:t>
      </w:r>
      <w:proofErr w:type="spellEnd"/>
      <w:r>
        <w:rPr>
          <w:rFonts w:ascii="Verdana" w:hAnsi="Verdana"/>
          <w:sz w:val="18"/>
          <w:szCs w:val="18"/>
          <w:shd w:val="clear" w:color="auto" w:fill="FFFFFF"/>
          <w:lang w:val="el-GR"/>
        </w:rPr>
        <w:t>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57334B"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57334B"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Pr="00F10EE0" w:rsidRDefault="00000000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57334B"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57334B"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="0057334B" w:rsidRPr="00040F97">
        <w:rPr>
          <w:rFonts w:ascii="Verdana" w:hAnsi="Verdana"/>
          <w:sz w:val="18"/>
          <w:szCs w:val="18"/>
        </w:rPr>
        <w:t>Excel</w:t>
      </w:r>
      <w:r w:rsidR="0057334B" w:rsidRPr="00F10EE0">
        <w:rPr>
          <w:rFonts w:ascii="Verdana" w:hAnsi="Verdana"/>
          <w:sz w:val="18"/>
          <w:szCs w:val="18"/>
          <w:lang w:val="el-GR"/>
        </w:rPr>
        <w:t>)</w:t>
      </w:r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7D8C606A" w14:textId="4DF9FE5A" w:rsidR="0018132D" w:rsidRPr="00DE4034" w:rsidRDefault="0018132D" w:rsidP="0057334B">
      <w:pPr>
        <w:jc w:val="both"/>
        <w:rPr>
          <w:rFonts w:ascii="Verdana" w:hAnsi="Verdana"/>
          <w:sz w:val="18"/>
          <w:szCs w:val="18"/>
          <w:lang w:val="el-GR"/>
        </w:rPr>
      </w:pPr>
      <w:bookmarkStart w:id="1" w:name="OLE_LINK1"/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DE403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DE4034">
        <w:rPr>
          <w:rFonts w:ascii="Verdana" w:hAnsi="Verdana"/>
          <w:b/>
          <w:bCs/>
          <w:sz w:val="18"/>
          <w:szCs w:val="18"/>
        </w:rPr>
        <w:t>Excel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</w:t>
      </w:r>
      <w:bookmarkEnd w:id="1"/>
      <w:r w:rsidR="00DE4034">
        <w:rPr>
          <w:rFonts w:ascii="Verdana" w:hAnsi="Verdana"/>
          <w:b/>
          <w:bCs/>
          <w:sz w:val="18"/>
          <w:szCs w:val="18"/>
          <w:lang w:val="el-GR"/>
        </w:rPr>
        <w:t xml:space="preserve"> 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 xml:space="preserve">Για τον Ιανουάριο 2023 και μετέπειτα, η ενημέρωση γίνεται μόνο στη Βάση Δεδομένων </w:t>
      </w:r>
      <w:r w:rsidRPr="00DE4034">
        <w:rPr>
          <w:rFonts w:ascii="Verdana" w:hAnsi="Verdana"/>
          <w:b/>
          <w:bCs/>
          <w:sz w:val="18"/>
          <w:szCs w:val="18"/>
        </w:rPr>
        <w:t>CYSTAT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DE4034">
        <w:rPr>
          <w:rFonts w:ascii="Verdana" w:hAnsi="Verdana"/>
          <w:b/>
          <w:bCs/>
          <w:sz w:val="18"/>
          <w:szCs w:val="18"/>
        </w:rPr>
        <w:t>DB</w:t>
      </w:r>
      <w:r w:rsidRPr="00DE403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2003666C" w14:textId="77777777" w:rsidR="0057334B" w:rsidRPr="00DE4034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Ευαγγελία Ευσταθίου: </w:t>
      </w:r>
      <w:proofErr w:type="spellStart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2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2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DE4034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DE4034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3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3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1BAD1" w14:textId="77777777" w:rsidR="004070B6" w:rsidRDefault="004070B6" w:rsidP="00FB398F">
      <w:r>
        <w:separator/>
      </w:r>
    </w:p>
  </w:endnote>
  <w:endnote w:type="continuationSeparator" w:id="0">
    <w:p w14:paraId="1CFC65C7" w14:textId="77777777" w:rsidR="004070B6" w:rsidRDefault="004070B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D24FA5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</w:t>
    </w:r>
    <w:proofErr w:type="spellStart"/>
    <w:r w:rsidRPr="00233FBF">
      <w:rPr>
        <w:rFonts w:ascii="Arial" w:hAnsi="Arial" w:cs="Arial"/>
        <w:i/>
        <w:iCs/>
        <w:sz w:val="16"/>
        <w:szCs w:val="16"/>
        <w:lang w:val="de-DE"/>
      </w:rPr>
      <w:t>E-mail</w:t>
    </w:r>
    <w:proofErr w:type="spellEnd"/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r w:rsidR="00000000">
      <w:fldChar w:fldCharType="begin"/>
    </w:r>
    <w:r w:rsidR="00000000">
      <w:instrText>HYPERLINK</w:instrText>
    </w:r>
    <w:r w:rsidR="00000000" w:rsidRPr="00261150">
      <w:rPr>
        <w:lang w:val="el-GR"/>
      </w:rPr>
      <w:instrText xml:space="preserve"> "</w:instrText>
    </w:r>
    <w:r w:rsidR="00000000">
      <w:instrText>mailto</w:instrText>
    </w:r>
    <w:r w:rsidR="00000000" w:rsidRPr="00261150">
      <w:rPr>
        <w:lang w:val="el-GR"/>
      </w:rPr>
      <w:instrText>:</w:instrText>
    </w:r>
    <w:r w:rsidR="00000000">
      <w:instrText>enquiries</w:instrText>
    </w:r>
    <w:r w:rsidR="00000000" w:rsidRPr="00261150">
      <w:rPr>
        <w:lang w:val="el-GR"/>
      </w:rPr>
      <w:instrText>@</w:instrText>
    </w:r>
    <w:r w:rsidR="00000000">
      <w:instrText>cystat</w:instrText>
    </w:r>
    <w:r w:rsidR="00000000" w:rsidRPr="00261150">
      <w:rPr>
        <w:lang w:val="el-GR"/>
      </w:rPr>
      <w:instrText>.</w:instrText>
    </w:r>
    <w:r w:rsidR="00000000">
      <w:instrText>mof</w:instrText>
    </w:r>
    <w:r w:rsidR="00000000" w:rsidRPr="00261150">
      <w:rPr>
        <w:lang w:val="el-GR"/>
      </w:rPr>
      <w:instrText>.</w:instrText>
    </w:r>
    <w:r w:rsidR="00000000">
      <w:instrText>gov</w:instrText>
    </w:r>
    <w:r w:rsidR="00000000" w:rsidRPr="00261150">
      <w:rPr>
        <w:lang w:val="el-GR"/>
      </w:rPr>
      <w:instrText>.</w:instrText>
    </w:r>
    <w:r w:rsidR="00000000">
      <w:instrText>cy</w:instrText>
    </w:r>
    <w:r w:rsidR="00000000" w:rsidRPr="00261150">
      <w:rPr>
        <w:lang w:val="el-GR"/>
      </w:rPr>
      <w:instrText>"</w:instrText>
    </w:r>
    <w:r w:rsidR="00000000">
      <w:fldChar w:fldCharType="separate"/>
    </w:r>
    <w:r w:rsidRPr="00233FBF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049FD" w14:textId="77777777" w:rsidR="004070B6" w:rsidRDefault="004070B6" w:rsidP="00FB398F">
      <w:r>
        <w:separator/>
      </w:r>
    </w:p>
  </w:footnote>
  <w:footnote w:type="continuationSeparator" w:id="0">
    <w:p w14:paraId="536EB301" w14:textId="77777777" w:rsidR="004070B6" w:rsidRDefault="004070B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542E"/>
    <w:rsid w:val="00013E40"/>
    <w:rsid w:val="000161B1"/>
    <w:rsid w:val="00025A39"/>
    <w:rsid w:val="000277D8"/>
    <w:rsid w:val="00027853"/>
    <w:rsid w:val="00030E18"/>
    <w:rsid w:val="00031D32"/>
    <w:rsid w:val="00032C17"/>
    <w:rsid w:val="0003603D"/>
    <w:rsid w:val="00045088"/>
    <w:rsid w:val="00045A06"/>
    <w:rsid w:val="00050391"/>
    <w:rsid w:val="00055291"/>
    <w:rsid w:val="000563D3"/>
    <w:rsid w:val="00057E44"/>
    <w:rsid w:val="00061299"/>
    <w:rsid w:val="00070576"/>
    <w:rsid w:val="000752BB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1070"/>
    <w:rsid w:val="000C4E72"/>
    <w:rsid w:val="000D1E7A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D6C"/>
    <w:rsid w:val="00106852"/>
    <w:rsid w:val="00110F9D"/>
    <w:rsid w:val="00114A67"/>
    <w:rsid w:val="00117C35"/>
    <w:rsid w:val="00124706"/>
    <w:rsid w:val="001253B6"/>
    <w:rsid w:val="001262C3"/>
    <w:rsid w:val="00127320"/>
    <w:rsid w:val="00127456"/>
    <w:rsid w:val="001312D8"/>
    <w:rsid w:val="0013137B"/>
    <w:rsid w:val="00140575"/>
    <w:rsid w:val="0015118B"/>
    <w:rsid w:val="001512B7"/>
    <w:rsid w:val="001519CE"/>
    <w:rsid w:val="00161CF3"/>
    <w:rsid w:val="00162C00"/>
    <w:rsid w:val="001639EF"/>
    <w:rsid w:val="0016589F"/>
    <w:rsid w:val="001712CF"/>
    <w:rsid w:val="0017295C"/>
    <w:rsid w:val="0017769A"/>
    <w:rsid w:val="0018132D"/>
    <w:rsid w:val="00181701"/>
    <w:rsid w:val="00183DFC"/>
    <w:rsid w:val="00184384"/>
    <w:rsid w:val="00186717"/>
    <w:rsid w:val="00187356"/>
    <w:rsid w:val="00187FFC"/>
    <w:rsid w:val="0019391C"/>
    <w:rsid w:val="0019636B"/>
    <w:rsid w:val="001A2018"/>
    <w:rsid w:val="001B1C0B"/>
    <w:rsid w:val="001B2C39"/>
    <w:rsid w:val="001B3675"/>
    <w:rsid w:val="001B5E10"/>
    <w:rsid w:val="001B6AB3"/>
    <w:rsid w:val="001B73D5"/>
    <w:rsid w:val="001C00EF"/>
    <w:rsid w:val="001C0681"/>
    <w:rsid w:val="001C1403"/>
    <w:rsid w:val="001C62B3"/>
    <w:rsid w:val="001C7C8C"/>
    <w:rsid w:val="001D0D6A"/>
    <w:rsid w:val="001D1CE2"/>
    <w:rsid w:val="001D20A4"/>
    <w:rsid w:val="001E00D1"/>
    <w:rsid w:val="001E0E58"/>
    <w:rsid w:val="001E14F3"/>
    <w:rsid w:val="001E15ED"/>
    <w:rsid w:val="001E61AA"/>
    <w:rsid w:val="0020309E"/>
    <w:rsid w:val="00205E6A"/>
    <w:rsid w:val="00210B58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0588"/>
    <w:rsid w:val="00261150"/>
    <w:rsid w:val="002640EA"/>
    <w:rsid w:val="00264F04"/>
    <w:rsid w:val="00267554"/>
    <w:rsid w:val="0028338F"/>
    <w:rsid w:val="0028740A"/>
    <w:rsid w:val="002915C4"/>
    <w:rsid w:val="00297E6B"/>
    <w:rsid w:val="002A1D1C"/>
    <w:rsid w:val="002A43D0"/>
    <w:rsid w:val="002A4D64"/>
    <w:rsid w:val="002B4969"/>
    <w:rsid w:val="002B6554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F37"/>
    <w:rsid w:val="003141D0"/>
    <w:rsid w:val="003168C1"/>
    <w:rsid w:val="00321C88"/>
    <w:rsid w:val="00322FBE"/>
    <w:rsid w:val="00325632"/>
    <w:rsid w:val="00327549"/>
    <w:rsid w:val="003342A5"/>
    <w:rsid w:val="00334616"/>
    <w:rsid w:val="003349AF"/>
    <w:rsid w:val="00336C36"/>
    <w:rsid w:val="00343815"/>
    <w:rsid w:val="003522BB"/>
    <w:rsid w:val="003528C5"/>
    <w:rsid w:val="00352F6C"/>
    <w:rsid w:val="003556EA"/>
    <w:rsid w:val="00364E6D"/>
    <w:rsid w:val="003765FB"/>
    <w:rsid w:val="00381127"/>
    <w:rsid w:val="0038422B"/>
    <w:rsid w:val="00386FC7"/>
    <w:rsid w:val="00390A32"/>
    <w:rsid w:val="003921CA"/>
    <w:rsid w:val="0039285D"/>
    <w:rsid w:val="003A1E91"/>
    <w:rsid w:val="003A40F2"/>
    <w:rsid w:val="003A5079"/>
    <w:rsid w:val="003A50D1"/>
    <w:rsid w:val="003B0F68"/>
    <w:rsid w:val="003B196D"/>
    <w:rsid w:val="003B2710"/>
    <w:rsid w:val="003B4608"/>
    <w:rsid w:val="003C2392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6822"/>
    <w:rsid w:val="003D724C"/>
    <w:rsid w:val="003E0CE2"/>
    <w:rsid w:val="003E1AE2"/>
    <w:rsid w:val="003F49E4"/>
    <w:rsid w:val="003F4D2F"/>
    <w:rsid w:val="003F5E32"/>
    <w:rsid w:val="003F71A0"/>
    <w:rsid w:val="003F75F6"/>
    <w:rsid w:val="00404670"/>
    <w:rsid w:val="004070B6"/>
    <w:rsid w:val="004144BC"/>
    <w:rsid w:val="00414CA0"/>
    <w:rsid w:val="004179F0"/>
    <w:rsid w:val="00420B2C"/>
    <w:rsid w:val="00422F54"/>
    <w:rsid w:val="00431516"/>
    <w:rsid w:val="00434B54"/>
    <w:rsid w:val="00435593"/>
    <w:rsid w:val="004361B3"/>
    <w:rsid w:val="0044249D"/>
    <w:rsid w:val="0044379F"/>
    <w:rsid w:val="00444FCC"/>
    <w:rsid w:val="00446FB1"/>
    <w:rsid w:val="00452753"/>
    <w:rsid w:val="00455051"/>
    <w:rsid w:val="0046078F"/>
    <w:rsid w:val="00461A03"/>
    <w:rsid w:val="00463214"/>
    <w:rsid w:val="0046434D"/>
    <w:rsid w:val="004656FA"/>
    <w:rsid w:val="0047110D"/>
    <w:rsid w:val="00471D77"/>
    <w:rsid w:val="0047252C"/>
    <w:rsid w:val="00475587"/>
    <w:rsid w:val="00476CE2"/>
    <w:rsid w:val="00480BC2"/>
    <w:rsid w:val="004845C3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599"/>
    <w:rsid w:val="004C1F7E"/>
    <w:rsid w:val="004C6CA7"/>
    <w:rsid w:val="004D4357"/>
    <w:rsid w:val="004D4950"/>
    <w:rsid w:val="004E2393"/>
    <w:rsid w:val="004E3745"/>
    <w:rsid w:val="004E42BE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1107B"/>
    <w:rsid w:val="00512F9C"/>
    <w:rsid w:val="0051717D"/>
    <w:rsid w:val="00522D03"/>
    <w:rsid w:val="0052770E"/>
    <w:rsid w:val="00527CDB"/>
    <w:rsid w:val="00530735"/>
    <w:rsid w:val="0053340D"/>
    <w:rsid w:val="005341C9"/>
    <w:rsid w:val="005369CA"/>
    <w:rsid w:val="00536DE9"/>
    <w:rsid w:val="0053702F"/>
    <w:rsid w:val="00541E08"/>
    <w:rsid w:val="00554FE0"/>
    <w:rsid w:val="0055789A"/>
    <w:rsid w:val="00560952"/>
    <w:rsid w:val="00561EB7"/>
    <w:rsid w:val="005652D1"/>
    <w:rsid w:val="005660A0"/>
    <w:rsid w:val="00566A4F"/>
    <w:rsid w:val="00567D64"/>
    <w:rsid w:val="0057334B"/>
    <w:rsid w:val="005978D4"/>
    <w:rsid w:val="005A23FA"/>
    <w:rsid w:val="005B2A67"/>
    <w:rsid w:val="005B3DCD"/>
    <w:rsid w:val="005B4AD4"/>
    <w:rsid w:val="005C2798"/>
    <w:rsid w:val="005C36C3"/>
    <w:rsid w:val="005C56EE"/>
    <w:rsid w:val="005D1714"/>
    <w:rsid w:val="005D7638"/>
    <w:rsid w:val="005E5D1F"/>
    <w:rsid w:val="005F12F5"/>
    <w:rsid w:val="005F7C7D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327B"/>
    <w:rsid w:val="00626B12"/>
    <w:rsid w:val="00632777"/>
    <w:rsid w:val="00633750"/>
    <w:rsid w:val="00634491"/>
    <w:rsid w:val="0063679C"/>
    <w:rsid w:val="00637055"/>
    <w:rsid w:val="00641D59"/>
    <w:rsid w:val="00644507"/>
    <w:rsid w:val="00646880"/>
    <w:rsid w:val="006474DF"/>
    <w:rsid w:val="00647D2A"/>
    <w:rsid w:val="006537BB"/>
    <w:rsid w:val="0065643E"/>
    <w:rsid w:val="00667D02"/>
    <w:rsid w:val="00667E07"/>
    <w:rsid w:val="00671785"/>
    <w:rsid w:val="00672BA9"/>
    <w:rsid w:val="00673005"/>
    <w:rsid w:val="006739F8"/>
    <w:rsid w:val="00676D19"/>
    <w:rsid w:val="006804BE"/>
    <w:rsid w:val="0068434A"/>
    <w:rsid w:val="0069008E"/>
    <w:rsid w:val="0069087E"/>
    <w:rsid w:val="006925C4"/>
    <w:rsid w:val="006A02B7"/>
    <w:rsid w:val="006A1BAF"/>
    <w:rsid w:val="006A7019"/>
    <w:rsid w:val="006B46D5"/>
    <w:rsid w:val="006B46F4"/>
    <w:rsid w:val="006C2168"/>
    <w:rsid w:val="006C7AF3"/>
    <w:rsid w:val="006D0B9D"/>
    <w:rsid w:val="006D6548"/>
    <w:rsid w:val="006E0E20"/>
    <w:rsid w:val="006E10E1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4078D"/>
    <w:rsid w:val="00741DBE"/>
    <w:rsid w:val="00741E34"/>
    <w:rsid w:val="007437AB"/>
    <w:rsid w:val="00745425"/>
    <w:rsid w:val="00750B5F"/>
    <w:rsid w:val="007534F8"/>
    <w:rsid w:val="007545AD"/>
    <w:rsid w:val="00761E3A"/>
    <w:rsid w:val="00763722"/>
    <w:rsid w:val="00764BC1"/>
    <w:rsid w:val="00770869"/>
    <w:rsid w:val="007738AA"/>
    <w:rsid w:val="00780A62"/>
    <w:rsid w:val="00783241"/>
    <w:rsid w:val="00784BDC"/>
    <w:rsid w:val="0079043B"/>
    <w:rsid w:val="00792F28"/>
    <w:rsid w:val="007935CA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1793"/>
    <w:rsid w:val="00803642"/>
    <w:rsid w:val="00806EA2"/>
    <w:rsid w:val="00812A2B"/>
    <w:rsid w:val="00814A4C"/>
    <w:rsid w:val="00830D39"/>
    <w:rsid w:val="00831223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35C5"/>
    <w:rsid w:val="00853765"/>
    <w:rsid w:val="0085516F"/>
    <w:rsid w:val="00867186"/>
    <w:rsid w:val="00870AF6"/>
    <w:rsid w:val="0087301A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2114"/>
    <w:rsid w:val="008927F1"/>
    <w:rsid w:val="00892CB9"/>
    <w:rsid w:val="008935CB"/>
    <w:rsid w:val="008A1430"/>
    <w:rsid w:val="008B0E7E"/>
    <w:rsid w:val="008B4771"/>
    <w:rsid w:val="008B65BD"/>
    <w:rsid w:val="008B7900"/>
    <w:rsid w:val="008C71BF"/>
    <w:rsid w:val="008C7FE0"/>
    <w:rsid w:val="008D5717"/>
    <w:rsid w:val="008E44A9"/>
    <w:rsid w:val="008E6B4D"/>
    <w:rsid w:val="008E6BFF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30754"/>
    <w:rsid w:val="00934F68"/>
    <w:rsid w:val="009355AC"/>
    <w:rsid w:val="00935F38"/>
    <w:rsid w:val="00937586"/>
    <w:rsid w:val="009400B6"/>
    <w:rsid w:val="00947889"/>
    <w:rsid w:val="009478BD"/>
    <w:rsid w:val="00960DC6"/>
    <w:rsid w:val="00960E98"/>
    <w:rsid w:val="00962F2D"/>
    <w:rsid w:val="00963A82"/>
    <w:rsid w:val="00972912"/>
    <w:rsid w:val="00973BFC"/>
    <w:rsid w:val="00976D1F"/>
    <w:rsid w:val="00981C81"/>
    <w:rsid w:val="00987BF4"/>
    <w:rsid w:val="009A2D24"/>
    <w:rsid w:val="009A456C"/>
    <w:rsid w:val="009B00E0"/>
    <w:rsid w:val="009B292A"/>
    <w:rsid w:val="009B6E6C"/>
    <w:rsid w:val="009B76D5"/>
    <w:rsid w:val="009C165D"/>
    <w:rsid w:val="009C3CEA"/>
    <w:rsid w:val="009C583D"/>
    <w:rsid w:val="009D2611"/>
    <w:rsid w:val="009D43A0"/>
    <w:rsid w:val="009D79D2"/>
    <w:rsid w:val="009D7AE9"/>
    <w:rsid w:val="009E247C"/>
    <w:rsid w:val="009E31BA"/>
    <w:rsid w:val="009E7952"/>
    <w:rsid w:val="009F0528"/>
    <w:rsid w:val="009F0806"/>
    <w:rsid w:val="009F233B"/>
    <w:rsid w:val="00A05D16"/>
    <w:rsid w:val="00A0659F"/>
    <w:rsid w:val="00A079BA"/>
    <w:rsid w:val="00A13FCE"/>
    <w:rsid w:val="00A14E8C"/>
    <w:rsid w:val="00A20C70"/>
    <w:rsid w:val="00A24F5D"/>
    <w:rsid w:val="00A33875"/>
    <w:rsid w:val="00A360A1"/>
    <w:rsid w:val="00A402B3"/>
    <w:rsid w:val="00A544B7"/>
    <w:rsid w:val="00A568D0"/>
    <w:rsid w:val="00A618CF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A1D9B"/>
    <w:rsid w:val="00AA2543"/>
    <w:rsid w:val="00AA3804"/>
    <w:rsid w:val="00AA55C2"/>
    <w:rsid w:val="00AB0ACA"/>
    <w:rsid w:val="00AB1D41"/>
    <w:rsid w:val="00AC5E9A"/>
    <w:rsid w:val="00AC704B"/>
    <w:rsid w:val="00AD553E"/>
    <w:rsid w:val="00AD5848"/>
    <w:rsid w:val="00AE317D"/>
    <w:rsid w:val="00AE5ADA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30D97"/>
    <w:rsid w:val="00B31074"/>
    <w:rsid w:val="00B3181A"/>
    <w:rsid w:val="00B35A7C"/>
    <w:rsid w:val="00B44ECD"/>
    <w:rsid w:val="00B450D1"/>
    <w:rsid w:val="00B45E3D"/>
    <w:rsid w:val="00B47780"/>
    <w:rsid w:val="00B53D47"/>
    <w:rsid w:val="00B54A25"/>
    <w:rsid w:val="00B618C3"/>
    <w:rsid w:val="00B63652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A06C0"/>
    <w:rsid w:val="00BA2A52"/>
    <w:rsid w:val="00BA68C6"/>
    <w:rsid w:val="00BB12F1"/>
    <w:rsid w:val="00BB276E"/>
    <w:rsid w:val="00BB3FEE"/>
    <w:rsid w:val="00BB5EB0"/>
    <w:rsid w:val="00BC245A"/>
    <w:rsid w:val="00BC5F29"/>
    <w:rsid w:val="00BC63B7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014C"/>
    <w:rsid w:val="00C016F3"/>
    <w:rsid w:val="00C15193"/>
    <w:rsid w:val="00C15609"/>
    <w:rsid w:val="00C15F6A"/>
    <w:rsid w:val="00C23EA7"/>
    <w:rsid w:val="00C256F3"/>
    <w:rsid w:val="00C270A2"/>
    <w:rsid w:val="00C315B5"/>
    <w:rsid w:val="00C347CE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70FD1"/>
    <w:rsid w:val="00C72B76"/>
    <w:rsid w:val="00C733AA"/>
    <w:rsid w:val="00C811E4"/>
    <w:rsid w:val="00C824F5"/>
    <w:rsid w:val="00C83027"/>
    <w:rsid w:val="00C84B8A"/>
    <w:rsid w:val="00C85E65"/>
    <w:rsid w:val="00C86CE9"/>
    <w:rsid w:val="00C87CA1"/>
    <w:rsid w:val="00C911B4"/>
    <w:rsid w:val="00C91B3B"/>
    <w:rsid w:val="00C94262"/>
    <w:rsid w:val="00C94D1D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CF4B8D"/>
    <w:rsid w:val="00D008DA"/>
    <w:rsid w:val="00D0416F"/>
    <w:rsid w:val="00D05851"/>
    <w:rsid w:val="00D10FED"/>
    <w:rsid w:val="00D1173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734"/>
    <w:rsid w:val="00D525C9"/>
    <w:rsid w:val="00D54359"/>
    <w:rsid w:val="00D544BA"/>
    <w:rsid w:val="00D57D3E"/>
    <w:rsid w:val="00D6407C"/>
    <w:rsid w:val="00D70D36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7D12"/>
    <w:rsid w:val="00DC23CF"/>
    <w:rsid w:val="00DC37A3"/>
    <w:rsid w:val="00DC6562"/>
    <w:rsid w:val="00DE130D"/>
    <w:rsid w:val="00DE24CF"/>
    <w:rsid w:val="00DE4034"/>
    <w:rsid w:val="00DE407C"/>
    <w:rsid w:val="00DE7C7D"/>
    <w:rsid w:val="00DF2992"/>
    <w:rsid w:val="00DF2D0C"/>
    <w:rsid w:val="00E00058"/>
    <w:rsid w:val="00E01B9D"/>
    <w:rsid w:val="00E0468F"/>
    <w:rsid w:val="00E04F5E"/>
    <w:rsid w:val="00E0522E"/>
    <w:rsid w:val="00E120F4"/>
    <w:rsid w:val="00E13BAE"/>
    <w:rsid w:val="00E17172"/>
    <w:rsid w:val="00E17802"/>
    <w:rsid w:val="00E22847"/>
    <w:rsid w:val="00E3181C"/>
    <w:rsid w:val="00E3280A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63F34"/>
    <w:rsid w:val="00E63FEA"/>
    <w:rsid w:val="00E65719"/>
    <w:rsid w:val="00E6715A"/>
    <w:rsid w:val="00E72120"/>
    <w:rsid w:val="00E75DC9"/>
    <w:rsid w:val="00E81610"/>
    <w:rsid w:val="00E81BA9"/>
    <w:rsid w:val="00E84910"/>
    <w:rsid w:val="00E85B28"/>
    <w:rsid w:val="00E905DD"/>
    <w:rsid w:val="00E91976"/>
    <w:rsid w:val="00E947A6"/>
    <w:rsid w:val="00E97FC7"/>
    <w:rsid w:val="00EA0690"/>
    <w:rsid w:val="00EA3956"/>
    <w:rsid w:val="00EA3EBA"/>
    <w:rsid w:val="00EA7136"/>
    <w:rsid w:val="00EB325A"/>
    <w:rsid w:val="00EC02A5"/>
    <w:rsid w:val="00EC176B"/>
    <w:rsid w:val="00EC33CD"/>
    <w:rsid w:val="00EC5BE5"/>
    <w:rsid w:val="00ED2650"/>
    <w:rsid w:val="00ED483B"/>
    <w:rsid w:val="00ED721A"/>
    <w:rsid w:val="00EE393D"/>
    <w:rsid w:val="00EF01CF"/>
    <w:rsid w:val="00EF6A47"/>
    <w:rsid w:val="00EF7AF9"/>
    <w:rsid w:val="00F00952"/>
    <w:rsid w:val="00F01495"/>
    <w:rsid w:val="00F10138"/>
    <w:rsid w:val="00F1060D"/>
    <w:rsid w:val="00F12D2B"/>
    <w:rsid w:val="00F13F92"/>
    <w:rsid w:val="00F143F7"/>
    <w:rsid w:val="00F2279E"/>
    <w:rsid w:val="00F22ECA"/>
    <w:rsid w:val="00F240E8"/>
    <w:rsid w:val="00F243B7"/>
    <w:rsid w:val="00F244FA"/>
    <w:rsid w:val="00F24BE4"/>
    <w:rsid w:val="00F363E8"/>
    <w:rsid w:val="00F365F7"/>
    <w:rsid w:val="00F366A2"/>
    <w:rsid w:val="00F41465"/>
    <w:rsid w:val="00F448C1"/>
    <w:rsid w:val="00F44F43"/>
    <w:rsid w:val="00F450E1"/>
    <w:rsid w:val="00F50DF4"/>
    <w:rsid w:val="00F57AFE"/>
    <w:rsid w:val="00F6278E"/>
    <w:rsid w:val="00F63C41"/>
    <w:rsid w:val="00F63E96"/>
    <w:rsid w:val="00F701E3"/>
    <w:rsid w:val="00F71008"/>
    <w:rsid w:val="00F71F8C"/>
    <w:rsid w:val="00F86AD4"/>
    <w:rsid w:val="00F955CC"/>
    <w:rsid w:val="00F97E2B"/>
    <w:rsid w:val="00FA0113"/>
    <w:rsid w:val="00FA12B2"/>
    <w:rsid w:val="00FA7610"/>
    <w:rsid w:val="00FB02BD"/>
    <w:rsid w:val="00FB398F"/>
    <w:rsid w:val="00FB4983"/>
    <w:rsid w:val="00FB4EF8"/>
    <w:rsid w:val="00FB54AE"/>
    <w:rsid w:val="00FB709A"/>
    <w:rsid w:val="00FB78DD"/>
    <w:rsid w:val="00FC3C00"/>
    <w:rsid w:val="00FC3EF3"/>
    <w:rsid w:val="00FC509C"/>
    <w:rsid w:val="00FC5D35"/>
    <w:rsid w:val="00FC68C3"/>
    <w:rsid w:val="00FD1823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ystatdb.cystat.gov.cy/pxweb/el/8.CYSTAT-DB/8.CYSTAT-DB__Trade_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Ester Sophocleous</cp:lastModifiedBy>
  <cp:revision>205</cp:revision>
  <cp:lastPrinted>2023-07-28T12:20:00Z</cp:lastPrinted>
  <dcterms:created xsi:type="dcterms:W3CDTF">2023-02-28T12:40:00Z</dcterms:created>
  <dcterms:modified xsi:type="dcterms:W3CDTF">2023-08-01T07:34:00Z</dcterms:modified>
</cp:coreProperties>
</file>