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41F2" w14:textId="77777777" w:rsidR="00DE4034" w:rsidRPr="000F7B93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50DF3C9D" w:rsidR="0057334B" w:rsidRPr="000F7B93" w:rsidRDefault="00BC5E07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0866C8" w:rsidRPr="000F7B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D420BD">
        <w:rPr>
          <w:rFonts w:ascii="Verdana" w:hAnsi="Verdana" w:cs="Arial"/>
          <w:sz w:val="18"/>
          <w:szCs w:val="18"/>
          <w:lang w:val="el-GR"/>
        </w:rPr>
        <w:t>Αυγούστου</w:t>
      </w:r>
      <w:r w:rsidR="0057334B" w:rsidRPr="000F7B93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0F7B9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0F7B93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0F7B93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0F7B9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6E9B28DF" w:rsidR="0057334B" w:rsidRPr="000F7B93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0F7B93"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A5495D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 w:rsidRPr="000F7B93">
        <w:rPr>
          <w:rFonts w:ascii="Verdana" w:hAnsi="Verdana"/>
          <w:szCs w:val="22"/>
          <w:shd w:val="clear" w:color="auto" w:fill="FFFFFF"/>
        </w:rPr>
        <w:t xml:space="preserve"> </w:t>
      </w:r>
      <w:r w:rsidR="00D420BD">
        <w:rPr>
          <w:rFonts w:ascii="Verdana" w:hAnsi="Verdana"/>
          <w:szCs w:val="22"/>
          <w:shd w:val="clear" w:color="auto" w:fill="FFFFFF"/>
        </w:rPr>
        <w:t xml:space="preserve">ΙΟΥΝΙΟΣ </w:t>
      </w:r>
      <w:r w:rsidR="003B0F68" w:rsidRPr="000F7B93">
        <w:rPr>
          <w:rFonts w:ascii="Verdana" w:hAnsi="Verdana"/>
          <w:szCs w:val="22"/>
          <w:shd w:val="clear" w:color="auto" w:fill="FFFFFF"/>
        </w:rPr>
        <w:t>2</w:t>
      </w:r>
      <w:r w:rsidRPr="000F7B93">
        <w:rPr>
          <w:rFonts w:ascii="Verdana" w:hAnsi="Verdana"/>
          <w:szCs w:val="22"/>
          <w:shd w:val="clear" w:color="auto" w:fill="FFFFFF"/>
        </w:rPr>
        <w:t>02</w:t>
      </w:r>
      <w:r w:rsidR="00FA1AD4" w:rsidRPr="000F7B93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0F7B93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6C38CE15" w:rsidR="0057334B" w:rsidRPr="00DC2714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1" w:name="_Hlk70430606"/>
      <w:r w:rsidRPr="00DC2714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DC2714">
        <w:rPr>
          <w:rFonts w:ascii="Verdana" w:eastAsia="Malgun Gothic" w:hAnsi="Verdana" w:cs="Arial"/>
          <w:b/>
          <w:lang w:val="el-GR"/>
        </w:rPr>
        <w:t>Μ</w:t>
      </w:r>
      <w:r w:rsidRPr="00DC2714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1"/>
      <w:r w:rsidRPr="00DC2714">
        <w:rPr>
          <w:rFonts w:ascii="Verdana" w:eastAsia="Malgun Gothic" w:hAnsi="Verdana" w:cs="Arial"/>
          <w:b/>
          <w:lang w:val="el-GR"/>
        </w:rPr>
        <w:t>+</w:t>
      </w:r>
      <w:r w:rsidR="00DC2714" w:rsidRPr="00DC2714">
        <w:rPr>
          <w:rFonts w:ascii="Verdana" w:eastAsia="Malgun Gothic" w:hAnsi="Verdana" w:cs="Arial"/>
          <w:b/>
          <w:lang w:val="el-GR"/>
        </w:rPr>
        <w:t>5</w:t>
      </w:r>
      <w:r w:rsidRPr="00DC2714">
        <w:rPr>
          <w:rFonts w:ascii="Verdana" w:eastAsia="Malgun Gothic" w:hAnsi="Verdana" w:cs="Arial"/>
          <w:b/>
          <w:lang w:val="el-GR"/>
        </w:rPr>
        <w:t>,</w:t>
      </w:r>
      <w:r w:rsidR="00DC2714" w:rsidRPr="00DC2714">
        <w:rPr>
          <w:rFonts w:ascii="Verdana" w:eastAsia="Malgun Gothic" w:hAnsi="Verdana" w:cs="Arial"/>
          <w:b/>
          <w:lang w:val="el-GR"/>
        </w:rPr>
        <w:t>9</w:t>
      </w:r>
      <w:r w:rsidR="00E42474" w:rsidRPr="00DC2714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C2714">
        <w:rPr>
          <w:rFonts w:ascii="Verdana" w:eastAsia="Malgun Gothic" w:hAnsi="Verdana" w:cs="Arial"/>
          <w:b/>
          <w:lang w:val="el-GR"/>
        </w:rPr>
        <w:t>Α</w:t>
      </w:r>
      <w:r w:rsidR="00E42474" w:rsidRPr="00DC2714">
        <w:rPr>
          <w:rFonts w:ascii="Verdana" w:eastAsia="Malgun Gothic" w:hAnsi="Verdana" w:cs="Arial"/>
          <w:b/>
          <w:lang w:val="el-GR"/>
        </w:rPr>
        <w:t>ξία και +</w:t>
      </w:r>
      <w:r w:rsidR="00DC2714" w:rsidRPr="00DC2714">
        <w:rPr>
          <w:rFonts w:ascii="Verdana" w:eastAsia="Malgun Gothic" w:hAnsi="Verdana" w:cs="Arial"/>
          <w:b/>
          <w:lang w:val="el-GR"/>
        </w:rPr>
        <w:t>8</w:t>
      </w:r>
      <w:r w:rsidRPr="00DC2714">
        <w:rPr>
          <w:rFonts w:ascii="Verdana" w:eastAsia="Malgun Gothic" w:hAnsi="Verdana" w:cs="Arial"/>
          <w:b/>
          <w:lang w:val="el-GR"/>
        </w:rPr>
        <w:t>,</w:t>
      </w:r>
      <w:r w:rsidR="00DC2714" w:rsidRPr="00DC2714">
        <w:rPr>
          <w:rFonts w:ascii="Verdana" w:eastAsia="Malgun Gothic" w:hAnsi="Verdana" w:cs="Arial"/>
          <w:b/>
          <w:lang w:val="el-GR"/>
        </w:rPr>
        <w:t>2</w:t>
      </w:r>
      <w:r w:rsidRPr="00DC2714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C2714">
        <w:rPr>
          <w:rFonts w:ascii="Verdana" w:eastAsia="Malgun Gothic" w:hAnsi="Verdana" w:cs="Arial"/>
          <w:b/>
          <w:lang w:val="el-GR"/>
        </w:rPr>
        <w:t>Ό</w:t>
      </w:r>
      <w:r w:rsidRPr="00DC2714">
        <w:rPr>
          <w:rFonts w:ascii="Verdana" w:eastAsia="Malgun Gothic" w:hAnsi="Verdana" w:cs="Arial"/>
          <w:b/>
          <w:lang w:val="el-GR"/>
        </w:rPr>
        <w:t>γκο</w:t>
      </w:r>
      <w:r w:rsidR="00CE10B0" w:rsidRPr="00DC2714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6FE15E60" w:rsidR="0057334B" w:rsidRPr="00883FE6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6750C"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Ιούνιο </w:t>
      </w:r>
      <w:r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62769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C2714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2714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σε σύγκριση με τον αντίστοιχο μήνα του προηγούμενου έτους (Πίνακας 1). Κατά τον ίδιο</w:t>
      </w:r>
      <w:r w:rsidR="00CF4B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C2714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2714"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DC271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2).</w:t>
      </w:r>
    </w:p>
    <w:p w14:paraId="009C6F8F" w14:textId="77777777" w:rsidR="000D03A9" w:rsidRPr="000F7B93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3C39ACBE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29FB7FE1" w:rsidR="0057334B" w:rsidRPr="001C0E66" w:rsidRDefault="00DC2714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drawing>
          <wp:inline distT="0" distB="0" distL="0" distR="0" wp14:anchorId="0299E20C" wp14:editId="598A4EBD">
            <wp:extent cx="6090285" cy="4395470"/>
            <wp:effectExtent l="0" t="0" r="5715" b="5080"/>
            <wp:docPr id="4827579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A5495D" w:rsidRPr="00A5495D" w14:paraId="750A6AA4" w14:textId="77777777" w:rsidTr="009848D6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4D25B6E" w14:textId="257E9912" w:rsidR="0057334B" w:rsidRPr="00A5495D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9848D6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</w:tr>
      <w:tr w:rsidR="00A5495D" w:rsidRPr="00A5495D" w14:paraId="0733693A" w14:textId="77777777" w:rsidTr="009848D6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2BAA140F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058CB6B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A5495D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4693DC2F" w14:textId="77777777" w:rsidR="0057334B" w:rsidRPr="00A5495D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172CF1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4774238E" w14:textId="77777777" w:rsidTr="009848D6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5A589B4E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144AD2E2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F5D75A9" w14:textId="561BB1CF" w:rsidR="00BC0637" w:rsidRPr="00A5495D" w:rsidRDefault="00BE2C53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1588EFE3" w14:textId="1FB01D12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41678B64" w14:textId="77777777" w:rsidR="00BC0637" w:rsidRPr="00A5495D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137DD3B" w14:textId="5332166B" w:rsidR="00FA1AD4" w:rsidRPr="00A5495D" w:rsidRDefault="00BE2C53" w:rsidP="00FA1AD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162A0C71" w14:textId="75861041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528C0AA" w14:textId="0F751D21" w:rsidR="00BC0637" w:rsidRPr="00A5495D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BE2C53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A5495D" w:rsidRPr="00A5495D" w14:paraId="3B9F9AAC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D84EAB5" w14:textId="3C3445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F2CFFB6" w14:textId="3C6224CA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C5AE0C6" w14:textId="71A6261E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138,3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56E0F47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A4D00AB" w14:textId="219E1006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71F6CD8" w14:textId="134F7F68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A5495D" w:rsidRPr="00A5495D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8A27" w14:textId="1C2A2789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F9EC" w14:textId="183B778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A109" w14:textId="77777777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145,5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A8F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E022" w14:textId="482CF7A0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13,5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333F" w14:textId="05396857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14,6</w:t>
            </w:r>
          </w:p>
        </w:tc>
      </w:tr>
      <w:tr w:rsidR="00A5495D" w:rsidRPr="00A5495D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7900" w14:textId="3C6652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F6EC" w14:textId="3C7EE415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BABE" w14:textId="1CADD312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BA01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8DEE" w14:textId="6A178F2B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CDF0" w14:textId="6874F8F4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-1,1</w:t>
            </w:r>
          </w:p>
        </w:tc>
      </w:tr>
      <w:tr w:rsidR="00A5495D" w:rsidRPr="00A5495D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DB0E" w14:textId="6B00D1AB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A31F" w14:textId="1978775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99A1" w14:textId="1E6349EF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111,6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8642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8AD5" w14:textId="2AC562AD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0D0E" w14:textId="3A0F1435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2,6</w:t>
            </w:r>
          </w:p>
        </w:tc>
      </w:tr>
      <w:tr w:rsidR="00A5495D" w:rsidRPr="00A5495D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52B3" w14:textId="3D8840D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960A" w14:textId="6FD6ED6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BE85" w14:textId="33EF1463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134,2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D9B1" w14:textId="77777777" w:rsidR="0084097F" w:rsidRPr="00A5495D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525D" w14:textId="361CEF4E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9,3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8550" w14:textId="63B2CE7F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</w:tr>
      <w:tr w:rsidR="00A5495D" w:rsidRPr="00A5495D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9462" w14:textId="798EDE9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46FF" w14:textId="650E5C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84D8" w14:textId="2AD280E2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115,7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3500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1572" w14:textId="62D7B9D8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8518" w14:textId="63139C33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-1,4</w:t>
            </w:r>
          </w:p>
        </w:tc>
      </w:tr>
      <w:tr w:rsidR="00A5495D" w:rsidRPr="00A5495D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3229" w14:textId="4B60D9F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EF09" w14:textId="5D97DDFB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298C" w14:textId="30EEAAAE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154,0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D4AD" w14:textId="77777777" w:rsidR="0084097F" w:rsidRPr="00A5495D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AB25" w14:textId="08285812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6A0E" w14:textId="6026664D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A5495D" w:rsidRPr="00A5495D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3582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6A1C" w14:textId="528532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B235" w14:textId="6F51E37F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124,8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534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85B8" w14:textId="5B4BDEC2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A808" w14:textId="6856EE9F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A5495D" w:rsidRPr="00A5495D" w14:paraId="7CA505BA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8E1F1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71EE" w14:textId="6C169C6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8C0F" w14:textId="19DFFCC0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212,7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D1B3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86FC" w14:textId="33F74E19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4BE9" w14:textId="59109EDC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12,8</w:t>
            </w:r>
          </w:p>
        </w:tc>
      </w:tr>
      <w:tr w:rsidR="00A5495D" w:rsidRPr="00A5495D" w14:paraId="62713B0F" w14:textId="77777777" w:rsidTr="009848D6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CC4827" w14:textId="3A7ADC4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6F8D5BC" w14:textId="166281D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32C77C5" w14:textId="68460EAD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107,0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BFB9EA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F033215" w14:textId="17F7A03E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8A52460" w14:textId="2811262C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20,4</w:t>
            </w:r>
          </w:p>
        </w:tc>
      </w:tr>
      <w:tr w:rsidR="00A5495D" w:rsidRPr="00A5495D" w14:paraId="52F20EA4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CF39387" w14:textId="5C1CD9D8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76F7D29" w14:textId="59DE162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213C94" w14:textId="473AFA5B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141,0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51DB376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F7A8A76" w14:textId="17A86A00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1EAD7B" w14:textId="3868C6BF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A5495D" w:rsidRPr="00A5495D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83F1" w14:textId="362A6961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A90A3" w14:textId="4759D81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A01F" w14:textId="2EC7C952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139,8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961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89A4" w14:textId="27A0D242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0769" w14:textId="12B91D76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8,9</w:t>
            </w:r>
          </w:p>
        </w:tc>
      </w:tr>
      <w:tr w:rsidR="00A5495D" w:rsidRPr="00A5495D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562E" w14:textId="7BA7B6B5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D04CC" w14:textId="7236776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0AA" w14:textId="6BEFC642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142,3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708D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C8BC" w14:textId="30FFD0CF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A345" w14:textId="2187722A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6,0</w:t>
            </w:r>
          </w:p>
        </w:tc>
      </w:tr>
      <w:tr w:rsidR="00A5495D" w:rsidRPr="00A5495D" w14:paraId="1C1F761B" w14:textId="77777777" w:rsidTr="009848D6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E4E6B40" w14:textId="77777777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754108" w14:textId="77777777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A4C8E05" w14:textId="77777777" w:rsidR="0084097F" w:rsidRPr="00A5495D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F145E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413CB4B" w14:textId="77777777" w:rsidR="0084097F" w:rsidRPr="00A5495D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6AD94F" w14:textId="77777777" w:rsidR="0084097F" w:rsidRPr="00A5495D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A5495D" w14:paraId="2E9C0013" w14:textId="77777777" w:rsidTr="009848D6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ABECBA3" w14:textId="56443379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4971797" w14:textId="117791C9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370BA80" w14:textId="3C0E9FC8" w:rsidR="0084097F" w:rsidRPr="00A5495D" w:rsidRDefault="00DC2714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6AF6E4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3269952" w14:textId="557E795F" w:rsidR="0084097F" w:rsidRPr="00A5495D" w:rsidRDefault="001D69EC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D4BE79" w14:textId="361CB3E4" w:rsidR="0084097F" w:rsidRPr="00A5495D" w:rsidRDefault="001D69EC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6,7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A5495D" w:rsidRPr="00A5495D" w14:paraId="33C438E3" w14:textId="77777777" w:rsidTr="009848D6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2CABB7" w14:textId="0531EC4D" w:rsidR="00787B95" w:rsidRPr="00A5495D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A5495D" w:rsidRPr="00A5495D" w14:paraId="04DC5A78" w14:textId="77777777" w:rsidTr="009848D6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9C7392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EFB7DF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2CE23167" w14:textId="77777777" w:rsidR="00787B95" w:rsidRPr="00A5495D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C8E0FA9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64155BB8" w14:textId="77777777" w:rsidTr="00F21B6F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148768DD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29CEB3C3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1CE1AE" w14:textId="443A63AA" w:rsidR="00BC5E07" w:rsidRPr="00A5495D" w:rsidRDefault="00D420BD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317EC60A" w14:textId="1A0A9D17" w:rsidR="00AE1F97" w:rsidRPr="00A5495D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67804AC4" w14:textId="77777777" w:rsidR="00AE1F97" w:rsidRPr="00A5495D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2D7B83A" w14:textId="0116C013" w:rsidR="00BC5E07" w:rsidRPr="00A5495D" w:rsidRDefault="00D420BD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Ιούνιος</w:t>
            </w:r>
          </w:p>
          <w:p w14:paraId="72B23310" w14:textId="68C358CB" w:rsidR="00AE1F97" w:rsidRPr="00A5495D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  <w:r w:rsidR="00AE1F9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95DF1E3" w14:textId="5C861EA9" w:rsidR="00AE1F97" w:rsidRPr="00A5495D" w:rsidRDefault="00AE1F97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D420BD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BC5E07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2025/2024</w:t>
            </w:r>
          </w:p>
        </w:tc>
      </w:tr>
      <w:tr w:rsidR="00A5495D" w:rsidRPr="00A5495D" w14:paraId="425BD68F" w14:textId="77777777" w:rsidTr="00F21B6F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26C7BE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36DA59DC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1B619F2" w14:textId="370D0CB4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119,6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20E4EA0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9EB37C1" w14:textId="659E1AE5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FC6A2AE" w14:textId="795DFAD7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</w:tr>
      <w:tr w:rsidR="00A5495D" w:rsidRPr="00A5495D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149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E73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20D4" w14:textId="46BDBF04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121,6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30B2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E1AC" w14:textId="7D7B7E31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13,4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687E" w14:textId="282898EE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9,7</w:t>
            </w:r>
          </w:p>
        </w:tc>
      </w:tr>
      <w:tr w:rsidR="00A5495D" w:rsidRPr="00A5495D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BBC1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949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E2E" w14:textId="1D0E9308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13B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0CC5" w14:textId="5A864B2E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8,0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1C67F" w14:textId="08962715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</w:tr>
      <w:tr w:rsidR="00A5495D" w:rsidRPr="00A5495D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B15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82A4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A937" w14:textId="78659A2B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131,5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8271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EC69" w14:textId="1F68344C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5D4D" w14:textId="32CFEF8F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10,6</w:t>
            </w:r>
          </w:p>
        </w:tc>
      </w:tr>
      <w:tr w:rsidR="00A5495D" w:rsidRPr="00A5495D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6D38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042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AA3B" w14:textId="2DD8DE3B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420C" w14:textId="77777777" w:rsidR="00AE1F97" w:rsidRPr="00A5495D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8B12" w14:textId="5DEB1FFE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FAAA" w14:textId="6442B8B8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A5495D" w:rsidRPr="00A5495D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DB7E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3F27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6E7E" w14:textId="31D7561A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105,6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C1DF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69A5" w14:textId="3039FD26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-0,2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AC6B" w14:textId="5B8BB8BB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-1,4</w:t>
            </w:r>
          </w:p>
        </w:tc>
      </w:tr>
      <w:tr w:rsidR="00A5495D" w:rsidRPr="00A5495D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09F3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660D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D218" w14:textId="75F54173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150,9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C699" w14:textId="77777777" w:rsidR="00AE1F97" w:rsidRPr="00A5495D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BA4A" w14:textId="6327EF34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9981" w14:textId="73941936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11,4</w:t>
            </w:r>
          </w:p>
        </w:tc>
      </w:tr>
      <w:tr w:rsidR="00A5495D" w:rsidRPr="00A5495D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83E4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36E8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49E8" w14:textId="7EB7AB24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115,7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2B37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9FF8" w14:textId="138666E4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AF67" w14:textId="02A36429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A5495D" w:rsidRPr="00A5495D" w14:paraId="672C4969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4FDC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B6F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93B8" w14:textId="3D6928BE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182,7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D4F4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900B" w14:textId="6F925CEF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FC7E" w14:textId="26BA37E9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10,0</w:t>
            </w:r>
          </w:p>
        </w:tc>
      </w:tr>
      <w:tr w:rsidR="00A5495D" w:rsidRPr="00A5495D" w14:paraId="77A3B670" w14:textId="77777777" w:rsidTr="009848D6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909209B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E349D8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38BCE89" w14:textId="5757B7C3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100,1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7F21BB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93DD31C" w14:textId="67B46961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D89A4A" w14:textId="5692E9C0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21,7</w:t>
            </w:r>
          </w:p>
        </w:tc>
      </w:tr>
      <w:tr w:rsidR="00A5495D" w:rsidRPr="00A5495D" w14:paraId="40A78B6A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E9AD14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45CAFD1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2D1E940" w14:textId="6F6AE313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126,2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9EE0DB2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C905082" w14:textId="31527E9F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76D8C2D" w14:textId="23A132AD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7,3</w:t>
            </w:r>
          </w:p>
        </w:tc>
      </w:tr>
      <w:tr w:rsidR="00A5495D" w:rsidRPr="00A5495D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3F17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5089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8949" w14:textId="2897A513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120,3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9679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A1D0" w14:textId="2CB9A5C7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8,1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53CB" w14:textId="09E05B55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A5495D" w:rsidRPr="00A5495D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B2C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619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CE25" w14:textId="32911991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132,7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92C73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E46F" w14:textId="54147083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Cs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5A0D" w14:textId="21FACDD3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A5495D" w:rsidRPr="00A5495D" w14:paraId="61371ECC" w14:textId="77777777" w:rsidTr="009848D6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9E1196B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98F74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529391" w14:textId="77777777" w:rsidR="00AE1F97" w:rsidRPr="00A5495D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8F3ED6D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0E860F0" w14:textId="77777777" w:rsidR="00AE1F97" w:rsidRPr="00A5495D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DDBB839" w14:textId="77777777" w:rsidR="00AE1F97" w:rsidRPr="00A5495D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A5495D" w14:paraId="29D82E6B" w14:textId="77777777" w:rsidTr="009848D6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A56BE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7283C34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D9A69D6" w14:textId="38D3A9C5" w:rsidR="00AE1F97" w:rsidRPr="00A5495D" w:rsidRDefault="001D69EC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124,7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7DB138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8810C1" w14:textId="37426D61" w:rsidR="00AE1F97" w:rsidRPr="00A5495D" w:rsidRDefault="001D69EC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F7B499" w14:textId="791828F8" w:rsidR="00AE1F97" w:rsidRPr="00A5495D" w:rsidRDefault="001D69EC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hAnsi="Verdana"/>
                <w:b/>
                <w:color w:val="366092"/>
                <w:sz w:val="18"/>
                <w:szCs w:val="18"/>
              </w:rPr>
              <w:t>6,9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A5495D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A5495D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B2306C" w:rsidRDefault="00EA578B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EA578B" w:rsidP="00B2306C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B2306C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B2306C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B2306C" w:rsidRPr="00040F97">
        <w:rPr>
          <w:rFonts w:ascii="Verdana" w:hAnsi="Verdana"/>
          <w:sz w:val="18"/>
          <w:szCs w:val="18"/>
        </w:rPr>
        <w:t>Excel</w:t>
      </w:r>
      <w:r w:rsidR="00B2306C"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EA578B" w:rsidP="0057334B">
      <w:pPr>
        <w:rPr>
          <w:rFonts w:ascii="Verdana" w:hAnsi="Verdana"/>
          <w:sz w:val="18"/>
          <w:szCs w:val="18"/>
          <w:lang w:val="el-GR"/>
        </w:rPr>
      </w:pPr>
      <w:hyperlink r:id="rId13" w:tooltip="Μεθοδολογικές Πληροφορίες" w:history="1">
        <w:r w:rsidR="00D51410"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2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3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C782" w14:textId="77777777" w:rsidR="00EA578B" w:rsidRDefault="00EA578B" w:rsidP="00FB398F">
      <w:r>
        <w:separator/>
      </w:r>
    </w:p>
  </w:endnote>
  <w:endnote w:type="continuationSeparator" w:id="0">
    <w:p w14:paraId="275310E0" w14:textId="77777777" w:rsidR="00EA578B" w:rsidRDefault="00EA578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21B6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74725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7472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F28A7" w14:textId="77777777" w:rsidR="00EA578B" w:rsidRDefault="00EA578B" w:rsidP="00FB398F">
      <w:r>
        <w:separator/>
      </w:r>
    </w:p>
  </w:footnote>
  <w:footnote w:type="continuationSeparator" w:id="0">
    <w:p w14:paraId="228BF2A5" w14:textId="77777777" w:rsidR="00EA578B" w:rsidRDefault="00EA578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625AF"/>
    <w:rsid w:val="00070576"/>
    <w:rsid w:val="00071ABA"/>
    <w:rsid w:val="000752BB"/>
    <w:rsid w:val="00077F97"/>
    <w:rsid w:val="00081ADF"/>
    <w:rsid w:val="00083DCD"/>
    <w:rsid w:val="00084A02"/>
    <w:rsid w:val="00084BF7"/>
    <w:rsid w:val="000866C8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0F7B93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D69EC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646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0823"/>
    <w:rsid w:val="00362DC9"/>
    <w:rsid w:val="00363877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37BE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2F09"/>
    <w:rsid w:val="00475587"/>
    <w:rsid w:val="00475B82"/>
    <w:rsid w:val="004765BA"/>
    <w:rsid w:val="00476CE2"/>
    <w:rsid w:val="00477449"/>
    <w:rsid w:val="00480BC2"/>
    <w:rsid w:val="004845C3"/>
    <w:rsid w:val="00485A9E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50C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5027"/>
    <w:rsid w:val="00626B12"/>
    <w:rsid w:val="00627697"/>
    <w:rsid w:val="00632777"/>
    <w:rsid w:val="00633729"/>
    <w:rsid w:val="00633750"/>
    <w:rsid w:val="00634491"/>
    <w:rsid w:val="006344EC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86D0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47253"/>
    <w:rsid w:val="00750B5F"/>
    <w:rsid w:val="00750DB8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77E"/>
    <w:rsid w:val="007E2CD9"/>
    <w:rsid w:val="007E39F3"/>
    <w:rsid w:val="007E405E"/>
    <w:rsid w:val="007E459E"/>
    <w:rsid w:val="007E6397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5791"/>
    <w:rsid w:val="00816516"/>
    <w:rsid w:val="00820B72"/>
    <w:rsid w:val="00821730"/>
    <w:rsid w:val="008279AD"/>
    <w:rsid w:val="00827BE0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23B2"/>
    <w:rsid w:val="008535C5"/>
    <w:rsid w:val="00853765"/>
    <w:rsid w:val="0085516F"/>
    <w:rsid w:val="00856E4B"/>
    <w:rsid w:val="008570F8"/>
    <w:rsid w:val="0086067F"/>
    <w:rsid w:val="00860B8E"/>
    <w:rsid w:val="00862590"/>
    <w:rsid w:val="0086653D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3FE6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048FC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48D6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5DDD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2B7E"/>
    <w:rsid w:val="00A24F5D"/>
    <w:rsid w:val="00A33875"/>
    <w:rsid w:val="00A35603"/>
    <w:rsid w:val="00A360A1"/>
    <w:rsid w:val="00A36DE1"/>
    <w:rsid w:val="00A402B3"/>
    <w:rsid w:val="00A42107"/>
    <w:rsid w:val="00A544B7"/>
    <w:rsid w:val="00A5495D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53AB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E07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2C53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6972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5F23"/>
    <w:rsid w:val="00D2643B"/>
    <w:rsid w:val="00D31A6F"/>
    <w:rsid w:val="00D353D1"/>
    <w:rsid w:val="00D367DB"/>
    <w:rsid w:val="00D3683B"/>
    <w:rsid w:val="00D36E05"/>
    <w:rsid w:val="00D37DF0"/>
    <w:rsid w:val="00D420BD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58DE"/>
    <w:rsid w:val="00DA6AE0"/>
    <w:rsid w:val="00DA7D12"/>
    <w:rsid w:val="00DB5BC5"/>
    <w:rsid w:val="00DC21D7"/>
    <w:rsid w:val="00DC23CF"/>
    <w:rsid w:val="00DC2714"/>
    <w:rsid w:val="00DC37A3"/>
    <w:rsid w:val="00DC4612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02D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578B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D72AC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04140"/>
    <w:rsid w:val="00F10138"/>
    <w:rsid w:val="00F1060D"/>
    <w:rsid w:val="00F10A0B"/>
    <w:rsid w:val="00F122E0"/>
    <w:rsid w:val="00F12D2B"/>
    <w:rsid w:val="00F13F92"/>
    <w:rsid w:val="00F1418B"/>
    <w:rsid w:val="00F143F7"/>
    <w:rsid w:val="00F17CE8"/>
    <w:rsid w:val="00F21B6F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4D92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3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Trade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9AE-4C08-4B70-B359-8018FC6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864</cp:revision>
  <cp:lastPrinted>2025-08-01T08:11:00Z</cp:lastPrinted>
  <dcterms:created xsi:type="dcterms:W3CDTF">2023-02-28T12:40:00Z</dcterms:created>
  <dcterms:modified xsi:type="dcterms:W3CDTF">2025-08-01T12:22:00Z</dcterms:modified>
</cp:coreProperties>
</file>