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20D75E98" w:rsidR="0057334B" w:rsidRPr="001F30EE" w:rsidRDefault="00D24FA5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D945A0" w:rsidRPr="00321C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F97E2B">
        <w:rPr>
          <w:rFonts w:ascii="Verdana" w:hAnsi="Verdana" w:cs="Arial"/>
          <w:sz w:val="18"/>
          <w:szCs w:val="18"/>
          <w:lang w:val="el-GR"/>
        </w:rPr>
        <w:t>Ιου</w:t>
      </w:r>
      <w:r>
        <w:rPr>
          <w:rFonts w:ascii="Verdana" w:hAnsi="Verdana" w:cs="Arial"/>
          <w:sz w:val="18"/>
          <w:szCs w:val="18"/>
          <w:lang w:val="el-GR"/>
        </w:rPr>
        <w:t>λ</w:t>
      </w:r>
      <w:r w:rsidR="00F97E2B">
        <w:rPr>
          <w:rFonts w:ascii="Verdana" w:hAnsi="Verdana" w:cs="Arial"/>
          <w:sz w:val="18"/>
          <w:szCs w:val="18"/>
          <w:lang w:val="el-GR"/>
        </w:rPr>
        <w:t>ίου</w:t>
      </w:r>
      <w:r w:rsidR="0057334B" w:rsidRPr="001F30EE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955CC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1A7E8F9A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15D26">
        <w:rPr>
          <w:rFonts w:ascii="Verdana" w:hAnsi="Verdana"/>
          <w:szCs w:val="22"/>
          <w:shd w:val="clear" w:color="auto" w:fill="FFFFFF"/>
        </w:rPr>
        <w:t xml:space="preserve"> </w:t>
      </w:r>
      <w:r w:rsidR="00D24FA5">
        <w:rPr>
          <w:rFonts w:ascii="Verdana" w:hAnsi="Verdana"/>
          <w:szCs w:val="22"/>
          <w:shd w:val="clear" w:color="auto" w:fill="FFFFFF"/>
        </w:rPr>
        <w:t>ΜΑΪΟΣ</w:t>
      </w:r>
      <w:r w:rsidR="00F97E2B">
        <w:rPr>
          <w:rFonts w:ascii="Verdana" w:hAnsi="Verdana"/>
          <w:szCs w:val="22"/>
          <w:shd w:val="clear" w:color="auto" w:fill="FFFFFF"/>
        </w:rPr>
        <w:t xml:space="preserve">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9041AB">
        <w:rPr>
          <w:rFonts w:ascii="Verdana" w:hAnsi="Verdana"/>
          <w:szCs w:val="22"/>
          <w:shd w:val="clear" w:color="auto" w:fill="FFFFFF"/>
        </w:rPr>
        <w:t>3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41210C14" w:rsidR="0057334B" w:rsidRPr="00D80271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D80271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D80271">
        <w:rPr>
          <w:rFonts w:ascii="Verdana" w:eastAsia="Malgun Gothic" w:hAnsi="Verdana" w:cs="Arial"/>
          <w:b/>
          <w:lang w:val="el-GR"/>
        </w:rPr>
        <w:t>Μ</w:t>
      </w:r>
      <w:r w:rsidRPr="00D80271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D80271">
        <w:rPr>
          <w:rFonts w:ascii="Verdana" w:eastAsia="Malgun Gothic" w:hAnsi="Verdana" w:cs="Arial"/>
          <w:b/>
          <w:lang w:val="el-GR"/>
        </w:rPr>
        <w:t>+</w:t>
      </w:r>
      <w:r w:rsidR="00D80271" w:rsidRPr="00D80271">
        <w:rPr>
          <w:rFonts w:ascii="Verdana" w:eastAsia="Malgun Gothic" w:hAnsi="Verdana" w:cs="Arial"/>
          <w:b/>
          <w:lang w:val="el-GR"/>
        </w:rPr>
        <w:t>8</w:t>
      </w:r>
      <w:r w:rsidRPr="00D80271">
        <w:rPr>
          <w:rFonts w:ascii="Verdana" w:eastAsia="Malgun Gothic" w:hAnsi="Verdana" w:cs="Arial"/>
          <w:b/>
          <w:lang w:val="el-GR"/>
        </w:rPr>
        <w:t>,</w:t>
      </w:r>
      <w:r w:rsidR="00D80271" w:rsidRPr="00D80271">
        <w:rPr>
          <w:rFonts w:ascii="Verdana" w:eastAsia="Malgun Gothic" w:hAnsi="Verdana" w:cs="Arial"/>
          <w:b/>
          <w:lang w:val="el-GR"/>
        </w:rPr>
        <w:t>7</w:t>
      </w:r>
      <w:r w:rsidR="00E42474" w:rsidRPr="00D80271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80271">
        <w:rPr>
          <w:rFonts w:ascii="Verdana" w:eastAsia="Malgun Gothic" w:hAnsi="Verdana" w:cs="Arial"/>
          <w:b/>
          <w:lang w:val="el-GR"/>
        </w:rPr>
        <w:t>Α</w:t>
      </w:r>
      <w:r w:rsidR="00E42474" w:rsidRPr="00D80271">
        <w:rPr>
          <w:rFonts w:ascii="Verdana" w:eastAsia="Malgun Gothic" w:hAnsi="Verdana" w:cs="Arial"/>
          <w:b/>
          <w:lang w:val="el-GR"/>
        </w:rPr>
        <w:t>ξία και +</w:t>
      </w:r>
      <w:r w:rsidR="00D80271" w:rsidRPr="00D80271">
        <w:rPr>
          <w:rFonts w:ascii="Verdana" w:eastAsia="Malgun Gothic" w:hAnsi="Verdana" w:cs="Arial"/>
          <w:b/>
          <w:lang w:val="el-GR"/>
        </w:rPr>
        <w:t>6</w:t>
      </w:r>
      <w:r w:rsidRPr="00D80271">
        <w:rPr>
          <w:rFonts w:ascii="Verdana" w:eastAsia="Malgun Gothic" w:hAnsi="Verdana" w:cs="Arial"/>
          <w:b/>
          <w:lang w:val="el-GR"/>
        </w:rPr>
        <w:t>,</w:t>
      </w:r>
      <w:r w:rsidR="00D80271" w:rsidRPr="00D80271">
        <w:rPr>
          <w:rFonts w:ascii="Verdana" w:eastAsia="Malgun Gothic" w:hAnsi="Verdana" w:cs="Arial"/>
          <w:b/>
          <w:lang w:val="el-GR"/>
        </w:rPr>
        <w:t>1</w:t>
      </w:r>
      <w:r w:rsidRPr="00D80271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80271">
        <w:rPr>
          <w:rFonts w:ascii="Verdana" w:eastAsia="Malgun Gothic" w:hAnsi="Verdana" w:cs="Arial"/>
          <w:b/>
          <w:lang w:val="el-GR"/>
        </w:rPr>
        <w:t>Ό</w:t>
      </w:r>
      <w:r w:rsidRPr="00D80271">
        <w:rPr>
          <w:rFonts w:ascii="Verdana" w:eastAsia="Malgun Gothic" w:hAnsi="Verdana" w:cs="Arial"/>
          <w:b/>
          <w:lang w:val="el-GR"/>
        </w:rPr>
        <w:t>γκο</w:t>
      </w:r>
    </w:p>
    <w:p w14:paraId="42DA3C15" w14:textId="77777777" w:rsidR="0057334B" w:rsidRPr="00D80271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6475F37B" w:rsidR="0057334B" w:rsidRPr="00D80271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915D26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24FA5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Μάιο 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9041AB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0431F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80271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80271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E42474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αυξήθηκε 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80271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80271"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D8027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με τον αντίστοιχο μήνα του προηγούμενου έτους (Πίνακας 2). </w:t>
      </w:r>
    </w:p>
    <w:p w14:paraId="2E9BB5B5" w14:textId="77777777" w:rsidR="0057334B" w:rsidRPr="00D80271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44813A49" w:rsidR="0057334B" w:rsidRPr="00F2279E" w:rsidRDefault="0057334B" w:rsidP="0057334B">
      <w:pPr>
        <w:jc w:val="center"/>
        <w:rPr>
          <w:noProof/>
          <w:lang w:val="el-GR"/>
        </w:rPr>
      </w:pPr>
    </w:p>
    <w:p w14:paraId="253E5F14" w14:textId="27131ACF" w:rsidR="0057334B" w:rsidRPr="002F1D6F" w:rsidRDefault="00083DCD" w:rsidP="009B6E6C">
      <w:pPr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3E183DE9" wp14:editId="5370BD18">
            <wp:extent cx="6090285" cy="4395470"/>
            <wp:effectExtent l="0" t="0" r="5715" b="5080"/>
            <wp:docPr id="1199976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34B"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705"/>
        <w:gridCol w:w="1678"/>
        <w:gridCol w:w="269"/>
        <w:gridCol w:w="1597"/>
        <w:gridCol w:w="1985"/>
      </w:tblGrid>
      <w:tr w:rsidR="0057334B" w:rsidRPr="006E42F6" w14:paraId="750A6AA4" w14:textId="77777777" w:rsidTr="00C61F3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C61F35">
        <w:trPr>
          <w:trHeight w:val="680"/>
          <w:jc w:val="center"/>
        </w:trPr>
        <w:tc>
          <w:tcPr>
            <w:tcW w:w="239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70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803590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Αξίας (2015=100)</w:t>
            </w:r>
          </w:p>
        </w:tc>
        <w:tc>
          <w:tcPr>
            <w:tcW w:w="26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57334B" w:rsidRPr="002640EA" w14:paraId="4774238E" w14:textId="77777777" w:rsidTr="00C61F35">
        <w:trPr>
          <w:trHeight w:val="624"/>
          <w:jc w:val="center"/>
        </w:trPr>
        <w:tc>
          <w:tcPr>
            <w:tcW w:w="239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0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B225F1" w14:textId="0CCF6CB5" w:rsidR="00032C17" w:rsidRDefault="00D24FA5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Μάιος</w:t>
            </w:r>
            <w:r w:rsidR="00B85A8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588EFE3" w14:textId="6B91E95B" w:rsidR="0057334B" w:rsidRPr="00380A10" w:rsidRDefault="009041A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57334B" w:rsidRPr="00380A10" w:rsidRDefault="0057334B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5B5072" w14:textId="4A81CDDE" w:rsidR="0057334B" w:rsidRPr="002640EA" w:rsidRDefault="00D24FA5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</w:t>
            </w:r>
            <w:r w:rsidR="0038422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ς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57334B"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162A0C71" w14:textId="70C394B6" w:rsidR="0057334B" w:rsidRPr="00380A10" w:rsidRDefault="0057334B" w:rsidP="00F24BE4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D24FA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</w:t>
            </w:r>
            <w:r w:rsidR="0038422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ς</w:t>
            </w:r>
            <w:r w:rsidR="00DC37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9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05E189" w14:textId="5ED82491" w:rsidR="00FC68C3" w:rsidRPr="00380A10" w:rsidRDefault="00FC68C3" w:rsidP="00F24BE4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D24FA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</w:t>
            </w:r>
            <w:r w:rsidR="0038422B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</w:t>
            </w:r>
            <w:r w:rsidR="003349AF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ς</w:t>
            </w:r>
            <w:r w:rsidR="00DC37A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4528C0AA" w14:textId="3D105525" w:rsidR="0057334B" w:rsidRPr="00380A10" w:rsidRDefault="00FC68C3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D24FA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</w:t>
            </w:r>
            <w:r w:rsidR="0038422B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</w:t>
            </w:r>
            <w:r w:rsidR="003349AF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ς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FC68C3" w:rsidRPr="00D80271" w14:paraId="3B9F9AAC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1C396E6E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DE621C0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153,4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492DEA3B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57ECC203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14,1</w:t>
            </w:r>
          </w:p>
        </w:tc>
      </w:tr>
      <w:tr w:rsidR="00FC68C3" w:rsidRPr="00D80271" w14:paraId="6763C8E2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44D2F364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151,0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38E1654F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7E32C5DF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13,5</w:t>
            </w:r>
          </w:p>
        </w:tc>
      </w:tr>
      <w:tr w:rsidR="00FC68C3" w:rsidRPr="00D80271" w14:paraId="69EB27EF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34D31377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155,5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FC68C3" w:rsidRPr="00097198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2D683EDB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1EAE5E8F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13,4</w:t>
            </w:r>
          </w:p>
        </w:tc>
      </w:tr>
      <w:tr w:rsidR="00FC68C3" w:rsidRPr="00D80271" w14:paraId="6CFABFB4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130F8F3D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83,7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7840E308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6AEFEEFC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15,9</w:t>
            </w:r>
          </w:p>
        </w:tc>
      </w:tr>
      <w:tr w:rsidR="00FC68C3" w:rsidRPr="00D80271" w14:paraId="2AFA2B80" w14:textId="77777777" w:rsidTr="00C61F35">
        <w:trPr>
          <w:trHeight w:val="87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7C064CF2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138,5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FC68C3" w:rsidRPr="006E42F6" w:rsidRDefault="00FC68C3" w:rsidP="00B1041C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3D4D48A8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32BF9373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18,9</w:t>
            </w:r>
          </w:p>
        </w:tc>
      </w:tr>
      <w:tr w:rsidR="00FC68C3" w:rsidRPr="006E42F6" w14:paraId="067C928F" w14:textId="77777777" w:rsidTr="00C61F35">
        <w:trPr>
          <w:trHeight w:val="56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7B3B8D3D" w:rsidR="00FC68C3" w:rsidRPr="00F448C1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153,0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59CF91E6" w:rsidR="00FC68C3" w:rsidRPr="00F448C1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5255E63A" w:rsidR="00FC68C3" w:rsidRPr="00FB4983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14,2</w:t>
            </w:r>
          </w:p>
        </w:tc>
      </w:tr>
      <w:tr w:rsidR="00FC68C3" w:rsidRPr="00D80271" w14:paraId="6C2C7D17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2B3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4F93229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52A3BE78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153,8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FC68C3" w:rsidRPr="006E42F6" w:rsidRDefault="00FC68C3" w:rsidP="00B1041C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6EBC9899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4868F5C5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14,0</w:t>
            </w:r>
          </w:p>
        </w:tc>
      </w:tr>
      <w:tr w:rsidR="00FC68C3" w:rsidRPr="006E42F6" w14:paraId="0FC1F9A0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CBAD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74247B53" w:rsidR="00FC68C3" w:rsidRPr="00F448C1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146,6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6B679806" w:rsidR="00FC68C3" w:rsidRPr="00F448C1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5B4F31A7" w:rsidR="00FC68C3" w:rsidRPr="00FB4983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19,7</w:t>
            </w:r>
          </w:p>
        </w:tc>
      </w:tr>
      <w:tr w:rsidR="00FC68C3" w:rsidRPr="00D80271" w14:paraId="7CA505BA" w14:textId="77777777" w:rsidTr="00C61F35">
        <w:trPr>
          <w:trHeight w:val="964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23E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44771D6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73AF891F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206,8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3EDA8DB6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6CF0E87E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10,3</w:t>
            </w:r>
          </w:p>
        </w:tc>
      </w:tr>
      <w:tr w:rsidR="00FC68C3" w:rsidRPr="00D80271" w14:paraId="62713B0F" w14:textId="77777777" w:rsidTr="00C61F35">
        <w:trPr>
          <w:trHeight w:val="170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B9D6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78BB3DF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4244931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5BCC48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D5B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77C5" w14:textId="27F01084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141,9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B9EA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3215" w14:textId="4BF093C5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2460" w14:textId="0689A8AB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17,5</w:t>
            </w:r>
          </w:p>
        </w:tc>
      </w:tr>
      <w:tr w:rsidR="00FC68C3" w:rsidRPr="00D80271" w14:paraId="52F20EA4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29527CFB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123,8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4994B2DC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-12,6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6C445032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-2,3</w:t>
            </w:r>
          </w:p>
        </w:tc>
      </w:tr>
      <w:tr w:rsidR="00FC68C3" w:rsidRPr="00D80271" w14:paraId="35B70EC7" w14:textId="77777777" w:rsidTr="00C61F35">
        <w:trPr>
          <w:trHeight w:val="113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77777777" w:rsidR="00FC68C3" w:rsidRPr="006849EF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77777777" w:rsidR="00FC68C3" w:rsidRPr="006849EF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77777777" w:rsidR="00FC68C3" w:rsidRPr="006849EF" w:rsidRDefault="00FC68C3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77777777" w:rsidR="00FC68C3" w:rsidRPr="006849EF" w:rsidRDefault="00FC68C3" w:rsidP="00B1041C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7777777" w:rsidR="00FC68C3" w:rsidRPr="006849EF" w:rsidRDefault="00FC68C3" w:rsidP="00B1041C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FC68C3" w:rsidRPr="00D80271" w14:paraId="2E9C0013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77777777" w:rsidR="00FC68C3" w:rsidRPr="006E42F6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70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0E3EC2EE" w:rsidR="00FC68C3" w:rsidRPr="00D219B5" w:rsidRDefault="00D219B5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149,8</w:t>
            </w:r>
          </w:p>
        </w:tc>
        <w:tc>
          <w:tcPr>
            <w:tcW w:w="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9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7A3E52BD" w:rsidR="00FC68C3" w:rsidRPr="00D219B5" w:rsidRDefault="00D219B5" w:rsidP="00B1041C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8,7</w:t>
            </w:r>
          </w:p>
        </w:tc>
        <w:tc>
          <w:tcPr>
            <w:tcW w:w="19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345BE439" w:rsidR="00FC68C3" w:rsidRPr="00D219B5" w:rsidRDefault="00D219B5" w:rsidP="00B1041C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12,1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Pr="00D65504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716"/>
        <w:gridCol w:w="1747"/>
        <w:gridCol w:w="271"/>
        <w:gridCol w:w="1515"/>
        <w:gridCol w:w="1985"/>
      </w:tblGrid>
      <w:tr w:rsidR="00032C17" w:rsidRPr="006E42F6" w14:paraId="29EADAEF" w14:textId="77777777" w:rsidTr="00C61F35">
        <w:trPr>
          <w:trHeight w:val="284"/>
          <w:jc w:val="center"/>
        </w:trPr>
        <w:tc>
          <w:tcPr>
            <w:tcW w:w="239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0809FC2" w14:textId="4B8C0012" w:rsidR="00032C17" w:rsidRPr="00032C17" w:rsidRDefault="00032C17" w:rsidP="00032C17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17DB2D6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E42A204" w14:textId="77777777" w:rsidR="00032C17" w:rsidRPr="006E42F6" w:rsidRDefault="00032C17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D4E7168" w14:textId="77777777" w:rsidR="00032C17" w:rsidRPr="006E42F6" w:rsidRDefault="00032C17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56189A9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57334B" w:rsidRPr="006E42F6" w14:paraId="1A4CA09C" w14:textId="77777777" w:rsidTr="00C61F35">
        <w:trPr>
          <w:trHeight w:val="680"/>
          <w:jc w:val="center"/>
        </w:trPr>
        <w:tc>
          <w:tcPr>
            <w:tcW w:w="239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936C05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6AA3B19D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71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4E1BDE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033F6060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74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60F65A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Όγκου (2015=100)</w:t>
            </w:r>
          </w:p>
        </w:tc>
        <w:tc>
          <w:tcPr>
            <w:tcW w:w="271" w:type="dxa"/>
            <w:vMerge w:val="restart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FD7AC5E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FFC828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5528D3A7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D24FA5" w:rsidRPr="006E42F6" w14:paraId="17A725CE" w14:textId="77777777" w:rsidTr="00C61F35">
        <w:trPr>
          <w:trHeight w:val="624"/>
          <w:jc w:val="center"/>
        </w:trPr>
        <w:tc>
          <w:tcPr>
            <w:tcW w:w="239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08BA4C94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E187D50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8E862D0" w14:textId="77777777" w:rsidR="00D24FA5" w:rsidRDefault="00D24FA5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Μάιος </w:t>
            </w:r>
          </w:p>
          <w:p w14:paraId="3C8C6511" w14:textId="6623BD5F" w:rsidR="00D24FA5" w:rsidRPr="00380A10" w:rsidRDefault="00D24FA5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710E1284" w14:textId="77777777" w:rsidR="00D24FA5" w:rsidRPr="00380A10" w:rsidRDefault="00D24FA5" w:rsidP="00D24FA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24D05D" w14:textId="2C522CC7" w:rsidR="00D24FA5" w:rsidRPr="002640EA" w:rsidRDefault="00D24FA5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</w:t>
            </w:r>
            <w:r w:rsidR="0038422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ς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685DC1B9" w14:textId="678C8B0F" w:rsidR="00D24FA5" w:rsidRPr="00380A10" w:rsidRDefault="00D24FA5" w:rsidP="00D24FA5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Μάιο</w:t>
            </w:r>
            <w:r w:rsidR="0038422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8A21B9" w14:textId="3FB4DAB7" w:rsidR="00D24FA5" w:rsidRPr="00380A10" w:rsidRDefault="00D24FA5" w:rsidP="00D24FA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</w:t>
            </w:r>
            <w:r w:rsidR="0038422B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</w:t>
            </w:r>
            <w:r w:rsidR="00C61F3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ς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29720E9B" w14:textId="1837691D" w:rsidR="00D24FA5" w:rsidRPr="00380A10" w:rsidRDefault="00D24FA5" w:rsidP="00D24FA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</w:t>
            </w:r>
            <w:r w:rsidR="0038422B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</w:t>
            </w:r>
            <w:r w:rsidR="00C61F3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ς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D24FA5" w:rsidRPr="00D80271" w14:paraId="39FEA08E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0CFB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B50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9296" w14:textId="436B2CF5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24D51" w14:textId="77777777" w:rsidR="00D24FA5" w:rsidRPr="00831223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D5EE" w14:textId="4A3E9712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082E" w14:textId="69F43102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8,2</w:t>
            </w:r>
          </w:p>
        </w:tc>
      </w:tr>
      <w:tr w:rsidR="00D24FA5" w:rsidRPr="00D80271" w14:paraId="21C077B3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4B3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D5353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9435" w14:textId="2881B1B1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953D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12C9" w14:textId="1CFCB9C2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89C1" w14:textId="1B143B8B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D24FA5" w:rsidRPr="00D80271" w14:paraId="3CE0462F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C58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7C8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0E42" w14:textId="0FEA6147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B612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9DF1" w14:textId="7C9D7BC3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F260" w14:textId="245129D7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5,6</w:t>
            </w:r>
          </w:p>
        </w:tc>
      </w:tr>
      <w:tr w:rsidR="00D24FA5" w:rsidRPr="00D80271" w14:paraId="325CDF91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55E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A78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F43A" w14:textId="037B34F7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72,5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4949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44DE" w14:textId="0E4EA65F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E034" w14:textId="06BBA7EF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8,3</w:t>
            </w:r>
          </w:p>
        </w:tc>
      </w:tr>
      <w:tr w:rsidR="00D24FA5" w:rsidRPr="00D80271" w14:paraId="12283BE4" w14:textId="77777777" w:rsidTr="00C61F35">
        <w:trPr>
          <w:trHeight w:val="87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8BC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28EF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06AE" w14:textId="6F1F7E9C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2158" w14:textId="77777777" w:rsidR="00D24FA5" w:rsidRPr="006E42F6" w:rsidRDefault="00D24FA5" w:rsidP="00D24FA5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0888" w14:textId="1E7807D3" w:rsidR="00D24FA5" w:rsidRPr="00FC509C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</w:t>
            </w:r>
            <w:r w:rsidR="00FC509C"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21E6" w14:textId="486A6F40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12,4</w:t>
            </w:r>
          </w:p>
        </w:tc>
      </w:tr>
      <w:tr w:rsidR="00D24FA5" w:rsidRPr="006E42F6" w14:paraId="3ACFEEAF" w14:textId="77777777" w:rsidTr="00C61F35">
        <w:trPr>
          <w:trHeight w:val="56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4A4F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5802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497D" w14:textId="038F39DD" w:rsidR="00D24FA5" w:rsidRPr="00667D02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133,1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2603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269E" w14:textId="340CF96D" w:rsidR="00D24FA5" w:rsidRPr="00667D02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59F6" w14:textId="33F60C07" w:rsidR="00D24FA5" w:rsidRPr="00FB498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6,5</w:t>
            </w:r>
          </w:p>
        </w:tc>
      </w:tr>
      <w:tr w:rsidR="00D24FA5" w:rsidRPr="00D80271" w14:paraId="22EECD9E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91E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85D4A92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70BE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C2195" w14:textId="186AA022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3502" w14:textId="77777777" w:rsidR="00D24FA5" w:rsidRPr="006E42F6" w:rsidRDefault="00D24FA5" w:rsidP="00D24FA5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6C70" w14:textId="2DB4413F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CEF1" w14:textId="6701D8E7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10,3</w:t>
            </w:r>
          </w:p>
        </w:tc>
      </w:tr>
      <w:tr w:rsidR="00D24FA5" w:rsidRPr="006E42F6" w14:paraId="0017E962" w14:textId="77777777" w:rsidTr="00C61F35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E69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E21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4F2A" w14:textId="497A0369" w:rsidR="00D24FA5" w:rsidRPr="00667D02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BF73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534D" w14:textId="53A5378B" w:rsidR="00D24FA5" w:rsidRPr="00667D02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9779" w14:textId="4DC4A60F" w:rsidR="00D24FA5" w:rsidRPr="00FB498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18,0</w:t>
            </w:r>
          </w:p>
        </w:tc>
      </w:tr>
      <w:tr w:rsidR="00D24FA5" w:rsidRPr="00D80271" w14:paraId="58F2D67A" w14:textId="77777777" w:rsidTr="00C61F35">
        <w:trPr>
          <w:trHeight w:val="964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01C9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148E43C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F766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DB6C" w14:textId="0642CDD1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9021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3049" w14:textId="64B6916C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2262" w14:textId="449FF167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D24FA5" w:rsidRPr="00D80271" w14:paraId="3A8BB11F" w14:textId="77777777" w:rsidTr="00C61F35">
        <w:trPr>
          <w:trHeight w:val="1702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EE18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5F2CFE83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5C2CC1B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3C10EA1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49C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6338F" w14:textId="368F73D3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D8FB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DB78" w14:textId="601F2836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44C9C" w14:textId="15B1779C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</w:tr>
      <w:tr w:rsidR="00D24FA5" w:rsidRPr="00D80271" w14:paraId="3B8D2286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D1C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494A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EFB" w14:textId="23EE4272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5785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55F8" w14:textId="6FC856BF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DDF6" w14:textId="731BFAA1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2,0</w:t>
            </w:r>
          </w:p>
        </w:tc>
      </w:tr>
      <w:tr w:rsidR="00D24FA5" w:rsidRPr="00D80271" w14:paraId="1C348B90" w14:textId="77777777" w:rsidTr="00C61F35">
        <w:trPr>
          <w:trHeight w:val="113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47C5" w14:textId="77777777" w:rsidR="00D24FA5" w:rsidRPr="006849EF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2948" w14:textId="77777777" w:rsidR="00D24FA5" w:rsidRPr="006849EF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8B65" w14:textId="77777777" w:rsidR="00D24FA5" w:rsidRPr="006849EF" w:rsidRDefault="00D24FA5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C2B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9C97" w14:textId="77777777" w:rsidR="00D24FA5" w:rsidRPr="006849EF" w:rsidRDefault="00D24FA5" w:rsidP="00D24FA5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2724" w14:textId="77777777" w:rsidR="00D24FA5" w:rsidRPr="006849EF" w:rsidRDefault="00D24FA5" w:rsidP="00D24FA5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D24FA5" w:rsidRPr="00D80271" w14:paraId="15EAAD29" w14:textId="77777777" w:rsidTr="00C61F35">
        <w:trPr>
          <w:trHeight w:val="851"/>
          <w:jc w:val="center"/>
        </w:trPr>
        <w:tc>
          <w:tcPr>
            <w:tcW w:w="23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DAD3FA" w14:textId="77777777" w:rsidR="00D24FA5" w:rsidRPr="006E42F6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71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402EE4B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7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F7C903B" w14:textId="7ABA78A4" w:rsidR="00D24FA5" w:rsidRPr="00831223" w:rsidRDefault="00831223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135,6</w:t>
            </w:r>
          </w:p>
        </w:tc>
        <w:tc>
          <w:tcPr>
            <w:tcW w:w="2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B6113C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1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BFF08F" w14:textId="764FDD7E" w:rsidR="00D24FA5" w:rsidRPr="00831223" w:rsidRDefault="00831223" w:rsidP="00D24FA5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6,1</w:t>
            </w:r>
          </w:p>
        </w:tc>
        <w:tc>
          <w:tcPr>
            <w:tcW w:w="19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7C558C" w14:textId="29F1EBAC" w:rsidR="00D24FA5" w:rsidRPr="00831223" w:rsidRDefault="00831223" w:rsidP="00D24FA5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7,6</w:t>
            </w:r>
          </w:p>
        </w:tc>
      </w:tr>
    </w:tbl>
    <w:p w14:paraId="6701B471" w14:textId="77777777" w:rsidR="0057334B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>λάδου 47 της στατιστικής ταξινόμησης οικονομικών δραστηριοτήτων NACE Αναθ.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5AB46E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Καλύπτονται όλες οι επιχειρήσεις που απασχολούν 10 ή περισσότερα άτομα και δείγμα από μικρότερες επιχειρήσεις.</w:t>
      </w: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77777777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με αποστολή τηλεομοιότυπων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2015,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2015.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για το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2015.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αποπληθωριστή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Αναθ.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(2015)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καταρτισμός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γίνεται στο πλαίσιο εφαρμογής του </w:t>
      </w:r>
      <w:r>
        <w:rPr>
          <w:rFonts w:ascii="Verdana" w:hAnsi="Verdana"/>
          <w:sz w:val="18"/>
          <w:szCs w:val="18"/>
          <w:lang w:val="el-GR"/>
        </w:rPr>
        <w:t>Κανονισμού</w:t>
      </w:r>
      <w:r w:rsidRPr="000A066C">
        <w:rPr>
          <w:rFonts w:ascii="Verdana" w:hAnsi="Verdana"/>
          <w:sz w:val="18"/>
          <w:szCs w:val="18"/>
          <w:lang w:val="el-GR"/>
        </w:rPr>
        <w:t xml:space="preserve"> (ΕΕ) 2019/2152 σχετικά με τις 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(Eurostat)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7D8C606A" w14:textId="4DF9FE5A" w:rsidR="0018132D" w:rsidRPr="00DE4034" w:rsidRDefault="0018132D" w:rsidP="0057334B">
      <w:pPr>
        <w:jc w:val="both"/>
        <w:rPr>
          <w:rFonts w:ascii="Verdana" w:hAnsi="Verdana"/>
          <w:sz w:val="18"/>
          <w:szCs w:val="18"/>
          <w:lang w:val="el-GR"/>
        </w:rPr>
      </w:pPr>
      <w:bookmarkStart w:id="1" w:name="OLE_LINK1"/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DE403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DE4034">
        <w:rPr>
          <w:rFonts w:ascii="Verdana" w:hAnsi="Verdana"/>
          <w:b/>
          <w:bCs/>
          <w:sz w:val="18"/>
          <w:szCs w:val="18"/>
        </w:rPr>
        <w:t>Excel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</w:t>
      </w:r>
      <w:bookmarkEnd w:id="1"/>
      <w:r w:rsidR="00DE4034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Για τον Ιανουάριο 2023 και μετέπειτα, η ενημέρωση γίνεται μόνο στη Βάση Δεδομένων </w:t>
      </w:r>
      <w:r w:rsidRPr="00DE4034">
        <w:rPr>
          <w:rFonts w:ascii="Verdana" w:hAnsi="Verdana"/>
          <w:b/>
          <w:bCs/>
          <w:sz w:val="18"/>
          <w:szCs w:val="18"/>
        </w:rPr>
        <w:t>CYSTAT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DE4034">
        <w:rPr>
          <w:rFonts w:ascii="Verdana" w:hAnsi="Verdana"/>
          <w:b/>
          <w:bCs/>
          <w:sz w:val="18"/>
          <w:szCs w:val="18"/>
        </w:rPr>
        <w:t>DB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003666C" w14:textId="77777777" w:rsidR="0057334B" w:rsidRPr="00DE4034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Ευαγγελία Ευσταθίου: Τηλ.: 2260</w:t>
      </w:r>
      <w:bookmarkStart w:id="2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2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DE4034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3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5C96" w14:textId="77777777" w:rsidR="00B107A5" w:rsidRDefault="00B107A5" w:rsidP="00FB398F">
      <w:r>
        <w:separator/>
      </w:r>
    </w:p>
  </w:endnote>
  <w:endnote w:type="continuationSeparator" w:id="0">
    <w:p w14:paraId="2FE8273D" w14:textId="77777777" w:rsidR="00B107A5" w:rsidRDefault="00B107A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D24FA5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9AD5" w14:textId="77777777" w:rsidR="00B107A5" w:rsidRDefault="00B107A5" w:rsidP="00FB398F">
      <w:r>
        <w:separator/>
      </w:r>
    </w:p>
  </w:footnote>
  <w:footnote w:type="continuationSeparator" w:id="0">
    <w:p w14:paraId="4B9E9804" w14:textId="77777777" w:rsidR="00B107A5" w:rsidRDefault="00B107A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7D8"/>
    <w:rsid w:val="00027853"/>
    <w:rsid w:val="00030E18"/>
    <w:rsid w:val="00031D32"/>
    <w:rsid w:val="00032C1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3DFC"/>
    <w:rsid w:val="00184384"/>
    <w:rsid w:val="00186717"/>
    <w:rsid w:val="00187356"/>
    <w:rsid w:val="00187FFC"/>
    <w:rsid w:val="0019391C"/>
    <w:rsid w:val="0019636B"/>
    <w:rsid w:val="001A2018"/>
    <w:rsid w:val="001B1C0B"/>
    <w:rsid w:val="001B2C39"/>
    <w:rsid w:val="001B3675"/>
    <w:rsid w:val="001B5E10"/>
    <w:rsid w:val="001B6AB3"/>
    <w:rsid w:val="001B73D5"/>
    <w:rsid w:val="001C00EF"/>
    <w:rsid w:val="001C0681"/>
    <w:rsid w:val="001C1403"/>
    <w:rsid w:val="001C62B3"/>
    <w:rsid w:val="001C7C8C"/>
    <w:rsid w:val="001D0D6A"/>
    <w:rsid w:val="001D1CE2"/>
    <w:rsid w:val="001D20A4"/>
    <w:rsid w:val="001E00D1"/>
    <w:rsid w:val="001E0E58"/>
    <w:rsid w:val="001E14F3"/>
    <w:rsid w:val="001E15ED"/>
    <w:rsid w:val="001E61AA"/>
    <w:rsid w:val="0020309E"/>
    <w:rsid w:val="00205E6A"/>
    <w:rsid w:val="00210B58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554"/>
    <w:rsid w:val="0028338F"/>
    <w:rsid w:val="0028740A"/>
    <w:rsid w:val="002915C4"/>
    <w:rsid w:val="00297E6B"/>
    <w:rsid w:val="002A1D1C"/>
    <w:rsid w:val="002A43D0"/>
    <w:rsid w:val="002A4D64"/>
    <w:rsid w:val="002B4969"/>
    <w:rsid w:val="002B6554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231E"/>
    <w:rsid w:val="003042C4"/>
    <w:rsid w:val="0030431F"/>
    <w:rsid w:val="00304CB4"/>
    <w:rsid w:val="00313F37"/>
    <w:rsid w:val="003141D0"/>
    <w:rsid w:val="003168C1"/>
    <w:rsid w:val="00321C88"/>
    <w:rsid w:val="00322FBE"/>
    <w:rsid w:val="00325632"/>
    <w:rsid w:val="00327549"/>
    <w:rsid w:val="003342A5"/>
    <w:rsid w:val="00334616"/>
    <w:rsid w:val="003349AF"/>
    <w:rsid w:val="00336C36"/>
    <w:rsid w:val="00343815"/>
    <w:rsid w:val="003522BB"/>
    <w:rsid w:val="00352F6C"/>
    <w:rsid w:val="003556EA"/>
    <w:rsid w:val="00364E6D"/>
    <w:rsid w:val="003765FB"/>
    <w:rsid w:val="00381127"/>
    <w:rsid w:val="0038422B"/>
    <w:rsid w:val="00386FC7"/>
    <w:rsid w:val="00390A32"/>
    <w:rsid w:val="003921CA"/>
    <w:rsid w:val="0039285D"/>
    <w:rsid w:val="003A1E91"/>
    <w:rsid w:val="003A40F2"/>
    <w:rsid w:val="003A5079"/>
    <w:rsid w:val="003A50D1"/>
    <w:rsid w:val="003B0F68"/>
    <w:rsid w:val="003B196D"/>
    <w:rsid w:val="003B2710"/>
    <w:rsid w:val="003B4608"/>
    <w:rsid w:val="003C2392"/>
    <w:rsid w:val="003C41A6"/>
    <w:rsid w:val="003C5174"/>
    <w:rsid w:val="003C5240"/>
    <w:rsid w:val="003C76E6"/>
    <w:rsid w:val="003D0D3A"/>
    <w:rsid w:val="003D14E0"/>
    <w:rsid w:val="003D1EA5"/>
    <w:rsid w:val="003D3348"/>
    <w:rsid w:val="003D4E63"/>
    <w:rsid w:val="003D6822"/>
    <w:rsid w:val="003D724C"/>
    <w:rsid w:val="003E0CE2"/>
    <w:rsid w:val="003E1AE2"/>
    <w:rsid w:val="003F49E4"/>
    <w:rsid w:val="003F4D2F"/>
    <w:rsid w:val="003F5E32"/>
    <w:rsid w:val="003F71A0"/>
    <w:rsid w:val="003F75F6"/>
    <w:rsid w:val="00404670"/>
    <w:rsid w:val="004144BC"/>
    <w:rsid w:val="00414CA0"/>
    <w:rsid w:val="004179F0"/>
    <w:rsid w:val="00420B2C"/>
    <w:rsid w:val="00422F54"/>
    <w:rsid w:val="00431516"/>
    <w:rsid w:val="00434B54"/>
    <w:rsid w:val="00435593"/>
    <w:rsid w:val="004361B3"/>
    <w:rsid w:val="0044249D"/>
    <w:rsid w:val="0044379F"/>
    <w:rsid w:val="00444FCC"/>
    <w:rsid w:val="00446FB1"/>
    <w:rsid w:val="00452753"/>
    <w:rsid w:val="00455051"/>
    <w:rsid w:val="0046078F"/>
    <w:rsid w:val="00461A03"/>
    <w:rsid w:val="00463214"/>
    <w:rsid w:val="0046434D"/>
    <w:rsid w:val="004656FA"/>
    <w:rsid w:val="0047110D"/>
    <w:rsid w:val="00471D77"/>
    <w:rsid w:val="00475587"/>
    <w:rsid w:val="00476CE2"/>
    <w:rsid w:val="00480BC2"/>
    <w:rsid w:val="004845C3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599"/>
    <w:rsid w:val="004C1F7E"/>
    <w:rsid w:val="004C6CA7"/>
    <w:rsid w:val="004D4357"/>
    <w:rsid w:val="004D4950"/>
    <w:rsid w:val="004E2393"/>
    <w:rsid w:val="004E3745"/>
    <w:rsid w:val="004E42BE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1107B"/>
    <w:rsid w:val="00512F9C"/>
    <w:rsid w:val="0051717D"/>
    <w:rsid w:val="00522D03"/>
    <w:rsid w:val="00527CDB"/>
    <w:rsid w:val="00530735"/>
    <w:rsid w:val="0053340D"/>
    <w:rsid w:val="005341C9"/>
    <w:rsid w:val="005369CA"/>
    <w:rsid w:val="00536DE9"/>
    <w:rsid w:val="0053702F"/>
    <w:rsid w:val="00541E08"/>
    <w:rsid w:val="00554FE0"/>
    <w:rsid w:val="0055789A"/>
    <w:rsid w:val="00560952"/>
    <w:rsid w:val="00561EB7"/>
    <w:rsid w:val="005652D1"/>
    <w:rsid w:val="005660A0"/>
    <w:rsid w:val="00566A4F"/>
    <w:rsid w:val="00567D64"/>
    <w:rsid w:val="0057334B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5D1F"/>
    <w:rsid w:val="005F12F5"/>
    <w:rsid w:val="005F7C7D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327B"/>
    <w:rsid w:val="00626B12"/>
    <w:rsid w:val="00632777"/>
    <w:rsid w:val="00633750"/>
    <w:rsid w:val="00634491"/>
    <w:rsid w:val="0063679C"/>
    <w:rsid w:val="00637055"/>
    <w:rsid w:val="00641D59"/>
    <w:rsid w:val="00644507"/>
    <w:rsid w:val="00646880"/>
    <w:rsid w:val="006474DF"/>
    <w:rsid w:val="00647D2A"/>
    <w:rsid w:val="006537BB"/>
    <w:rsid w:val="0065643E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A02B7"/>
    <w:rsid w:val="006A1BAF"/>
    <w:rsid w:val="006A7019"/>
    <w:rsid w:val="006B46D5"/>
    <w:rsid w:val="006B46F4"/>
    <w:rsid w:val="006C2168"/>
    <w:rsid w:val="006C7AF3"/>
    <w:rsid w:val="006D0B9D"/>
    <w:rsid w:val="006D6548"/>
    <w:rsid w:val="006E0E20"/>
    <w:rsid w:val="006E10E1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2548A"/>
    <w:rsid w:val="007277A6"/>
    <w:rsid w:val="0074078D"/>
    <w:rsid w:val="00741DBE"/>
    <w:rsid w:val="007437AB"/>
    <w:rsid w:val="00745425"/>
    <w:rsid w:val="00750B5F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043B"/>
    <w:rsid w:val="00792F28"/>
    <w:rsid w:val="007935CA"/>
    <w:rsid w:val="0079543F"/>
    <w:rsid w:val="00795880"/>
    <w:rsid w:val="007A4367"/>
    <w:rsid w:val="007B0867"/>
    <w:rsid w:val="007B14CA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0D39"/>
    <w:rsid w:val="00831223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301A"/>
    <w:rsid w:val="00877452"/>
    <w:rsid w:val="00881268"/>
    <w:rsid w:val="0088394A"/>
    <w:rsid w:val="0088415B"/>
    <w:rsid w:val="008860BD"/>
    <w:rsid w:val="00887399"/>
    <w:rsid w:val="0088779E"/>
    <w:rsid w:val="008901D6"/>
    <w:rsid w:val="008912AF"/>
    <w:rsid w:val="00892114"/>
    <w:rsid w:val="008927F1"/>
    <w:rsid w:val="00892CB9"/>
    <w:rsid w:val="008935CB"/>
    <w:rsid w:val="008A1430"/>
    <w:rsid w:val="008B0E7E"/>
    <w:rsid w:val="008B4771"/>
    <w:rsid w:val="008B65BD"/>
    <w:rsid w:val="008B7900"/>
    <w:rsid w:val="008C71BF"/>
    <w:rsid w:val="008C7FE0"/>
    <w:rsid w:val="008D5717"/>
    <w:rsid w:val="008E44A9"/>
    <w:rsid w:val="008E6B4D"/>
    <w:rsid w:val="008E6BFF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30754"/>
    <w:rsid w:val="00934F68"/>
    <w:rsid w:val="009355AC"/>
    <w:rsid w:val="00935F38"/>
    <w:rsid w:val="00937586"/>
    <w:rsid w:val="009400B6"/>
    <w:rsid w:val="00947889"/>
    <w:rsid w:val="009478BD"/>
    <w:rsid w:val="00960DC6"/>
    <w:rsid w:val="00960E98"/>
    <w:rsid w:val="00962F2D"/>
    <w:rsid w:val="00963A82"/>
    <w:rsid w:val="00972912"/>
    <w:rsid w:val="00973BFC"/>
    <w:rsid w:val="00976D1F"/>
    <w:rsid w:val="00981C81"/>
    <w:rsid w:val="00987BF4"/>
    <w:rsid w:val="009A2D24"/>
    <w:rsid w:val="009A456C"/>
    <w:rsid w:val="009B00E0"/>
    <w:rsid w:val="009B292A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247C"/>
    <w:rsid w:val="009E31BA"/>
    <w:rsid w:val="009E7952"/>
    <w:rsid w:val="009F0528"/>
    <w:rsid w:val="009F0806"/>
    <w:rsid w:val="009F233B"/>
    <w:rsid w:val="00A05D16"/>
    <w:rsid w:val="00A0659F"/>
    <w:rsid w:val="00A079BA"/>
    <w:rsid w:val="00A13FCE"/>
    <w:rsid w:val="00A14E8C"/>
    <w:rsid w:val="00A20C70"/>
    <w:rsid w:val="00A24F5D"/>
    <w:rsid w:val="00A33875"/>
    <w:rsid w:val="00A360A1"/>
    <w:rsid w:val="00A402B3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317D"/>
    <w:rsid w:val="00AE5ADA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07A5"/>
    <w:rsid w:val="00B30D97"/>
    <w:rsid w:val="00B31074"/>
    <w:rsid w:val="00B3181A"/>
    <w:rsid w:val="00B35A7C"/>
    <w:rsid w:val="00B44ECD"/>
    <w:rsid w:val="00B450D1"/>
    <w:rsid w:val="00B45E3D"/>
    <w:rsid w:val="00B47780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A06C0"/>
    <w:rsid w:val="00BA2A52"/>
    <w:rsid w:val="00BA68C6"/>
    <w:rsid w:val="00BB12F1"/>
    <w:rsid w:val="00BB276E"/>
    <w:rsid w:val="00BB3FEE"/>
    <w:rsid w:val="00BB5EB0"/>
    <w:rsid w:val="00BC245A"/>
    <w:rsid w:val="00BC5F29"/>
    <w:rsid w:val="00BC63B7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014C"/>
    <w:rsid w:val="00C016F3"/>
    <w:rsid w:val="00C15193"/>
    <w:rsid w:val="00C15609"/>
    <w:rsid w:val="00C15F6A"/>
    <w:rsid w:val="00C23EA7"/>
    <w:rsid w:val="00C256F3"/>
    <w:rsid w:val="00C270A2"/>
    <w:rsid w:val="00C315B5"/>
    <w:rsid w:val="00C347CE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35"/>
    <w:rsid w:val="00C623EB"/>
    <w:rsid w:val="00C64C6B"/>
    <w:rsid w:val="00C664B0"/>
    <w:rsid w:val="00C66F2E"/>
    <w:rsid w:val="00C6785C"/>
    <w:rsid w:val="00C70FD1"/>
    <w:rsid w:val="00C72B76"/>
    <w:rsid w:val="00C733AA"/>
    <w:rsid w:val="00C811E4"/>
    <w:rsid w:val="00C824F5"/>
    <w:rsid w:val="00C83027"/>
    <w:rsid w:val="00C84B8A"/>
    <w:rsid w:val="00C85E65"/>
    <w:rsid w:val="00C86CE9"/>
    <w:rsid w:val="00C87CA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CF4B8D"/>
    <w:rsid w:val="00D008DA"/>
    <w:rsid w:val="00D0416F"/>
    <w:rsid w:val="00D05851"/>
    <w:rsid w:val="00D10FED"/>
    <w:rsid w:val="00D1173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407C"/>
    <w:rsid w:val="00D70D36"/>
    <w:rsid w:val="00D74119"/>
    <w:rsid w:val="00D76249"/>
    <w:rsid w:val="00D77DB9"/>
    <w:rsid w:val="00D80271"/>
    <w:rsid w:val="00D841C6"/>
    <w:rsid w:val="00D859AF"/>
    <w:rsid w:val="00D945A0"/>
    <w:rsid w:val="00D969B4"/>
    <w:rsid w:val="00DA27BD"/>
    <w:rsid w:val="00DA7D12"/>
    <w:rsid w:val="00DC23CF"/>
    <w:rsid w:val="00DC37A3"/>
    <w:rsid w:val="00DC6562"/>
    <w:rsid w:val="00DE130D"/>
    <w:rsid w:val="00DE24CF"/>
    <w:rsid w:val="00DE4034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BAE"/>
    <w:rsid w:val="00E17172"/>
    <w:rsid w:val="00E22847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63F34"/>
    <w:rsid w:val="00E63FEA"/>
    <w:rsid w:val="00E65719"/>
    <w:rsid w:val="00E6715A"/>
    <w:rsid w:val="00E72120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D2650"/>
    <w:rsid w:val="00ED483B"/>
    <w:rsid w:val="00ED721A"/>
    <w:rsid w:val="00EE393D"/>
    <w:rsid w:val="00EF01CF"/>
    <w:rsid w:val="00EF6A47"/>
    <w:rsid w:val="00EF7AF9"/>
    <w:rsid w:val="00F00952"/>
    <w:rsid w:val="00F01495"/>
    <w:rsid w:val="00F10138"/>
    <w:rsid w:val="00F1060D"/>
    <w:rsid w:val="00F12D2B"/>
    <w:rsid w:val="00F13F92"/>
    <w:rsid w:val="00F143F7"/>
    <w:rsid w:val="00F2279E"/>
    <w:rsid w:val="00F22ECA"/>
    <w:rsid w:val="00F240E8"/>
    <w:rsid w:val="00F243B7"/>
    <w:rsid w:val="00F244FA"/>
    <w:rsid w:val="00F24BE4"/>
    <w:rsid w:val="00F363E8"/>
    <w:rsid w:val="00F365F7"/>
    <w:rsid w:val="00F366A2"/>
    <w:rsid w:val="00F41465"/>
    <w:rsid w:val="00F448C1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955CC"/>
    <w:rsid w:val="00F97E2B"/>
    <w:rsid w:val="00FA0113"/>
    <w:rsid w:val="00FA12B2"/>
    <w:rsid w:val="00FA7610"/>
    <w:rsid w:val="00FB02BD"/>
    <w:rsid w:val="00FB398F"/>
    <w:rsid w:val="00FB4983"/>
    <w:rsid w:val="00FB4EF8"/>
    <w:rsid w:val="00FB54AE"/>
    <w:rsid w:val="00FB709A"/>
    <w:rsid w:val="00FB78DD"/>
    <w:rsid w:val="00FC3C00"/>
    <w:rsid w:val="00FC3EF3"/>
    <w:rsid w:val="00FC509C"/>
    <w:rsid w:val="00FC5D35"/>
    <w:rsid w:val="00FC68C3"/>
    <w:rsid w:val="00FD1823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Efstathiou  Evaggelia</cp:lastModifiedBy>
  <cp:revision>173</cp:revision>
  <cp:lastPrinted>2023-06-01T07:27:00Z</cp:lastPrinted>
  <dcterms:created xsi:type="dcterms:W3CDTF">2023-02-28T12:40:00Z</dcterms:created>
  <dcterms:modified xsi:type="dcterms:W3CDTF">2023-06-30T05:47:00Z</dcterms:modified>
</cp:coreProperties>
</file>