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30737124" w:rsidR="008C6CFC" w:rsidRPr="00397A6F" w:rsidRDefault="00BE2D3E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0E4F1E" w:rsidRPr="00397A6F">
        <w:rPr>
          <w:rFonts w:ascii="Verdana" w:hAnsi="Verdana" w:cs="Arial"/>
          <w:sz w:val="18"/>
          <w:szCs w:val="18"/>
        </w:rPr>
        <w:t xml:space="preserve"> </w:t>
      </w:r>
      <w:r w:rsidR="005E493C">
        <w:rPr>
          <w:rFonts w:ascii="Verdana" w:hAnsi="Verdana" w:cs="Arial"/>
          <w:sz w:val="18"/>
          <w:szCs w:val="18"/>
        </w:rPr>
        <w:t>Ju</w:t>
      </w:r>
      <w:r>
        <w:rPr>
          <w:rFonts w:ascii="Verdana" w:hAnsi="Verdana" w:cs="Arial"/>
          <w:sz w:val="18"/>
          <w:szCs w:val="18"/>
        </w:rPr>
        <w:t>ly</w:t>
      </w:r>
      <w:r w:rsidR="008C6CFC" w:rsidRPr="00397A6F">
        <w:rPr>
          <w:rFonts w:ascii="Verdana" w:hAnsi="Verdana" w:cs="Arial"/>
          <w:sz w:val="18"/>
          <w:szCs w:val="18"/>
          <w:lang w:val="en-GB"/>
        </w:rPr>
        <w:t>,</w:t>
      </w:r>
      <w:r w:rsidR="008C6CFC" w:rsidRPr="00397A6F">
        <w:rPr>
          <w:rFonts w:ascii="Verdana" w:eastAsia="Malgun Gothic" w:hAnsi="Verdana" w:cs="Arial"/>
          <w:sz w:val="18"/>
          <w:szCs w:val="18"/>
        </w:rPr>
        <w:t xml:space="preserve"> 202</w:t>
      </w:r>
      <w:r w:rsidR="00AF61F8" w:rsidRPr="00397A6F">
        <w:rPr>
          <w:rFonts w:ascii="Verdana" w:eastAsia="Malgun Gothic" w:hAnsi="Verdana" w:cs="Arial"/>
          <w:sz w:val="18"/>
          <w:szCs w:val="18"/>
        </w:rPr>
        <w:t>4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71740FB3" w:rsidR="008C6CFC" w:rsidRPr="005A3176" w:rsidRDefault="008C6CFC" w:rsidP="008C6CFC">
      <w:pPr>
        <w:rPr>
          <w:rFonts w:ascii="Verdana" w:eastAsia="Times New Roman" w:hAnsi="Verdana"/>
          <w:b/>
          <w:bCs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1608C1" w:rsidRPr="005A3176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BE2D3E" w:rsidRPr="00BE2D3E">
        <w:rPr>
          <w:rFonts w:ascii="Verdana" w:eastAsia="Times New Roman" w:hAnsi="Verdana"/>
          <w:b/>
          <w:u w:val="single"/>
          <w:shd w:val="clear" w:color="auto" w:fill="FFFFFF"/>
        </w:rPr>
        <w:t xml:space="preserve">MAY </w:t>
      </w:r>
      <w:r w:rsidRPr="00BE2D3E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BA7C26" w:rsidRPr="00BE2D3E">
        <w:rPr>
          <w:rFonts w:ascii="Verdana" w:eastAsia="Times New Roman" w:hAnsi="Verdana"/>
          <w:b/>
          <w:u w:val="single"/>
          <w:shd w:val="clear" w:color="auto" w:fill="FFFFFF"/>
        </w:rPr>
        <w:t>4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5AEA5B78" w:rsidR="008C6CFC" w:rsidRPr="003826E6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3826E6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3826E6">
        <w:rPr>
          <w:rFonts w:ascii="Verdana" w:eastAsia="Malgun Gothic" w:hAnsi="Verdana" w:cs="Arial"/>
          <w:b/>
          <w:bCs/>
        </w:rPr>
        <w:t>C</w:t>
      </w:r>
      <w:proofErr w:type="spellStart"/>
      <w:r w:rsidRPr="003826E6">
        <w:rPr>
          <w:rFonts w:ascii="Verdana" w:eastAsia="Malgun Gothic" w:hAnsi="Verdana" w:cs="Arial"/>
          <w:b/>
          <w:bCs/>
          <w:lang w:val="en-GB"/>
        </w:rPr>
        <w:t>hange</w:t>
      </w:r>
      <w:proofErr w:type="spellEnd"/>
      <w:r w:rsidRPr="003826E6">
        <w:rPr>
          <w:rFonts w:ascii="Verdana" w:eastAsia="Malgun Gothic" w:hAnsi="Verdana" w:cs="Arial"/>
          <w:b/>
          <w:bCs/>
        </w:rPr>
        <w:t xml:space="preserve"> +</w:t>
      </w:r>
      <w:r w:rsidR="003826E6" w:rsidRPr="003826E6">
        <w:rPr>
          <w:rFonts w:ascii="Verdana" w:eastAsia="Malgun Gothic" w:hAnsi="Verdana" w:cs="Arial"/>
          <w:b/>
          <w:bCs/>
        </w:rPr>
        <w:t>4</w:t>
      </w:r>
      <w:r w:rsidRPr="003826E6">
        <w:rPr>
          <w:rFonts w:ascii="Verdana" w:eastAsia="Malgun Gothic" w:hAnsi="Verdana" w:cs="Arial"/>
          <w:b/>
          <w:bCs/>
        </w:rPr>
        <w:t>,</w:t>
      </w:r>
      <w:r w:rsidR="00B00E2D" w:rsidRPr="003826E6">
        <w:rPr>
          <w:rFonts w:ascii="Verdana" w:eastAsia="Malgun Gothic" w:hAnsi="Verdana" w:cs="Arial"/>
          <w:b/>
          <w:bCs/>
        </w:rPr>
        <w:t>5</w:t>
      </w:r>
      <w:r w:rsidRPr="003826E6">
        <w:rPr>
          <w:rFonts w:ascii="Verdana" w:eastAsia="Malgun Gothic" w:hAnsi="Verdana" w:cs="Arial"/>
          <w:b/>
          <w:bCs/>
        </w:rPr>
        <w:t xml:space="preserve">% in </w:t>
      </w:r>
      <w:r w:rsidR="00F30687" w:rsidRPr="003826E6">
        <w:rPr>
          <w:rFonts w:ascii="Verdana" w:eastAsia="Malgun Gothic" w:hAnsi="Verdana" w:cs="Arial"/>
          <w:b/>
          <w:bCs/>
        </w:rPr>
        <w:t>V</w:t>
      </w:r>
      <w:r w:rsidRPr="003826E6">
        <w:rPr>
          <w:rFonts w:ascii="Verdana" w:eastAsia="Malgun Gothic" w:hAnsi="Verdana" w:cs="Arial"/>
          <w:b/>
          <w:bCs/>
        </w:rPr>
        <w:t xml:space="preserve">alue and </w:t>
      </w:r>
      <w:r w:rsidR="002B0328" w:rsidRPr="003826E6">
        <w:rPr>
          <w:rFonts w:ascii="Verdana" w:eastAsia="Malgun Gothic" w:hAnsi="Verdana" w:cs="Arial"/>
          <w:b/>
          <w:bCs/>
        </w:rPr>
        <w:t>+</w:t>
      </w:r>
      <w:r w:rsidR="003826E6" w:rsidRPr="003826E6">
        <w:rPr>
          <w:rFonts w:ascii="Verdana" w:eastAsia="Malgun Gothic" w:hAnsi="Verdana" w:cs="Arial"/>
          <w:b/>
          <w:bCs/>
        </w:rPr>
        <w:t>2</w:t>
      </w:r>
      <w:r w:rsidRPr="003826E6">
        <w:rPr>
          <w:rFonts w:ascii="Verdana" w:eastAsia="Malgun Gothic" w:hAnsi="Verdana" w:cs="Arial"/>
          <w:b/>
          <w:bCs/>
        </w:rPr>
        <w:t>,</w:t>
      </w:r>
      <w:r w:rsidR="003826E6" w:rsidRPr="003826E6">
        <w:rPr>
          <w:rFonts w:ascii="Verdana" w:eastAsia="Malgun Gothic" w:hAnsi="Verdana" w:cs="Arial"/>
          <w:b/>
          <w:bCs/>
        </w:rPr>
        <w:t>6</w:t>
      </w:r>
      <w:r w:rsidRPr="003826E6">
        <w:rPr>
          <w:rFonts w:ascii="Verdana" w:eastAsia="Malgun Gothic" w:hAnsi="Verdana" w:cs="Arial"/>
          <w:b/>
          <w:bCs/>
        </w:rPr>
        <w:t xml:space="preserve">% in </w:t>
      </w:r>
      <w:r w:rsidR="00F30687" w:rsidRPr="003826E6">
        <w:rPr>
          <w:rFonts w:ascii="Verdana" w:eastAsia="Malgun Gothic" w:hAnsi="Verdana" w:cs="Arial"/>
          <w:b/>
          <w:bCs/>
        </w:rPr>
        <w:t>V</w:t>
      </w:r>
      <w:r w:rsidRPr="003826E6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3826E6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3826E6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1E8DEBF2" w:rsidR="008C6CFC" w:rsidRPr="003826E6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3826E6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3826E6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164276" w:rsidRPr="003826E6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BE2D3E" w:rsidRPr="003826E6">
        <w:rPr>
          <w:rFonts w:ascii="Verdana" w:hAnsi="Verdana"/>
          <w:sz w:val="18"/>
          <w:szCs w:val="18"/>
          <w:shd w:val="clear" w:color="auto" w:fill="FFFFFF"/>
        </w:rPr>
        <w:t xml:space="preserve">May 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>202</w:t>
      </w:r>
      <w:r w:rsidR="00842F36" w:rsidRPr="003826E6">
        <w:rPr>
          <w:rFonts w:ascii="Verdana" w:hAnsi="Verdana"/>
          <w:sz w:val="18"/>
          <w:szCs w:val="18"/>
          <w:shd w:val="clear" w:color="auto" w:fill="FFFFFF"/>
        </w:rPr>
        <w:t xml:space="preserve">4 </w:t>
      </w:r>
      <w:r w:rsidRPr="003826E6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3826E6" w:rsidRPr="003826E6">
        <w:rPr>
          <w:rFonts w:ascii="Verdana" w:hAnsi="Verdana"/>
          <w:sz w:val="18"/>
          <w:szCs w:val="18"/>
          <w:shd w:val="clear" w:color="auto" w:fill="FFFFFF"/>
        </w:rPr>
        <w:t>4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>,</w:t>
      </w:r>
      <w:r w:rsidR="00B00E2D" w:rsidRPr="003826E6">
        <w:rPr>
          <w:rFonts w:ascii="Verdana" w:hAnsi="Verdana"/>
          <w:sz w:val="18"/>
          <w:szCs w:val="18"/>
          <w:shd w:val="clear" w:color="auto" w:fill="FFFFFF"/>
        </w:rPr>
        <w:t>5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3826E6">
        <w:rPr>
          <w:rFonts w:ascii="Verdana" w:hAnsi="Verdana"/>
          <w:sz w:val="18"/>
          <w:szCs w:val="18"/>
          <w:shd w:val="clear" w:color="auto" w:fill="FFFFFF"/>
        </w:rPr>
        <w:t>in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3826E6" w:rsidRPr="003826E6">
        <w:rPr>
          <w:rFonts w:ascii="Verdana" w:hAnsi="Verdana"/>
          <w:sz w:val="18"/>
          <w:szCs w:val="18"/>
          <w:shd w:val="clear" w:color="auto" w:fill="FFFFFF"/>
        </w:rPr>
        <w:t>2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>,</w:t>
      </w:r>
      <w:r w:rsidR="003826E6" w:rsidRPr="003826E6">
        <w:rPr>
          <w:rFonts w:ascii="Verdana" w:hAnsi="Verdana"/>
          <w:sz w:val="18"/>
          <w:szCs w:val="18"/>
          <w:shd w:val="clear" w:color="auto" w:fill="FFFFFF"/>
        </w:rPr>
        <w:t>6</w:t>
      </w:r>
      <w:r w:rsidRPr="003826E6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0584457A" w14:textId="77777777" w:rsidR="00D16C0B" w:rsidRPr="003826E6" w:rsidRDefault="00D16C0B" w:rsidP="007A27F8">
      <w:pPr>
        <w:jc w:val="both"/>
        <w:rPr>
          <w:rFonts w:ascii="Arial" w:hAnsi="Arial" w:cs="Arial"/>
          <w:sz w:val="20"/>
          <w:szCs w:val="20"/>
        </w:rPr>
      </w:pPr>
    </w:p>
    <w:p w14:paraId="6E1870C5" w14:textId="3888CC67" w:rsidR="007A27F8" w:rsidRPr="003826E6" w:rsidRDefault="007A27F8" w:rsidP="007A27F8">
      <w:pPr>
        <w:jc w:val="both"/>
        <w:rPr>
          <w:rFonts w:ascii="Verdana" w:eastAsia="Malgun Gothic" w:hAnsi="Verdana" w:cs="Arial"/>
          <w:sz w:val="18"/>
          <w:szCs w:val="18"/>
        </w:rPr>
      </w:pPr>
      <w:r w:rsidRPr="003826E6">
        <w:rPr>
          <w:rFonts w:ascii="Arial" w:hAnsi="Arial" w:cs="Arial"/>
          <w:sz w:val="20"/>
          <w:szCs w:val="20"/>
        </w:rPr>
        <w:t>For the period January-</w:t>
      </w:r>
      <w:r w:rsidR="00BE2D3E" w:rsidRPr="003826E6">
        <w:rPr>
          <w:rFonts w:ascii="Arial" w:hAnsi="Arial" w:cs="Arial"/>
          <w:sz w:val="20"/>
          <w:szCs w:val="20"/>
        </w:rPr>
        <w:t xml:space="preserve">May </w:t>
      </w:r>
      <w:r w:rsidRPr="003826E6">
        <w:rPr>
          <w:rFonts w:ascii="Arial" w:hAnsi="Arial" w:cs="Arial"/>
          <w:sz w:val="20"/>
          <w:szCs w:val="20"/>
        </w:rPr>
        <w:t>202</w:t>
      </w:r>
      <w:r w:rsidR="009265A7" w:rsidRPr="003826E6">
        <w:rPr>
          <w:rFonts w:ascii="Arial" w:hAnsi="Arial" w:cs="Arial"/>
          <w:sz w:val="20"/>
          <w:szCs w:val="20"/>
        </w:rPr>
        <w:t>4</w:t>
      </w:r>
      <w:r w:rsidRPr="003826E6">
        <w:rPr>
          <w:rFonts w:ascii="Arial" w:hAnsi="Arial" w:cs="Arial"/>
          <w:sz w:val="20"/>
          <w:szCs w:val="20"/>
        </w:rPr>
        <w:t xml:space="preserve">, the </w:t>
      </w:r>
      <w:r w:rsidR="00BE058B" w:rsidRPr="003826E6">
        <w:rPr>
          <w:rFonts w:ascii="Arial" w:hAnsi="Arial" w:cs="Arial"/>
          <w:sz w:val="20"/>
          <w:szCs w:val="20"/>
        </w:rPr>
        <w:t>V</w:t>
      </w:r>
      <w:r w:rsidRPr="003826E6">
        <w:rPr>
          <w:rFonts w:ascii="Arial" w:hAnsi="Arial" w:cs="Arial"/>
          <w:sz w:val="20"/>
          <w:szCs w:val="20"/>
        </w:rPr>
        <w:t xml:space="preserve">alue </w:t>
      </w:r>
      <w:r w:rsidR="00BE058B" w:rsidRPr="003826E6">
        <w:rPr>
          <w:rFonts w:ascii="Arial" w:hAnsi="Arial" w:cs="Arial"/>
          <w:sz w:val="20"/>
          <w:szCs w:val="20"/>
        </w:rPr>
        <w:t>I</w:t>
      </w:r>
      <w:r w:rsidRPr="003826E6">
        <w:rPr>
          <w:rFonts w:ascii="Arial" w:hAnsi="Arial" w:cs="Arial"/>
          <w:sz w:val="20"/>
          <w:szCs w:val="20"/>
        </w:rPr>
        <w:t xml:space="preserve">ndex is estimated to have recorded </w:t>
      </w:r>
      <w:r w:rsidRPr="003826E6">
        <w:rPr>
          <w:rFonts w:ascii="Arial" w:hAnsi="Arial" w:cs="Arial"/>
          <w:sz w:val="20"/>
          <w:szCs w:val="20"/>
          <w:lang w:val="en-GB"/>
        </w:rPr>
        <w:t>an in</w:t>
      </w:r>
      <w:r w:rsidRPr="003826E6">
        <w:rPr>
          <w:rFonts w:ascii="Arial" w:hAnsi="Arial" w:cs="Arial"/>
          <w:sz w:val="20"/>
          <w:szCs w:val="20"/>
        </w:rPr>
        <w:t xml:space="preserve">crease of </w:t>
      </w:r>
      <w:r w:rsidR="009267FF" w:rsidRPr="003826E6">
        <w:rPr>
          <w:rFonts w:ascii="Arial" w:hAnsi="Arial" w:cs="Arial"/>
          <w:sz w:val="20"/>
          <w:szCs w:val="20"/>
        </w:rPr>
        <w:t>5</w:t>
      </w:r>
      <w:r w:rsidRPr="003826E6">
        <w:rPr>
          <w:rFonts w:ascii="Arial" w:hAnsi="Arial" w:cs="Arial"/>
          <w:sz w:val="20"/>
          <w:szCs w:val="20"/>
        </w:rPr>
        <w:t>,</w:t>
      </w:r>
      <w:r w:rsidR="003826E6" w:rsidRPr="003826E6">
        <w:rPr>
          <w:rFonts w:ascii="Arial" w:hAnsi="Arial" w:cs="Arial"/>
          <w:sz w:val="20"/>
          <w:szCs w:val="20"/>
        </w:rPr>
        <w:t>3</w:t>
      </w:r>
      <w:r w:rsidRPr="003826E6">
        <w:rPr>
          <w:rFonts w:ascii="Arial" w:hAnsi="Arial" w:cs="Arial"/>
          <w:sz w:val="20"/>
          <w:szCs w:val="20"/>
        </w:rPr>
        <w:t xml:space="preserve">% and the </w:t>
      </w:r>
      <w:r w:rsidR="00BE058B" w:rsidRPr="003826E6">
        <w:rPr>
          <w:rFonts w:ascii="Arial" w:hAnsi="Arial" w:cs="Arial"/>
          <w:sz w:val="20"/>
          <w:szCs w:val="20"/>
        </w:rPr>
        <w:t>V</w:t>
      </w:r>
      <w:r w:rsidRPr="003826E6">
        <w:rPr>
          <w:rFonts w:ascii="Arial" w:hAnsi="Arial" w:cs="Arial"/>
          <w:sz w:val="20"/>
          <w:szCs w:val="20"/>
        </w:rPr>
        <w:t xml:space="preserve">olume </w:t>
      </w:r>
      <w:r w:rsidR="00BE058B" w:rsidRPr="003826E6">
        <w:rPr>
          <w:rFonts w:ascii="Arial" w:hAnsi="Arial" w:cs="Arial"/>
          <w:sz w:val="20"/>
          <w:szCs w:val="20"/>
        </w:rPr>
        <w:t>I</w:t>
      </w:r>
      <w:r w:rsidRPr="003826E6">
        <w:rPr>
          <w:rFonts w:ascii="Arial" w:hAnsi="Arial" w:cs="Arial"/>
          <w:sz w:val="20"/>
          <w:szCs w:val="20"/>
        </w:rPr>
        <w:t xml:space="preserve">ndex </w:t>
      </w:r>
      <w:r w:rsidRPr="003826E6">
        <w:rPr>
          <w:rFonts w:ascii="Arial" w:hAnsi="Arial" w:cs="Arial"/>
          <w:sz w:val="20"/>
          <w:szCs w:val="20"/>
          <w:lang w:val="en-GB"/>
        </w:rPr>
        <w:t>an in</w:t>
      </w:r>
      <w:r w:rsidRPr="003826E6">
        <w:rPr>
          <w:rFonts w:ascii="Arial" w:hAnsi="Arial" w:cs="Arial"/>
          <w:sz w:val="20"/>
          <w:szCs w:val="20"/>
        </w:rPr>
        <w:t xml:space="preserve">crease of </w:t>
      </w:r>
      <w:r w:rsidR="003826E6" w:rsidRPr="003826E6">
        <w:rPr>
          <w:rFonts w:ascii="Arial" w:hAnsi="Arial" w:cs="Arial"/>
          <w:sz w:val="20"/>
          <w:szCs w:val="20"/>
        </w:rPr>
        <w:t>4</w:t>
      </w:r>
      <w:r w:rsidRPr="003826E6">
        <w:rPr>
          <w:rFonts w:ascii="Arial" w:hAnsi="Arial" w:cs="Arial"/>
          <w:sz w:val="20"/>
          <w:szCs w:val="20"/>
        </w:rPr>
        <w:t>,</w:t>
      </w:r>
      <w:r w:rsidR="003826E6" w:rsidRPr="003826E6">
        <w:rPr>
          <w:rFonts w:ascii="Arial" w:hAnsi="Arial" w:cs="Arial"/>
          <w:sz w:val="20"/>
          <w:szCs w:val="20"/>
        </w:rPr>
        <w:t>2</w:t>
      </w:r>
      <w:r w:rsidRPr="003826E6">
        <w:rPr>
          <w:rFonts w:ascii="Arial" w:hAnsi="Arial" w:cs="Arial"/>
          <w:sz w:val="20"/>
          <w:szCs w:val="20"/>
        </w:rPr>
        <w:t>% compared to the same period of 202</w:t>
      </w:r>
      <w:r w:rsidR="009265A7" w:rsidRPr="003826E6">
        <w:rPr>
          <w:rFonts w:ascii="Arial" w:hAnsi="Arial" w:cs="Arial"/>
          <w:sz w:val="20"/>
          <w:szCs w:val="20"/>
        </w:rPr>
        <w:t>3</w:t>
      </w:r>
      <w:r w:rsidRPr="003826E6">
        <w:rPr>
          <w:rFonts w:ascii="Arial" w:hAnsi="Arial" w:cs="Arial"/>
          <w:sz w:val="20"/>
          <w:szCs w:val="20"/>
        </w:rPr>
        <w:t>.</w:t>
      </w:r>
    </w:p>
    <w:p w14:paraId="5EDAD59F" w14:textId="77777777" w:rsidR="008C6CFC" w:rsidRPr="003826E6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DFD52B1" w14:textId="77777777" w:rsidR="008C6CFC" w:rsidRPr="006100E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388A3CE8" w:rsidR="008C6CFC" w:rsidRDefault="003826E6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4CFF1D08" wp14:editId="4A4AF448">
            <wp:extent cx="6059805" cy="4425950"/>
            <wp:effectExtent l="0" t="0" r="0" b="0"/>
            <wp:docPr id="6095255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77777777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3755"/>
        <w:gridCol w:w="1525"/>
        <w:gridCol w:w="237"/>
        <w:gridCol w:w="1385"/>
        <w:gridCol w:w="1621"/>
      </w:tblGrid>
      <w:tr w:rsidR="00F63849" w:rsidRPr="000915C7" w14:paraId="21E376F4" w14:textId="77777777" w:rsidTr="002B0889">
        <w:trPr>
          <w:trHeight w:val="284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B157984" w14:textId="04F6D714" w:rsidR="00F63849" w:rsidRPr="000915C7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Verdana" w:eastAsia="Malgun Gothic" w:hAnsi="Verdana" w:cs="Arial"/>
                <w:bCs/>
                <w:sz w:val="18"/>
                <w:szCs w:val="18"/>
              </w:rPr>
              <w:br w:type="page"/>
            </w:r>
            <w:r w:rsidRPr="000915C7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  <w:t xml:space="preserve">Table </w:t>
            </w:r>
            <w:r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  <w:t>1</w:t>
            </w:r>
          </w:p>
        </w:tc>
      </w:tr>
      <w:tr w:rsidR="00F63849" w:rsidRPr="000915C7" w14:paraId="20831354" w14:textId="77777777" w:rsidTr="00F63849">
        <w:trPr>
          <w:trHeight w:val="680"/>
          <w:jc w:val="center"/>
        </w:trPr>
        <w:tc>
          <w:tcPr>
            <w:tcW w:w="1825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E5720C5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Code</w:t>
            </w:r>
          </w:p>
          <w:p w14:paraId="5F90ECE6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NACE 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 2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)</w:t>
            </w:r>
          </w:p>
        </w:tc>
        <w:tc>
          <w:tcPr>
            <w:tcW w:w="3755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5DD0A65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V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a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lue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Index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(20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21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7" w:type="dxa"/>
            <w:vMerge w:val="restart"/>
            <w:tcBorders>
              <w:top w:val="single" w:sz="4" w:space="0" w:color="365F91"/>
              <w:left w:val="nil"/>
              <w:right w:val="nil"/>
            </w:tcBorders>
            <w:shd w:val="clear" w:color="auto" w:fill="auto"/>
            <w:vAlign w:val="center"/>
          </w:tcPr>
          <w:p w14:paraId="2FA2168D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sz w:val="18"/>
                <w:szCs w:val="18"/>
                <w:lang w:val="el-GR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847DE76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Percentage Change</w:t>
            </w:r>
          </w:p>
          <w:p w14:paraId="782E3A64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(%)</w:t>
            </w:r>
          </w:p>
        </w:tc>
      </w:tr>
      <w:tr w:rsidR="00F63849" w:rsidRPr="000915C7" w14:paraId="5C4AC7F0" w14:textId="77777777" w:rsidTr="00F63849">
        <w:trPr>
          <w:trHeight w:val="624"/>
          <w:jc w:val="center"/>
        </w:trPr>
        <w:tc>
          <w:tcPr>
            <w:tcW w:w="182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F8940E0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75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F8AB688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7893B1F" w14:textId="23B1C2EC" w:rsidR="00F63849" w:rsidRDefault="00683BF5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May</w:t>
            </w:r>
            <w:r w:rsidR="00F6384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</w:p>
          <w:p w14:paraId="66AE0B8C" w14:textId="77777777" w:rsidR="00F63849" w:rsidRPr="00BA7C26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237" w:type="dxa"/>
            <w:vMerge/>
            <w:tcBorders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DFDDA4B" w14:textId="77777777" w:rsidR="00F63849" w:rsidRPr="000915C7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EAC4051" w14:textId="404216CD" w:rsidR="00F63849" w:rsidRPr="00BA7C26" w:rsidRDefault="00683BF5" w:rsidP="002B0889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May</w:t>
            </w:r>
            <w:r w:rsidR="00F63849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 xml:space="preserve"> </w:t>
            </w:r>
            <w:r w:rsidR="00F63849"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202</w:t>
            </w:r>
            <w:r w:rsidR="00F63849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4</w:t>
            </w:r>
            <w:r w:rsidR="00F63849"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/202</w:t>
            </w:r>
            <w:r w:rsidR="00F63849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12C51CC" w14:textId="2BF10E8B" w:rsidR="00F63849" w:rsidRPr="00BA7C26" w:rsidRDefault="00F63849" w:rsidP="002B0889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Jan-</w:t>
            </w:r>
            <w:r w:rsidR="00683BF5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May</w:t>
            </w: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 xml:space="preserve"> </w:t>
            </w:r>
            <w:r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4</w:t>
            </w:r>
            <w:r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3</w:t>
            </w:r>
          </w:p>
        </w:tc>
      </w:tr>
      <w:tr w:rsidR="009355B9" w:rsidRPr="000915C7" w14:paraId="5AA0A0CB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314F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657C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Food, beverages or tobacco in non-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specialised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stores (supermarkets)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F3251" w14:textId="54CB302D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127,4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A3953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5EE35" w14:textId="1203FF93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5,8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44EA" w14:textId="3E7059FB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6,2</w:t>
            </w:r>
          </w:p>
        </w:tc>
      </w:tr>
      <w:tr w:rsidR="009355B9" w:rsidRPr="000915C7" w14:paraId="2739BC36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57924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3B6A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Food, beverages and tobacco in 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specialised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stores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031D" w14:textId="7738D922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132,7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52C75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2B78" w14:textId="5AEEDD38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10,3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5F73" w14:textId="18A98E87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7,9</w:t>
            </w:r>
          </w:p>
        </w:tc>
      </w:tr>
      <w:tr w:rsidR="009355B9" w:rsidRPr="000915C7" w14:paraId="3E437DE3" w14:textId="77777777" w:rsidTr="00F63849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19CA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840BC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Automotive fuel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84AEE" w14:textId="3BCD9B13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124,8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F761C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2EE5C" w14:textId="59C2ED0F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6,3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EFF42" w14:textId="260D4B64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3,6</w:t>
            </w:r>
          </w:p>
        </w:tc>
      </w:tr>
      <w:tr w:rsidR="009355B9" w:rsidRPr="000915C7" w14:paraId="63FAC412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1517F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03B6B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Information and communication equipment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4603F" w14:textId="6712073A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103,2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D2BC6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5316F" w14:textId="39AC3C59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-4,0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63563" w14:textId="1F93FAF9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-3,8</w:t>
            </w:r>
          </w:p>
        </w:tc>
      </w:tr>
      <w:tr w:rsidR="009355B9" w:rsidRPr="000915C7" w14:paraId="57473D36" w14:textId="77777777" w:rsidTr="00F63849">
        <w:trPr>
          <w:trHeight w:val="1077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0CDB8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C3E4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Other household equipment </w:t>
            </w:r>
            <w:r w:rsidRPr="001B7749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(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construction materials, carpets, furniture, electrical appliances</w:t>
            </w:r>
            <w:r w:rsidRPr="00CC5B9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lighting)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7D692" w14:textId="0B0FF7BB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117,5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F8997" w14:textId="77777777" w:rsidR="009355B9" w:rsidRPr="002B0328" w:rsidRDefault="009355B9" w:rsidP="009355B9">
            <w:pPr>
              <w:spacing w:line="72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E2492" w14:textId="7E9F692B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-2,8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DD028" w14:textId="44928537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1,9</w:t>
            </w:r>
          </w:p>
        </w:tc>
      </w:tr>
      <w:tr w:rsidR="009355B9" w:rsidRPr="000915C7" w14:paraId="0F3BFA7F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20AC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6171" w14:textId="77777777" w:rsidR="009355B9" w:rsidRPr="005B20EF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508A9" w14:textId="440D6CB7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99,1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A28B7" w14:textId="77777777" w:rsidR="009355B9" w:rsidRPr="005B20EF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8CED8" w14:textId="52108B3C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-0,5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4108E" w14:textId="5FBA6612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6,3</w:t>
            </w:r>
          </w:p>
        </w:tc>
      </w:tr>
      <w:tr w:rsidR="009355B9" w:rsidRPr="000915C7" w14:paraId="4290AA52" w14:textId="77777777" w:rsidTr="00F63849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584A0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DA139" w14:textId="77777777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Clothing and footwear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344" w14:textId="0CEAA240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136,1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0F68" w14:textId="77777777" w:rsidR="009355B9" w:rsidRPr="002B0328" w:rsidRDefault="009355B9" w:rsidP="009355B9">
            <w:pPr>
              <w:spacing w:line="36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50276" w14:textId="205F1F55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6878" w14:textId="7C41CE8D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4,5</w:t>
            </w:r>
          </w:p>
        </w:tc>
      </w:tr>
      <w:tr w:rsidR="009355B9" w:rsidRPr="000915C7" w14:paraId="5AD4D475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2E6C1" w14:textId="77777777" w:rsidR="009355B9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1E9A5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D32C9" w14:textId="039DECCA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122,3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22CAE" w14:textId="77777777" w:rsidR="009355B9" w:rsidRPr="006E42F6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8B2A8" w14:textId="5C91B4B5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11,1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8749" w14:textId="5CCE6DDA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9,2</w:t>
            </w:r>
          </w:p>
        </w:tc>
      </w:tr>
      <w:tr w:rsidR="009355B9" w:rsidRPr="000915C7" w14:paraId="4E8BCDB6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7DA6" w14:textId="77777777" w:rsidR="009355B9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583F6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Flowers, plants, watches, 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jewellery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, optical goods and second-hand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46A62" w14:textId="765925D3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178,1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1E84D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9C60" w14:textId="550D037E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7,2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F6E0" w14:textId="6F4BCBB7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12,0</w:t>
            </w:r>
          </w:p>
        </w:tc>
      </w:tr>
      <w:tr w:rsidR="009355B9" w:rsidRPr="000915C7" w14:paraId="70B1EF1E" w14:textId="77777777" w:rsidTr="00F63849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45F8CE4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40ACF57F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Retail sale not in stores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4652EDD7" w14:textId="49D32E9B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84,9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767B2FBD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EE34F4E" w14:textId="45AFC55A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-19,5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21666809" w14:textId="0332EDC2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-11,5</w:t>
            </w:r>
          </w:p>
        </w:tc>
      </w:tr>
      <w:tr w:rsidR="009355B9" w:rsidRPr="000915C7" w14:paraId="3CA8B430" w14:textId="77777777" w:rsidTr="00F63849">
        <w:trPr>
          <w:trHeight w:val="624"/>
          <w:jc w:val="center"/>
        </w:trPr>
        <w:tc>
          <w:tcPr>
            <w:tcW w:w="182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F4788" w14:textId="77777777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47 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</w:rPr>
              <w:t>except</w:t>
            </w: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75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83381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Retail trade except of automotive fuel</w:t>
            </w:r>
          </w:p>
        </w:tc>
        <w:tc>
          <w:tcPr>
            <w:tcW w:w="152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CA285" w14:textId="53D7D9B5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127,2</w:t>
            </w:r>
          </w:p>
        </w:tc>
        <w:tc>
          <w:tcPr>
            <w:tcW w:w="237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3AD2C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3731" w14:textId="1AC7D15F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4,3</w:t>
            </w:r>
          </w:p>
        </w:tc>
        <w:tc>
          <w:tcPr>
            <w:tcW w:w="1621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D3435" w14:textId="7EB7E11B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5,5</w:t>
            </w:r>
          </w:p>
        </w:tc>
      </w:tr>
      <w:tr w:rsidR="009355B9" w:rsidRPr="000915C7" w14:paraId="35FEA0E3" w14:textId="77777777" w:rsidTr="00F63849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57499" w14:textId="77777777" w:rsidR="009355B9" w:rsidRPr="004F620D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  <w:r w:rsidRPr="00BC0637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DF48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073F3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Edible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0B4DC" w14:textId="6F43C077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128,7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71E61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73DD" w14:textId="153B9895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6,4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AAC3D" w14:textId="2A594FA4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6,6</w:t>
            </w:r>
          </w:p>
        </w:tc>
      </w:tr>
      <w:tr w:rsidR="009355B9" w:rsidRPr="000915C7" w14:paraId="726742F4" w14:textId="77777777" w:rsidTr="00F63849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F00B5" w14:textId="77777777" w:rsidR="009355B9" w:rsidRPr="004F620D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47.19+47.4 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</w:rPr>
              <w:t>to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AC3DF" w14:textId="77777777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Non e</w:t>
            </w:r>
            <w:r w:rsidRPr="00073F3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dible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0A9E" w14:textId="3F51134E" w:rsidR="009355B9" w:rsidRPr="001B701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125,6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99D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3A2F" w14:textId="245E712D" w:rsidR="009355B9" w:rsidRPr="001B701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1,9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B0839" w14:textId="56289D05" w:rsidR="009355B9" w:rsidRPr="001B701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4,2</w:t>
            </w:r>
          </w:p>
        </w:tc>
      </w:tr>
      <w:tr w:rsidR="009355B9" w:rsidRPr="000915C7" w14:paraId="5E9F8FEA" w14:textId="77777777" w:rsidTr="00F63849">
        <w:trPr>
          <w:trHeight w:val="113"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E807915" w14:textId="77777777" w:rsidR="009355B9" w:rsidRPr="000915C7" w:rsidRDefault="009355B9" w:rsidP="009355B9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1B210F1" w14:textId="77777777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740C032" w14:textId="77777777" w:rsidR="009355B9" w:rsidRPr="002B0328" w:rsidRDefault="009355B9" w:rsidP="009355B9">
            <w:pPr>
              <w:ind w:right="284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A1A256B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81A38E2" w14:textId="77777777" w:rsidR="009355B9" w:rsidRPr="002B0328" w:rsidRDefault="009355B9" w:rsidP="009355B9">
            <w:pPr>
              <w:ind w:right="397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1052D17" w14:textId="77777777" w:rsidR="009355B9" w:rsidRPr="002B0328" w:rsidRDefault="009355B9" w:rsidP="009355B9">
            <w:pPr>
              <w:ind w:right="510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</w:tr>
      <w:tr w:rsidR="009355B9" w:rsidRPr="000915C7" w14:paraId="369F5259" w14:textId="77777777" w:rsidTr="00F63849">
        <w:trPr>
          <w:trHeight w:val="851"/>
          <w:jc w:val="center"/>
        </w:trPr>
        <w:tc>
          <w:tcPr>
            <w:tcW w:w="18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A60E591" w14:textId="77777777" w:rsidR="009355B9" w:rsidRPr="000915C7" w:rsidRDefault="009355B9" w:rsidP="009355B9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0915C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47</w:t>
            </w:r>
          </w:p>
        </w:tc>
        <w:tc>
          <w:tcPr>
            <w:tcW w:w="375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253B22E" w14:textId="77777777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0915C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RETAIL TRADE, EXCEPT OF MOTOR VEHICLES</w:t>
            </w: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FE78BFE" w14:textId="6F1CA234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127,0</w:t>
            </w:r>
          </w:p>
        </w:tc>
        <w:tc>
          <w:tcPr>
            <w:tcW w:w="2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0F25DB9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D0262DD" w14:textId="3887997B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4,5</w:t>
            </w:r>
          </w:p>
        </w:tc>
        <w:tc>
          <w:tcPr>
            <w:tcW w:w="16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F979E43" w14:textId="4517CF70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5,3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3755"/>
        <w:gridCol w:w="1525"/>
        <w:gridCol w:w="237"/>
        <w:gridCol w:w="1385"/>
        <w:gridCol w:w="1621"/>
      </w:tblGrid>
      <w:tr w:rsidR="008C6CFC" w:rsidRPr="000915C7" w14:paraId="71B02A48" w14:textId="77777777" w:rsidTr="00081794">
        <w:trPr>
          <w:trHeight w:val="284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575C269" w14:textId="77777777" w:rsidR="008C6CFC" w:rsidRPr="000915C7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Verdana" w:eastAsia="Malgun Gothic" w:hAnsi="Verdana" w:cs="Arial"/>
                <w:bCs/>
                <w:sz w:val="18"/>
                <w:szCs w:val="18"/>
              </w:rPr>
              <w:br w:type="page"/>
            </w:r>
            <w:r w:rsidRPr="000915C7">
              <w:rPr>
                <w:rFonts w:ascii="Verdana" w:eastAsia="Malgun Gothic" w:hAnsi="Verdana" w:cs="Arial"/>
                <w:b/>
                <w:bCs/>
                <w:color w:val="365F91"/>
                <w:sz w:val="18"/>
                <w:szCs w:val="18"/>
              </w:rPr>
              <w:t>Table 2</w:t>
            </w:r>
          </w:p>
        </w:tc>
      </w:tr>
      <w:tr w:rsidR="008C6CFC" w:rsidRPr="000915C7" w14:paraId="70514519" w14:textId="77777777" w:rsidTr="00DF7116">
        <w:trPr>
          <w:trHeight w:val="680"/>
          <w:jc w:val="center"/>
        </w:trPr>
        <w:tc>
          <w:tcPr>
            <w:tcW w:w="1825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E52FAD4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Code</w:t>
            </w:r>
          </w:p>
          <w:p w14:paraId="206D556F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NACE 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 2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)</w:t>
            </w:r>
          </w:p>
        </w:tc>
        <w:tc>
          <w:tcPr>
            <w:tcW w:w="3755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D734291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Volume</w:t>
            </w:r>
            <w:r w:rsidR="000429B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Index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(20</w:t>
            </w:r>
            <w:r w:rsidR="00BA7C2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21</w:t>
            </w: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7" w:type="dxa"/>
            <w:vMerge w:val="restart"/>
            <w:tcBorders>
              <w:top w:val="single" w:sz="4" w:space="0" w:color="365F91"/>
              <w:left w:val="nil"/>
              <w:right w:val="nil"/>
            </w:tcBorders>
            <w:shd w:val="clear" w:color="auto" w:fill="auto"/>
            <w:vAlign w:val="center"/>
          </w:tcPr>
          <w:p w14:paraId="09E1DDAB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sz w:val="18"/>
                <w:szCs w:val="18"/>
                <w:lang w:val="el-GR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901A570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Percentage Change</w:t>
            </w:r>
          </w:p>
          <w:p w14:paraId="0F349BFF" w14:textId="77777777" w:rsidR="008C6CFC" w:rsidRPr="000915C7" w:rsidRDefault="008C6CFC" w:rsidP="003B5E46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(%)</w:t>
            </w:r>
          </w:p>
        </w:tc>
      </w:tr>
      <w:tr w:rsidR="00A007B6" w:rsidRPr="000915C7" w14:paraId="09D154D9" w14:textId="77777777" w:rsidTr="00DF7116">
        <w:trPr>
          <w:trHeight w:val="624"/>
          <w:jc w:val="center"/>
        </w:trPr>
        <w:tc>
          <w:tcPr>
            <w:tcW w:w="182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78D4CA83" w14:textId="77777777" w:rsidR="00A007B6" w:rsidRPr="000915C7" w:rsidRDefault="00A007B6" w:rsidP="00A007B6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755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669FC4D" w14:textId="77777777" w:rsidR="00A007B6" w:rsidRPr="000915C7" w:rsidRDefault="00A007B6" w:rsidP="00A007B6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2256041" w14:textId="4FCAC594" w:rsidR="00E368E4" w:rsidRDefault="00683BF5" w:rsidP="00A007B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May</w:t>
            </w:r>
            <w:r w:rsidR="00E368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</w:p>
          <w:p w14:paraId="7B00E16C" w14:textId="3990DCDA" w:rsidR="00A007B6" w:rsidRPr="00BA7C26" w:rsidRDefault="00A007B6" w:rsidP="00A007B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0915C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202</w:t>
            </w:r>
            <w:r w:rsidR="00BA7C2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</w:tc>
        <w:tc>
          <w:tcPr>
            <w:tcW w:w="237" w:type="dxa"/>
            <w:vMerge/>
            <w:tcBorders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BD4E910" w14:textId="77777777" w:rsidR="00A007B6" w:rsidRPr="000915C7" w:rsidRDefault="00A007B6" w:rsidP="00A007B6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38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7C6038C" w14:textId="6A2B665A" w:rsidR="00A007B6" w:rsidRPr="00BA7C26" w:rsidRDefault="00683BF5" w:rsidP="00E368E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May</w:t>
            </w:r>
            <w:r w:rsidR="00350963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 xml:space="preserve"> </w:t>
            </w:r>
            <w:r w:rsidR="00350963"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202</w:t>
            </w:r>
            <w:r w:rsidR="00BA7C26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4</w:t>
            </w:r>
            <w:r w:rsidR="00350963"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/202</w:t>
            </w:r>
            <w:r w:rsidR="00BA7C26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4E394D3" w14:textId="1221A2E8" w:rsidR="00A007B6" w:rsidRPr="00BA7C26" w:rsidRDefault="00A007B6" w:rsidP="00E368E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Jan-</w:t>
            </w:r>
            <w:r w:rsidR="00683BF5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May</w:t>
            </w:r>
            <w:r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 xml:space="preserve"> </w:t>
            </w:r>
            <w:r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202</w:t>
            </w:r>
            <w:r w:rsidR="00BA7C26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4</w:t>
            </w:r>
            <w:r w:rsidRPr="00026E31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  <w:lang w:val="el-GR"/>
              </w:rPr>
              <w:t>/202</w:t>
            </w:r>
            <w:r w:rsidR="00BA7C26">
              <w:rPr>
                <w:rFonts w:ascii="Verdana" w:eastAsia="Malgun Gothic" w:hAnsi="Verdana" w:cs="Arial"/>
                <w:b/>
                <w:color w:val="2F5496"/>
                <w:sz w:val="18"/>
                <w:szCs w:val="18"/>
              </w:rPr>
              <w:t>3</w:t>
            </w:r>
          </w:p>
        </w:tc>
      </w:tr>
      <w:tr w:rsidR="009355B9" w:rsidRPr="000915C7" w14:paraId="71AB8DBF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0B56A" w14:textId="1469BB21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C8046" w14:textId="382BCE1C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Food, beverages or tobacco in non-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specialised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stores (supermarkets)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1ABF5" w14:textId="2AE92077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109,4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ECE7D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46E40" w14:textId="4C8F3AFD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42C0" w14:textId="2DD6D9DF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4,5</w:t>
            </w:r>
          </w:p>
        </w:tc>
      </w:tr>
      <w:tr w:rsidR="009355B9" w:rsidRPr="000915C7" w14:paraId="483CA5F1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DBF6" w14:textId="373CA579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844B5" w14:textId="69F283E5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Food, beverages and tobacco in 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specialised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stores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0B383" w14:textId="26711150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110,8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387AD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8BE95" w14:textId="5AB1E09C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8,7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1F96" w14:textId="7502A380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5,7</w:t>
            </w:r>
          </w:p>
        </w:tc>
      </w:tr>
      <w:tr w:rsidR="009355B9" w:rsidRPr="000915C7" w14:paraId="6E0C8A62" w14:textId="77777777" w:rsidTr="00DF7116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F055" w14:textId="2CA4ED8C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EC84A" w14:textId="1CC07069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Automotive fuel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6AFCD" w14:textId="014755BF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99,5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1B0D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17173" w14:textId="28B137C3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-4,3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3DAB" w14:textId="31B4F03C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1,9</w:t>
            </w:r>
          </w:p>
        </w:tc>
      </w:tr>
      <w:tr w:rsidR="009355B9" w:rsidRPr="000915C7" w14:paraId="702817EB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B375" w14:textId="4E39DE7D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7209" w14:textId="1DA52218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Information and communication equipment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D97B6" w14:textId="0570FC37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110,9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21627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8CBE1" w14:textId="5A886D9C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0,1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25E4A" w14:textId="3EE1CE87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0,4</w:t>
            </w:r>
          </w:p>
        </w:tc>
      </w:tr>
      <w:tr w:rsidR="009355B9" w:rsidRPr="000915C7" w14:paraId="20638076" w14:textId="77777777" w:rsidTr="00DF7116">
        <w:trPr>
          <w:trHeight w:val="1077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A86CF" w14:textId="1D1937F4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9786" w14:textId="6319C42A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Other household equipment </w:t>
            </w:r>
            <w:r w:rsidRPr="001B7749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(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construction materials, carpets, furniture, electrical appliances</w:t>
            </w:r>
            <w:r w:rsidRPr="00CC5B9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lighting)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F832" w14:textId="77BCF2E5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104,8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D9492" w14:textId="77777777" w:rsidR="009355B9" w:rsidRPr="002B0328" w:rsidRDefault="009355B9" w:rsidP="009355B9">
            <w:pPr>
              <w:spacing w:line="72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96900" w14:textId="26BF43F0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-1,4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F52D" w14:textId="129E14B3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4,0</w:t>
            </w:r>
          </w:p>
        </w:tc>
      </w:tr>
      <w:tr w:rsidR="009355B9" w:rsidRPr="000915C7" w14:paraId="442CA5CB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402CA" w14:textId="6B845D9C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BC3A4" w14:textId="6E876A1A" w:rsidR="009355B9" w:rsidRPr="005B20EF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56A1" w14:textId="558CC794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90,9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0F1E" w14:textId="77777777" w:rsidR="009355B9" w:rsidRPr="005B20EF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C750" w14:textId="14D16D95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-0,6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4AF6" w14:textId="4165A76C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6,2</w:t>
            </w:r>
          </w:p>
        </w:tc>
      </w:tr>
      <w:tr w:rsidR="009355B9" w:rsidRPr="000915C7" w14:paraId="7D3CAEE5" w14:textId="77777777" w:rsidTr="00DF7116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855FC" w14:textId="50081EEF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6E42F6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ADBD" w14:textId="5BFE6865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Clothing and footwear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11BFA" w14:textId="73D4C035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125,7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B2A60" w14:textId="77777777" w:rsidR="009355B9" w:rsidRPr="002B0328" w:rsidRDefault="009355B9" w:rsidP="009355B9">
            <w:pPr>
              <w:spacing w:line="36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57592" w14:textId="43DEB9A0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53EF" w14:textId="5283F914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3,6</w:t>
            </w:r>
          </w:p>
        </w:tc>
      </w:tr>
      <w:tr w:rsidR="009355B9" w:rsidRPr="000915C7" w14:paraId="7E9C9052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C2CEB" w14:textId="77777777" w:rsidR="009355B9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C03B" w14:textId="49F7DBC2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C8595" w14:textId="2BF758D2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115,3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D5935" w14:textId="77777777" w:rsidR="009355B9" w:rsidRPr="006E42F6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02F1" w14:textId="4B1740FD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9,0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1DCB4" w14:textId="5624F570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7,1</w:t>
            </w:r>
          </w:p>
        </w:tc>
      </w:tr>
      <w:tr w:rsidR="009355B9" w:rsidRPr="000915C7" w14:paraId="5D51E316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B804" w14:textId="77777777" w:rsidR="009355B9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7F0D3" w14:textId="44B67EFD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Flowers, plants, watches, </w:t>
            </w:r>
            <w:proofErr w:type="spellStart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jewellery</w:t>
            </w:r>
            <w:proofErr w:type="spellEnd"/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, optical goods and second-hand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E85DF" w14:textId="62E8A71F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154,1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B732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AC451" w14:textId="12603D83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3,7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3863" w14:textId="112477A0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8,6</w:t>
            </w:r>
          </w:p>
        </w:tc>
      </w:tr>
      <w:tr w:rsidR="009355B9" w:rsidRPr="000915C7" w14:paraId="52E22BA1" w14:textId="77777777" w:rsidTr="00DF7116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52545538" w14:textId="576DB943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0856264E" w14:textId="28327DC3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Retail sale not in stores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C083375" w14:textId="3F0DEEF8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78,5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11AB0764" w14:textId="77777777" w:rsidR="009355B9" w:rsidRPr="002B0328" w:rsidRDefault="009355B9" w:rsidP="009355B9">
            <w:pPr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94752C7" w14:textId="149582A1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-19,9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703F991F" w14:textId="46C1087F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-12,1</w:t>
            </w:r>
          </w:p>
        </w:tc>
      </w:tr>
      <w:tr w:rsidR="009355B9" w:rsidRPr="000915C7" w14:paraId="2DFEB38D" w14:textId="77777777" w:rsidTr="00DF7116">
        <w:trPr>
          <w:trHeight w:val="624"/>
          <w:jc w:val="center"/>
        </w:trPr>
        <w:tc>
          <w:tcPr>
            <w:tcW w:w="182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09295" w14:textId="27691AFB" w:rsidR="009355B9" w:rsidRPr="000915C7" w:rsidRDefault="009355B9" w:rsidP="009355B9">
            <w:pPr>
              <w:ind w:left="170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47 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</w:rPr>
              <w:t>except</w:t>
            </w:r>
            <w:r w:rsidRPr="004F620D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75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448D4" w14:textId="340F711D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Retail trade except of automotive fuel</w:t>
            </w:r>
          </w:p>
        </w:tc>
        <w:tc>
          <w:tcPr>
            <w:tcW w:w="152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AB9AB" w14:textId="766FB7D7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112,4</w:t>
            </w:r>
          </w:p>
        </w:tc>
        <w:tc>
          <w:tcPr>
            <w:tcW w:w="237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1A7FD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9111" w14:textId="36ECACCA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3,4</w:t>
            </w:r>
          </w:p>
        </w:tc>
        <w:tc>
          <w:tcPr>
            <w:tcW w:w="1621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81230" w14:textId="30AD9AA0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4,5</w:t>
            </w:r>
          </w:p>
        </w:tc>
      </w:tr>
      <w:tr w:rsidR="009355B9" w:rsidRPr="000915C7" w14:paraId="02A6633B" w14:textId="77777777" w:rsidTr="00DF7116">
        <w:trPr>
          <w:trHeight w:val="624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410E" w14:textId="23993B54" w:rsidR="009355B9" w:rsidRPr="004F620D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  <w:r w:rsidRPr="00BC0637"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7673" w14:textId="4F73461E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 w:rsidRPr="00073F3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Edible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AF4BE" w14:textId="0F11AC6B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110,1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E422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AE4A" w14:textId="34103281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5,0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20BB" w14:textId="6C6E4A17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4,8</w:t>
            </w:r>
          </w:p>
        </w:tc>
      </w:tr>
      <w:tr w:rsidR="009355B9" w:rsidRPr="000915C7" w14:paraId="0B830BC7" w14:textId="77777777" w:rsidTr="00DF7116">
        <w:trPr>
          <w:trHeight w:val="680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4DA2" w14:textId="47241892" w:rsidR="009355B9" w:rsidRPr="004F620D" w:rsidRDefault="009355B9" w:rsidP="009355B9">
            <w:pPr>
              <w:ind w:left="170"/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47.19+47.4 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</w:rPr>
              <w:t>to</w:t>
            </w:r>
            <w:r>
              <w:rPr>
                <w:rFonts w:ascii="Verdana" w:eastAsia="Times New Roman" w:hAnsi="Verdana" w:cs="Arial"/>
                <w:color w:val="2F5496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819FF" w14:textId="1455CBE9" w:rsidR="009355B9" w:rsidRPr="000915C7" w:rsidRDefault="009355B9" w:rsidP="009355B9">
            <w:pP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Non e</w:t>
            </w:r>
            <w:r w:rsidRPr="00073F36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dible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goods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0376" w14:textId="5E1D3C48" w:rsidR="009355B9" w:rsidRPr="00AC08B7" w:rsidRDefault="009355B9" w:rsidP="009355B9">
            <w:pPr>
              <w:ind w:right="284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114,9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385B6" w14:textId="77777777" w:rsidR="009355B9" w:rsidRPr="002B0328" w:rsidRDefault="009355B9" w:rsidP="009355B9">
            <w:pPr>
              <w:spacing w:line="480" w:lineRule="auto"/>
              <w:jc w:val="right"/>
              <w:rPr>
                <w:rFonts w:ascii="Verdana" w:eastAsia="Times New Roman" w:hAnsi="Verdana" w:cs="Arial"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414D" w14:textId="229E6D9A" w:rsidR="009355B9" w:rsidRPr="00AC08B7" w:rsidRDefault="009355B9" w:rsidP="009355B9">
            <w:pPr>
              <w:ind w:right="397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2F5496"/>
                <w:sz w:val="18"/>
                <w:szCs w:val="18"/>
              </w:rPr>
              <w:t>1,7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F0AEE" w14:textId="32DF5F73" w:rsidR="009355B9" w:rsidRPr="00AC08B7" w:rsidRDefault="009355B9" w:rsidP="009355B9">
            <w:pPr>
              <w:ind w:right="510"/>
              <w:jc w:val="right"/>
              <w:rPr>
                <w:rFonts w:ascii="Verdana" w:hAnsi="Verdana"/>
                <w:color w:val="2F5496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2F5496"/>
                <w:sz w:val="18"/>
                <w:szCs w:val="18"/>
              </w:rPr>
              <w:t>4,1</w:t>
            </w:r>
          </w:p>
        </w:tc>
      </w:tr>
      <w:tr w:rsidR="009355B9" w:rsidRPr="000915C7" w14:paraId="27203A2A" w14:textId="77777777" w:rsidTr="00DF7116">
        <w:trPr>
          <w:trHeight w:val="113"/>
          <w:jc w:val="center"/>
        </w:trPr>
        <w:tc>
          <w:tcPr>
            <w:tcW w:w="18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F3AE238" w14:textId="4A290B09" w:rsidR="009355B9" w:rsidRPr="000915C7" w:rsidRDefault="009355B9" w:rsidP="009355B9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1054873" w14:textId="77777777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32B92FE8" w14:textId="77777777" w:rsidR="009355B9" w:rsidRPr="002B0328" w:rsidRDefault="009355B9" w:rsidP="009355B9">
            <w:pPr>
              <w:ind w:right="284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56F9FBE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64FE1F0" w14:textId="77777777" w:rsidR="009355B9" w:rsidRPr="002B0328" w:rsidRDefault="009355B9" w:rsidP="009355B9">
            <w:pPr>
              <w:ind w:right="397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619B8A94" w14:textId="77777777" w:rsidR="009355B9" w:rsidRPr="002B0328" w:rsidRDefault="009355B9" w:rsidP="009355B9">
            <w:pPr>
              <w:ind w:right="510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</w:p>
        </w:tc>
      </w:tr>
      <w:tr w:rsidR="009355B9" w:rsidRPr="000915C7" w14:paraId="6972B420" w14:textId="77777777" w:rsidTr="00DF7116">
        <w:trPr>
          <w:trHeight w:val="851"/>
          <w:jc w:val="center"/>
        </w:trPr>
        <w:tc>
          <w:tcPr>
            <w:tcW w:w="18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A643467" w14:textId="064FBB10" w:rsidR="009355B9" w:rsidRPr="000915C7" w:rsidRDefault="009355B9" w:rsidP="009355B9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0915C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47</w:t>
            </w:r>
          </w:p>
        </w:tc>
        <w:tc>
          <w:tcPr>
            <w:tcW w:w="375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113B106A" w14:textId="51E4AAB9" w:rsidR="009355B9" w:rsidRPr="000915C7" w:rsidRDefault="009355B9" w:rsidP="009355B9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0915C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RETAIL TRADE, EXCEPT OF MOTOR VEHICLES</w:t>
            </w:r>
          </w:p>
        </w:tc>
        <w:tc>
          <w:tcPr>
            <w:tcW w:w="152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21F16071" w14:textId="3E5D8296" w:rsidR="009355B9" w:rsidRPr="009B389A" w:rsidRDefault="009355B9" w:rsidP="009355B9">
            <w:pPr>
              <w:ind w:right="284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111,0</w:t>
            </w:r>
          </w:p>
        </w:tc>
        <w:tc>
          <w:tcPr>
            <w:tcW w:w="2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440D8FCA" w14:textId="77777777" w:rsidR="009355B9" w:rsidRPr="002B0328" w:rsidRDefault="009355B9" w:rsidP="009355B9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57520FD3" w14:textId="24679D18" w:rsidR="009355B9" w:rsidRPr="009B389A" w:rsidRDefault="009355B9" w:rsidP="009355B9">
            <w:pPr>
              <w:ind w:right="397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2,6</w:t>
            </w:r>
          </w:p>
        </w:tc>
        <w:tc>
          <w:tcPr>
            <w:tcW w:w="162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shd w:val="clear" w:color="auto" w:fill="auto"/>
            <w:vAlign w:val="center"/>
          </w:tcPr>
          <w:p w14:paraId="0235EA85" w14:textId="36026B13" w:rsidR="009355B9" w:rsidRPr="009B389A" w:rsidRDefault="009355B9" w:rsidP="009355B9">
            <w:pPr>
              <w:ind w:right="510"/>
              <w:jc w:val="right"/>
              <w:rPr>
                <w:rFonts w:ascii="Verdana" w:hAnsi="Verdana"/>
                <w:b/>
                <w:color w:val="2F5496"/>
                <w:sz w:val="18"/>
                <w:szCs w:val="18"/>
              </w:rPr>
            </w:pPr>
            <w:r>
              <w:rPr>
                <w:rFonts w:ascii="Verdana" w:hAnsi="Verdana"/>
                <w:b/>
                <w:color w:val="2F5496"/>
                <w:sz w:val="18"/>
                <w:szCs w:val="18"/>
              </w:rPr>
              <w:t>4,2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4FA759DB" w14:textId="77777777" w:rsidR="008C6CFC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A89F7B8" w14:textId="77777777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8C6CFC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8C6CFC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ighted average of the Turnover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proofErr w:type="spellEnd"/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8C6CFC">
      <w:pPr>
        <w:ind w:right="-79"/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6F906852" w14:textId="77777777" w:rsidR="00B34CFC" w:rsidRDefault="00000000" w:rsidP="00B34CFC">
      <w:pPr>
        <w:rPr>
          <w:rStyle w:val="Hyperlink"/>
          <w:rFonts w:ascii="Verdana" w:hAnsi="Verdana"/>
          <w:sz w:val="18"/>
          <w:szCs w:val="18"/>
        </w:rPr>
      </w:pPr>
      <w:hyperlink r:id="rId10" w:history="1">
        <w:r w:rsidR="00B34CFC">
          <w:rPr>
            <w:rStyle w:val="Hyperlink"/>
            <w:rFonts w:ascii="Verdana" w:hAnsi="Verdana"/>
            <w:sz w:val="18"/>
            <w:szCs w:val="18"/>
            <w:lang w:val="en-GB"/>
          </w:rPr>
          <w:t>Information on Change of Base Year</w:t>
        </w:r>
      </w:hyperlink>
    </w:p>
    <w:p w14:paraId="52E520EE" w14:textId="77777777" w:rsidR="00A94906" w:rsidRDefault="00000000" w:rsidP="00A94906">
      <w:pPr>
        <w:rPr>
          <w:color w:val="000000"/>
        </w:rPr>
      </w:pPr>
      <w:hyperlink r:id="rId11" w:history="1">
        <w:r w:rsidR="00A94906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A94906"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3B2D1A09" w14:textId="77777777" w:rsidR="00A94906" w:rsidRDefault="00000000" w:rsidP="00A94906">
      <w:pPr>
        <w:jc w:val="both"/>
        <w:rPr>
          <w:color w:val="000000"/>
        </w:rPr>
      </w:pPr>
      <w:hyperlink r:id="rId12" w:history="1">
        <w:r w:rsidR="00A94906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A94906"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proofErr w:type="spellStart"/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proofErr w:type="spellEnd"/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proofErr w:type="spellStart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</w:t>
      </w:r>
      <w:proofErr w:type="spellEnd"/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B7F8" w14:textId="77777777" w:rsidR="00CE0B31" w:rsidRDefault="00CE0B31" w:rsidP="00FB398F">
      <w:r>
        <w:separator/>
      </w:r>
    </w:p>
  </w:endnote>
  <w:endnote w:type="continuationSeparator" w:id="0">
    <w:p w14:paraId="34CC0F3D" w14:textId="77777777" w:rsidR="00CE0B31" w:rsidRDefault="00CE0B3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A94906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CE26" w14:textId="299A87F5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Str., 1444 Nicosia, Cyprus</w:t>
    </w:r>
  </w:p>
  <w:p w14:paraId="5BFB5428" w14:textId="111B6790" w:rsidR="0060256A" w:rsidRPr="009B3F2E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9B3F2E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9B3F2E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9AA55" w14:textId="77777777" w:rsidR="00CE0B31" w:rsidRDefault="00CE0B31" w:rsidP="00FB398F">
      <w:r>
        <w:separator/>
      </w:r>
    </w:p>
  </w:footnote>
  <w:footnote w:type="continuationSeparator" w:id="0">
    <w:p w14:paraId="5691E14B" w14:textId="77777777" w:rsidR="00CE0B31" w:rsidRDefault="00CE0B3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800810">
    <w:abstractNumId w:val="4"/>
  </w:num>
  <w:num w:numId="2" w16cid:durableId="1508787671">
    <w:abstractNumId w:val="1"/>
  </w:num>
  <w:num w:numId="3" w16cid:durableId="1812168652">
    <w:abstractNumId w:val="2"/>
  </w:num>
  <w:num w:numId="4" w16cid:durableId="59594878">
    <w:abstractNumId w:val="3"/>
  </w:num>
  <w:num w:numId="5" w16cid:durableId="1931353659">
    <w:abstractNumId w:val="0"/>
  </w:num>
  <w:num w:numId="6" w16cid:durableId="983924455">
    <w:abstractNumId w:val="5"/>
  </w:num>
  <w:num w:numId="7" w16cid:durableId="604074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5A39"/>
    <w:rsid w:val="00027853"/>
    <w:rsid w:val="00030E18"/>
    <w:rsid w:val="00031D32"/>
    <w:rsid w:val="00032767"/>
    <w:rsid w:val="0003603D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A02"/>
    <w:rsid w:val="00084BF7"/>
    <w:rsid w:val="00086C2E"/>
    <w:rsid w:val="000870E9"/>
    <w:rsid w:val="000932CF"/>
    <w:rsid w:val="00095219"/>
    <w:rsid w:val="00095BB8"/>
    <w:rsid w:val="00096ED8"/>
    <w:rsid w:val="000A1A88"/>
    <w:rsid w:val="000A2B5C"/>
    <w:rsid w:val="000A3601"/>
    <w:rsid w:val="000A6FA8"/>
    <w:rsid w:val="000B04BC"/>
    <w:rsid w:val="000B12F1"/>
    <w:rsid w:val="000B6F3B"/>
    <w:rsid w:val="000C170E"/>
    <w:rsid w:val="000C4E72"/>
    <w:rsid w:val="000D0FF0"/>
    <w:rsid w:val="000D1E7A"/>
    <w:rsid w:val="000D71A4"/>
    <w:rsid w:val="000E06CF"/>
    <w:rsid w:val="000E24B1"/>
    <w:rsid w:val="000E2735"/>
    <w:rsid w:val="000E311B"/>
    <w:rsid w:val="000E32D6"/>
    <w:rsid w:val="000E4F1E"/>
    <w:rsid w:val="000E57F2"/>
    <w:rsid w:val="000E72A7"/>
    <w:rsid w:val="000F04E6"/>
    <w:rsid w:val="000F1162"/>
    <w:rsid w:val="000F3467"/>
    <w:rsid w:val="000F38DE"/>
    <w:rsid w:val="000F5D6C"/>
    <w:rsid w:val="001044F3"/>
    <w:rsid w:val="00106852"/>
    <w:rsid w:val="00110F9D"/>
    <w:rsid w:val="00114A67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4276"/>
    <w:rsid w:val="0016589F"/>
    <w:rsid w:val="00166FC4"/>
    <w:rsid w:val="00176558"/>
    <w:rsid w:val="0017756A"/>
    <w:rsid w:val="0017769A"/>
    <w:rsid w:val="0018341B"/>
    <w:rsid w:val="00183DFC"/>
    <w:rsid w:val="00184384"/>
    <w:rsid w:val="00186717"/>
    <w:rsid w:val="00187FFC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5B64"/>
    <w:rsid w:val="001C61EC"/>
    <w:rsid w:val="001C62B3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B75"/>
    <w:rsid w:val="001F0DC6"/>
    <w:rsid w:val="001F7398"/>
    <w:rsid w:val="0020309E"/>
    <w:rsid w:val="00205BA0"/>
    <w:rsid w:val="00210B58"/>
    <w:rsid w:val="00211813"/>
    <w:rsid w:val="00211DFF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8338F"/>
    <w:rsid w:val="00285C24"/>
    <w:rsid w:val="00290AFD"/>
    <w:rsid w:val="002915C4"/>
    <w:rsid w:val="00297669"/>
    <w:rsid w:val="002A1D1C"/>
    <w:rsid w:val="002A4D64"/>
    <w:rsid w:val="002B0328"/>
    <w:rsid w:val="002B5753"/>
    <w:rsid w:val="002B6554"/>
    <w:rsid w:val="002C320E"/>
    <w:rsid w:val="002C36F6"/>
    <w:rsid w:val="002C7272"/>
    <w:rsid w:val="002D05F0"/>
    <w:rsid w:val="002D30D9"/>
    <w:rsid w:val="002D7D4A"/>
    <w:rsid w:val="002E0E3E"/>
    <w:rsid w:val="002E1906"/>
    <w:rsid w:val="002E3846"/>
    <w:rsid w:val="002E3F78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4377"/>
    <w:rsid w:val="00374887"/>
    <w:rsid w:val="00377ABB"/>
    <w:rsid w:val="003826E6"/>
    <w:rsid w:val="0038341E"/>
    <w:rsid w:val="003854F5"/>
    <w:rsid w:val="00386FC7"/>
    <w:rsid w:val="00390A32"/>
    <w:rsid w:val="00396C89"/>
    <w:rsid w:val="00397A6F"/>
    <w:rsid w:val="003A40F2"/>
    <w:rsid w:val="003A50D1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14CA0"/>
    <w:rsid w:val="00422F54"/>
    <w:rsid w:val="0042370A"/>
    <w:rsid w:val="00431516"/>
    <w:rsid w:val="00431F97"/>
    <w:rsid w:val="00434BF6"/>
    <w:rsid w:val="004361B3"/>
    <w:rsid w:val="0044249D"/>
    <w:rsid w:val="0044379F"/>
    <w:rsid w:val="00446FB1"/>
    <w:rsid w:val="0046078F"/>
    <w:rsid w:val="00463214"/>
    <w:rsid w:val="0046434D"/>
    <w:rsid w:val="004656FA"/>
    <w:rsid w:val="00467931"/>
    <w:rsid w:val="00471D77"/>
    <w:rsid w:val="004736C0"/>
    <w:rsid w:val="00475587"/>
    <w:rsid w:val="00480BC2"/>
    <w:rsid w:val="00485B33"/>
    <w:rsid w:val="00486CE0"/>
    <w:rsid w:val="0049063A"/>
    <w:rsid w:val="004929C2"/>
    <w:rsid w:val="00493FDD"/>
    <w:rsid w:val="0049586B"/>
    <w:rsid w:val="004A237F"/>
    <w:rsid w:val="004A3E44"/>
    <w:rsid w:val="004A469C"/>
    <w:rsid w:val="004A7983"/>
    <w:rsid w:val="004B09E8"/>
    <w:rsid w:val="004B2896"/>
    <w:rsid w:val="004B38E9"/>
    <w:rsid w:val="004B3FBA"/>
    <w:rsid w:val="004B556F"/>
    <w:rsid w:val="004B6599"/>
    <w:rsid w:val="004C181C"/>
    <w:rsid w:val="004C35CE"/>
    <w:rsid w:val="004C42FC"/>
    <w:rsid w:val="004C6CA7"/>
    <w:rsid w:val="004C77BD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1B15"/>
    <w:rsid w:val="004F2674"/>
    <w:rsid w:val="004F4DC9"/>
    <w:rsid w:val="004F52F0"/>
    <w:rsid w:val="004F6250"/>
    <w:rsid w:val="004F677C"/>
    <w:rsid w:val="004F6D8F"/>
    <w:rsid w:val="00502571"/>
    <w:rsid w:val="00504503"/>
    <w:rsid w:val="00505503"/>
    <w:rsid w:val="0051107B"/>
    <w:rsid w:val="00511D14"/>
    <w:rsid w:val="00512F9C"/>
    <w:rsid w:val="00514814"/>
    <w:rsid w:val="00517A51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789A"/>
    <w:rsid w:val="005652D1"/>
    <w:rsid w:val="005660A0"/>
    <w:rsid w:val="00566A4F"/>
    <w:rsid w:val="00567C93"/>
    <w:rsid w:val="00567D64"/>
    <w:rsid w:val="00572BC2"/>
    <w:rsid w:val="00585A3F"/>
    <w:rsid w:val="005938ED"/>
    <w:rsid w:val="0059478C"/>
    <w:rsid w:val="005964B6"/>
    <w:rsid w:val="00596C97"/>
    <w:rsid w:val="005978D4"/>
    <w:rsid w:val="005A3176"/>
    <w:rsid w:val="005A4B81"/>
    <w:rsid w:val="005B20EF"/>
    <w:rsid w:val="005B2A67"/>
    <w:rsid w:val="005B3DCD"/>
    <w:rsid w:val="005B4AD4"/>
    <w:rsid w:val="005B4FAA"/>
    <w:rsid w:val="005B5A38"/>
    <w:rsid w:val="005B5CC7"/>
    <w:rsid w:val="005C2798"/>
    <w:rsid w:val="005C36C3"/>
    <w:rsid w:val="005C3FE3"/>
    <w:rsid w:val="005C56EE"/>
    <w:rsid w:val="005C5D4B"/>
    <w:rsid w:val="005D1714"/>
    <w:rsid w:val="005D2D39"/>
    <w:rsid w:val="005D7638"/>
    <w:rsid w:val="005E493C"/>
    <w:rsid w:val="005F12F5"/>
    <w:rsid w:val="005F4B4F"/>
    <w:rsid w:val="005F7C7D"/>
    <w:rsid w:val="0060256A"/>
    <w:rsid w:val="00603F21"/>
    <w:rsid w:val="006044B7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30820"/>
    <w:rsid w:val="00632777"/>
    <w:rsid w:val="00633750"/>
    <w:rsid w:val="0063381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6946"/>
    <w:rsid w:val="006A7184"/>
    <w:rsid w:val="006A7A9F"/>
    <w:rsid w:val="006B404E"/>
    <w:rsid w:val="006B46D5"/>
    <w:rsid w:val="006B46F4"/>
    <w:rsid w:val="006C54A9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48A"/>
    <w:rsid w:val="0072712C"/>
    <w:rsid w:val="007277A6"/>
    <w:rsid w:val="00730721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70869"/>
    <w:rsid w:val="00770FDA"/>
    <w:rsid w:val="007738AA"/>
    <w:rsid w:val="00780A62"/>
    <w:rsid w:val="00783241"/>
    <w:rsid w:val="007838EC"/>
    <w:rsid w:val="00784BDC"/>
    <w:rsid w:val="00792F28"/>
    <w:rsid w:val="0079543F"/>
    <w:rsid w:val="00795880"/>
    <w:rsid w:val="007A27F8"/>
    <w:rsid w:val="007A4367"/>
    <w:rsid w:val="007B0867"/>
    <w:rsid w:val="007B0FE2"/>
    <w:rsid w:val="007B1AC1"/>
    <w:rsid w:val="007B5A08"/>
    <w:rsid w:val="007B5F0D"/>
    <w:rsid w:val="007B693D"/>
    <w:rsid w:val="007D0338"/>
    <w:rsid w:val="007D1637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1793"/>
    <w:rsid w:val="00803642"/>
    <w:rsid w:val="00806EA2"/>
    <w:rsid w:val="00810199"/>
    <w:rsid w:val="00812A2B"/>
    <w:rsid w:val="00814A4C"/>
    <w:rsid w:val="00817E9F"/>
    <w:rsid w:val="00820C01"/>
    <w:rsid w:val="00820CB0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35C5"/>
    <w:rsid w:val="00853765"/>
    <w:rsid w:val="0085516F"/>
    <w:rsid w:val="00861278"/>
    <w:rsid w:val="00867186"/>
    <w:rsid w:val="00870AF6"/>
    <w:rsid w:val="00880495"/>
    <w:rsid w:val="00881268"/>
    <w:rsid w:val="00881730"/>
    <w:rsid w:val="0088394A"/>
    <w:rsid w:val="008860BD"/>
    <w:rsid w:val="00887399"/>
    <w:rsid w:val="0088779E"/>
    <w:rsid w:val="008912AF"/>
    <w:rsid w:val="00892114"/>
    <w:rsid w:val="00892CB9"/>
    <w:rsid w:val="0089341C"/>
    <w:rsid w:val="008935CB"/>
    <w:rsid w:val="00894417"/>
    <w:rsid w:val="008A1107"/>
    <w:rsid w:val="008B0E7E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4F68"/>
    <w:rsid w:val="009355AC"/>
    <w:rsid w:val="009355B9"/>
    <w:rsid w:val="00935F38"/>
    <w:rsid w:val="00936436"/>
    <w:rsid w:val="00937586"/>
    <w:rsid w:val="00947889"/>
    <w:rsid w:val="0095405B"/>
    <w:rsid w:val="00960E98"/>
    <w:rsid w:val="00963A82"/>
    <w:rsid w:val="00964B0B"/>
    <w:rsid w:val="00965C51"/>
    <w:rsid w:val="00972912"/>
    <w:rsid w:val="00972CA0"/>
    <w:rsid w:val="00973A0E"/>
    <w:rsid w:val="00976AF8"/>
    <w:rsid w:val="00976D1F"/>
    <w:rsid w:val="00977DD0"/>
    <w:rsid w:val="00981C81"/>
    <w:rsid w:val="00983BA1"/>
    <w:rsid w:val="00992209"/>
    <w:rsid w:val="00995144"/>
    <w:rsid w:val="009A2D24"/>
    <w:rsid w:val="009A456C"/>
    <w:rsid w:val="009A4B24"/>
    <w:rsid w:val="009B00E0"/>
    <w:rsid w:val="009B292A"/>
    <w:rsid w:val="009B389A"/>
    <w:rsid w:val="009B3F2E"/>
    <w:rsid w:val="009B76D5"/>
    <w:rsid w:val="009B7AA8"/>
    <w:rsid w:val="009C165D"/>
    <w:rsid w:val="009C37F7"/>
    <w:rsid w:val="009C3CEA"/>
    <w:rsid w:val="009C583D"/>
    <w:rsid w:val="009D2611"/>
    <w:rsid w:val="009D3227"/>
    <w:rsid w:val="009D79D2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A007B6"/>
    <w:rsid w:val="00A05D16"/>
    <w:rsid w:val="00A0659F"/>
    <w:rsid w:val="00A079BA"/>
    <w:rsid w:val="00A2256D"/>
    <w:rsid w:val="00A25B43"/>
    <w:rsid w:val="00A33875"/>
    <w:rsid w:val="00A360A1"/>
    <w:rsid w:val="00A402B3"/>
    <w:rsid w:val="00A544B7"/>
    <w:rsid w:val="00A54AAA"/>
    <w:rsid w:val="00A618CF"/>
    <w:rsid w:val="00A62770"/>
    <w:rsid w:val="00A62EEB"/>
    <w:rsid w:val="00A62F2A"/>
    <w:rsid w:val="00A65251"/>
    <w:rsid w:val="00A660FF"/>
    <w:rsid w:val="00A6625A"/>
    <w:rsid w:val="00A66266"/>
    <w:rsid w:val="00A70B3D"/>
    <w:rsid w:val="00A73395"/>
    <w:rsid w:val="00A80077"/>
    <w:rsid w:val="00A82B4C"/>
    <w:rsid w:val="00A93263"/>
    <w:rsid w:val="00A93A4C"/>
    <w:rsid w:val="00A94906"/>
    <w:rsid w:val="00A94D5D"/>
    <w:rsid w:val="00AA1D9B"/>
    <w:rsid w:val="00AA2543"/>
    <w:rsid w:val="00AA3804"/>
    <w:rsid w:val="00AA55C2"/>
    <w:rsid w:val="00AB0ACA"/>
    <w:rsid w:val="00AB1D41"/>
    <w:rsid w:val="00AC025A"/>
    <w:rsid w:val="00AC08B7"/>
    <w:rsid w:val="00AC098A"/>
    <w:rsid w:val="00AC13C6"/>
    <w:rsid w:val="00AC5E9A"/>
    <w:rsid w:val="00AC704B"/>
    <w:rsid w:val="00AD553E"/>
    <w:rsid w:val="00AD5848"/>
    <w:rsid w:val="00AE5ADA"/>
    <w:rsid w:val="00AF6145"/>
    <w:rsid w:val="00AF61F8"/>
    <w:rsid w:val="00AF74EC"/>
    <w:rsid w:val="00B00E2D"/>
    <w:rsid w:val="00B01386"/>
    <w:rsid w:val="00B01BB5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4040"/>
    <w:rsid w:val="00B450D1"/>
    <w:rsid w:val="00B53D47"/>
    <w:rsid w:val="00B54A25"/>
    <w:rsid w:val="00B618C3"/>
    <w:rsid w:val="00B63652"/>
    <w:rsid w:val="00B64B8F"/>
    <w:rsid w:val="00B668B0"/>
    <w:rsid w:val="00B70F5C"/>
    <w:rsid w:val="00B71873"/>
    <w:rsid w:val="00B75AE5"/>
    <w:rsid w:val="00B800C0"/>
    <w:rsid w:val="00B8132B"/>
    <w:rsid w:val="00B8493B"/>
    <w:rsid w:val="00B84C5A"/>
    <w:rsid w:val="00B858F5"/>
    <w:rsid w:val="00B85ADA"/>
    <w:rsid w:val="00B93668"/>
    <w:rsid w:val="00BA68C6"/>
    <w:rsid w:val="00BA7C26"/>
    <w:rsid w:val="00BB12F1"/>
    <w:rsid w:val="00BB276E"/>
    <w:rsid w:val="00BB3FEE"/>
    <w:rsid w:val="00BB5EB0"/>
    <w:rsid w:val="00BB7A27"/>
    <w:rsid w:val="00BC2301"/>
    <w:rsid w:val="00BC245A"/>
    <w:rsid w:val="00BC340C"/>
    <w:rsid w:val="00BD16FA"/>
    <w:rsid w:val="00BD21C2"/>
    <w:rsid w:val="00BD41C3"/>
    <w:rsid w:val="00BD488B"/>
    <w:rsid w:val="00BD7CCC"/>
    <w:rsid w:val="00BE002A"/>
    <w:rsid w:val="00BE058B"/>
    <w:rsid w:val="00BE1BC9"/>
    <w:rsid w:val="00BE2D3E"/>
    <w:rsid w:val="00BE3E29"/>
    <w:rsid w:val="00BE5CDA"/>
    <w:rsid w:val="00BE608F"/>
    <w:rsid w:val="00BE7BED"/>
    <w:rsid w:val="00BF0004"/>
    <w:rsid w:val="00BF23BB"/>
    <w:rsid w:val="00BF33DD"/>
    <w:rsid w:val="00BF5755"/>
    <w:rsid w:val="00BF5917"/>
    <w:rsid w:val="00BF684B"/>
    <w:rsid w:val="00C016F3"/>
    <w:rsid w:val="00C15193"/>
    <w:rsid w:val="00C15609"/>
    <w:rsid w:val="00C15F6A"/>
    <w:rsid w:val="00C23EA7"/>
    <w:rsid w:val="00C24223"/>
    <w:rsid w:val="00C256F3"/>
    <w:rsid w:val="00C2617C"/>
    <w:rsid w:val="00C26329"/>
    <w:rsid w:val="00C270A2"/>
    <w:rsid w:val="00C315B5"/>
    <w:rsid w:val="00C32D3A"/>
    <w:rsid w:val="00C35E28"/>
    <w:rsid w:val="00C426AF"/>
    <w:rsid w:val="00C44B6A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B8A"/>
    <w:rsid w:val="00C85E65"/>
    <w:rsid w:val="00C87CA1"/>
    <w:rsid w:val="00C90EFC"/>
    <w:rsid w:val="00C911B4"/>
    <w:rsid w:val="00C91B3B"/>
    <w:rsid w:val="00C94262"/>
    <w:rsid w:val="00C976E1"/>
    <w:rsid w:val="00CA0404"/>
    <w:rsid w:val="00CA148E"/>
    <w:rsid w:val="00CA3A9A"/>
    <w:rsid w:val="00CB6BC1"/>
    <w:rsid w:val="00CB7021"/>
    <w:rsid w:val="00CC5B96"/>
    <w:rsid w:val="00CC5C38"/>
    <w:rsid w:val="00CC7D4C"/>
    <w:rsid w:val="00CD3294"/>
    <w:rsid w:val="00CD4524"/>
    <w:rsid w:val="00CD784D"/>
    <w:rsid w:val="00CE0325"/>
    <w:rsid w:val="00CE0B31"/>
    <w:rsid w:val="00CE39B0"/>
    <w:rsid w:val="00CF40F8"/>
    <w:rsid w:val="00CF545D"/>
    <w:rsid w:val="00D008DA"/>
    <w:rsid w:val="00D0416F"/>
    <w:rsid w:val="00D05851"/>
    <w:rsid w:val="00D10FED"/>
    <w:rsid w:val="00D11736"/>
    <w:rsid w:val="00D12EE8"/>
    <w:rsid w:val="00D15FF1"/>
    <w:rsid w:val="00D167F4"/>
    <w:rsid w:val="00D16C0B"/>
    <w:rsid w:val="00D2092A"/>
    <w:rsid w:val="00D2216D"/>
    <w:rsid w:val="00D31A6F"/>
    <w:rsid w:val="00D33293"/>
    <w:rsid w:val="00D353D1"/>
    <w:rsid w:val="00D367DB"/>
    <w:rsid w:val="00D36E05"/>
    <w:rsid w:val="00D40B24"/>
    <w:rsid w:val="00D44F27"/>
    <w:rsid w:val="00D45304"/>
    <w:rsid w:val="00D461C7"/>
    <w:rsid w:val="00D50424"/>
    <w:rsid w:val="00D56F0D"/>
    <w:rsid w:val="00D57D3E"/>
    <w:rsid w:val="00D668C6"/>
    <w:rsid w:val="00D843F4"/>
    <w:rsid w:val="00D84C5A"/>
    <w:rsid w:val="00D90625"/>
    <w:rsid w:val="00DC23CF"/>
    <w:rsid w:val="00DC4598"/>
    <w:rsid w:val="00DC6562"/>
    <w:rsid w:val="00DE017E"/>
    <w:rsid w:val="00DE130D"/>
    <w:rsid w:val="00DE24CF"/>
    <w:rsid w:val="00DE407C"/>
    <w:rsid w:val="00DE4177"/>
    <w:rsid w:val="00DE7C7D"/>
    <w:rsid w:val="00DF2992"/>
    <w:rsid w:val="00DF2D0C"/>
    <w:rsid w:val="00DF44A1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68E4"/>
    <w:rsid w:val="00E372AF"/>
    <w:rsid w:val="00E37D68"/>
    <w:rsid w:val="00E40EAE"/>
    <w:rsid w:val="00E43244"/>
    <w:rsid w:val="00E436AC"/>
    <w:rsid w:val="00E44FF8"/>
    <w:rsid w:val="00E5066A"/>
    <w:rsid w:val="00E52CF9"/>
    <w:rsid w:val="00E53CC7"/>
    <w:rsid w:val="00E57025"/>
    <w:rsid w:val="00E63F34"/>
    <w:rsid w:val="00E66154"/>
    <w:rsid w:val="00E6715A"/>
    <w:rsid w:val="00E74C26"/>
    <w:rsid w:val="00E75DC9"/>
    <w:rsid w:val="00E81215"/>
    <w:rsid w:val="00E81610"/>
    <w:rsid w:val="00E82CC2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33CD"/>
    <w:rsid w:val="00EC5BE5"/>
    <w:rsid w:val="00ED24D4"/>
    <w:rsid w:val="00ED2650"/>
    <w:rsid w:val="00ED721A"/>
    <w:rsid w:val="00EE3206"/>
    <w:rsid w:val="00EE393D"/>
    <w:rsid w:val="00EF01CF"/>
    <w:rsid w:val="00EF3A2F"/>
    <w:rsid w:val="00EF6A66"/>
    <w:rsid w:val="00EF7AF9"/>
    <w:rsid w:val="00F01495"/>
    <w:rsid w:val="00F01EE6"/>
    <w:rsid w:val="00F10138"/>
    <w:rsid w:val="00F13F92"/>
    <w:rsid w:val="00F152DF"/>
    <w:rsid w:val="00F22ECA"/>
    <w:rsid w:val="00F240E8"/>
    <w:rsid w:val="00F244FA"/>
    <w:rsid w:val="00F30687"/>
    <w:rsid w:val="00F3363A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701E3"/>
    <w:rsid w:val="00F71F8C"/>
    <w:rsid w:val="00F80362"/>
    <w:rsid w:val="00F8143B"/>
    <w:rsid w:val="00F84619"/>
    <w:rsid w:val="00F86AD4"/>
    <w:rsid w:val="00F92EE4"/>
    <w:rsid w:val="00F931AB"/>
    <w:rsid w:val="00F951D2"/>
    <w:rsid w:val="00FA0113"/>
    <w:rsid w:val="00FA12B2"/>
    <w:rsid w:val="00FA7610"/>
    <w:rsid w:val="00FB02BD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KeyFiguresList?s=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.cystat.gov.cy/pxweb/en/8.CYSTAT-DB/8.CYSTAT-DB__Trade__Wholesa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PressRelease?id=709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0B35-9654-4AAE-9EBB-F29337AA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Efstathiou  Evaggelia</cp:lastModifiedBy>
  <cp:revision>403</cp:revision>
  <cp:lastPrinted>2024-04-02T07:14:00Z</cp:lastPrinted>
  <dcterms:created xsi:type="dcterms:W3CDTF">2023-02-28T12:43:00Z</dcterms:created>
  <dcterms:modified xsi:type="dcterms:W3CDTF">2024-06-28T07:18:00Z</dcterms:modified>
</cp:coreProperties>
</file>