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41247EBD" w:rsidR="008C6CFC" w:rsidRPr="001F6211" w:rsidRDefault="00D309A8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F970E3">
        <w:rPr>
          <w:rFonts w:ascii="Verdana" w:hAnsi="Verdana" w:cs="Arial"/>
          <w:sz w:val="18"/>
          <w:szCs w:val="18"/>
        </w:rPr>
        <w:t xml:space="preserve"> </w:t>
      </w:r>
      <w:r w:rsidR="00D10D93">
        <w:rPr>
          <w:rFonts w:ascii="Verdana" w:hAnsi="Verdana" w:cs="Arial"/>
          <w:sz w:val="18"/>
          <w:szCs w:val="18"/>
        </w:rPr>
        <w:t>Ju</w:t>
      </w:r>
      <w:r>
        <w:rPr>
          <w:rFonts w:ascii="Verdana" w:hAnsi="Verdana" w:cs="Arial"/>
          <w:sz w:val="18"/>
          <w:szCs w:val="18"/>
        </w:rPr>
        <w:t>ly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7DF26991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D309A8" w:rsidRPr="00D309A8">
        <w:rPr>
          <w:rFonts w:ascii="Verdana" w:eastAsia="Times New Roman" w:hAnsi="Verdana"/>
          <w:b/>
          <w:u w:val="single"/>
          <w:shd w:val="clear" w:color="auto" w:fill="FFFFFF"/>
        </w:rPr>
        <w:t xml:space="preserve">MAY </w:t>
      </w:r>
      <w:r w:rsidRPr="00D309A8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D309A8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1CE4A16B" w:rsidR="008C6CFC" w:rsidRPr="00D92C6D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D92C6D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D92C6D">
        <w:rPr>
          <w:rFonts w:ascii="Verdana" w:eastAsia="Malgun Gothic" w:hAnsi="Verdana" w:cs="Arial"/>
          <w:b/>
          <w:bCs/>
        </w:rPr>
        <w:t>C</w:t>
      </w:r>
      <w:r w:rsidRPr="00D92C6D">
        <w:rPr>
          <w:rFonts w:ascii="Verdana" w:eastAsia="Malgun Gothic" w:hAnsi="Verdana" w:cs="Arial"/>
          <w:b/>
          <w:bCs/>
          <w:lang w:val="en-GB"/>
        </w:rPr>
        <w:t>hange</w:t>
      </w:r>
      <w:r w:rsidRPr="00D92C6D">
        <w:rPr>
          <w:rFonts w:ascii="Verdana" w:eastAsia="Malgun Gothic" w:hAnsi="Verdana" w:cs="Arial"/>
          <w:b/>
          <w:bCs/>
        </w:rPr>
        <w:t xml:space="preserve"> +</w:t>
      </w:r>
      <w:r w:rsidR="00D92C6D" w:rsidRPr="00D92C6D">
        <w:rPr>
          <w:rFonts w:ascii="Verdana" w:eastAsia="Malgun Gothic" w:hAnsi="Verdana" w:cs="Arial"/>
          <w:b/>
          <w:bCs/>
        </w:rPr>
        <w:t>8</w:t>
      </w:r>
      <w:r w:rsidRPr="00D92C6D">
        <w:rPr>
          <w:rFonts w:ascii="Verdana" w:eastAsia="Malgun Gothic" w:hAnsi="Verdana" w:cs="Arial"/>
          <w:b/>
          <w:bCs/>
        </w:rPr>
        <w:t>,</w:t>
      </w:r>
      <w:r w:rsidR="00D92C6D" w:rsidRPr="00D92C6D">
        <w:rPr>
          <w:rFonts w:ascii="Verdana" w:eastAsia="Malgun Gothic" w:hAnsi="Verdana" w:cs="Arial"/>
          <w:b/>
          <w:bCs/>
        </w:rPr>
        <w:t>4</w:t>
      </w:r>
      <w:r w:rsidRPr="00D92C6D">
        <w:rPr>
          <w:rFonts w:ascii="Verdana" w:eastAsia="Malgun Gothic" w:hAnsi="Verdana" w:cs="Arial"/>
          <w:b/>
          <w:bCs/>
        </w:rPr>
        <w:t xml:space="preserve">% in </w:t>
      </w:r>
      <w:r w:rsidR="00F30687" w:rsidRPr="00D92C6D">
        <w:rPr>
          <w:rFonts w:ascii="Verdana" w:eastAsia="Malgun Gothic" w:hAnsi="Verdana" w:cs="Arial"/>
          <w:b/>
          <w:bCs/>
        </w:rPr>
        <w:t>V</w:t>
      </w:r>
      <w:r w:rsidRPr="00D92C6D">
        <w:rPr>
          <w:rFonts w:ascii="Verdana" w:eastAsia="Malgun Gothic" w:hAnsi="Verdana" w:cs="Arial"/>
          <w:b/>
          <w:bCs/>
        </w:rPr>
        <w:t xml:space="preserve">alue and </w:t>
      </w:r>
      <w:r w:rsidR="002B0328" w:rsidRPr="00D92C6D">
        <w:rPr>
          <w:rFonts w:ascii="Verdana" w:eastAsia="Malgun Gothic" w:hAnsi="Verdana" w:cs="Arial"/>
          <w:b/>
          <w:bCs/>
        </w:rPr>
        <w:t>+</w:t>
      </w:r>
      <w:r w:rsidR="00D92C6D" w:rsidRPr="00D92C6D">
        <w:rPr>
          <w:rFonts w:ascii="Verdana" w:eastAsia="Malgun Gothic" w:hAnsi="Verdana" w:cs="Arial"/>
          <w:b/>
          <w:bCs/>
        </w:rPr>
        <w:t>10</w:t>
      </w:r>
      <w:r w:rsidRPr="00D92C6D">
        <w:rPr>
          <w:rFonts w:ascii="Verdana" w:eastAsia="Malgun Gothic" w:hAnsi="Verdana" w:cs="Arial"/>
          <w:b/>
          <w:bCs/>
        </w:rPr>
        <w:t>,</w:t>
      </w:r>
      <w:r w:rsidR="00D92C6D" w:rsidRPr="00D92C6D">
        <w:rPr>
          <w:rFonts w:ascii="Verdana" w:eastAsia="Malgun Gothic" w:hAnsi="Verdana" w:cs="Arial"/>
          <w:b/>
          <w:bCs/>
        </w:rPr>
        <w:t>0</w:t>
      </w:r>
      <w:r w:rsidRPr="00D92C6D">
        <w:rPr>
          <w:rFonts w:ascii="Verdana" w:eastAsia="Malgun Gothic" w:hAnsi="Verdana" w:cs="Arial"/>
          <w:b/>
          <w:bCs/>
        </w:rPr>
        <w:t xml:space="preserve">% in </w:t>
      </w:r>
      <w:r w:rsidR="00F30687" w:rsidRPr="00D92C6D">
        <w:rPr>
          <w:rFonts w:ascii="Verdana" w:eastAsia="Malgun Gothic" w:hAnsi="Verdana" w:cs="Arial"/>
          <w:b/>
          <w:bCs/>
        </w:rPr>
        <w:t>V</w:t>
      </w:r>
      <w:r w:rsidRPr="00D92C6D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F20E1C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F20E1C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7D0922D2" w:rsidR="008C6CFC" w:rsidRPr="00D92C6D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92C6D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D92C6D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D92C6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D309A8" w:rsidRPr="00D92C6D">
        <w:rPr>
          <w:rFonts w:ascii="Verdana" w:hAnsi="Verdana"/>
          <w:sz w:val="18"/>
          <w:szCs w:val="18"/>
          <w:shd w:val="clear" w:color="auto" w:fill="FFFFFF"/>
        </w:rPr>
        <w:t xml:space="preserve">May 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D92C6D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D92C6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D92C6D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D92C6D" w:rsidRPr="00D92C6D">
        <w:rPr>
          <w:rFonts w:ascii="Verdana" w:hAnsi="Verdana"/>
          <w:sz w:val="18"/>
          <w:szCs w:val="18"/>
          <w:shd w:val="clear" w:color="auto" w:fill="FFFFFF"/>
        </w:rPr>
        <w:t>8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>,</w:t>
      </w:r>
      <w:r w:rsidR="00D92C6D" w:rsidRPr="00D92C6D">
        <w:rPr>
          <w:rFonts w:ascii="Verdana" w:hAnsi="Verdana"/>
          <w:sz w:val="18"/>
          <w:szCs w:val="18"/>
          <w:shd w:val="clear" w:color="auto" w:fill="FFFFFF"/>
        </w:rPr>
        <w:t>4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D92C6D">
        <w:rPr>
          <w:rFonts w:ascii="Verdana" w:hAnsi="Verdana"/>
          <w:sz w:val="18"/>
          <w:szCs w:val="18"/>
          <w:shd w:val="clear" w:color="auto" w:fill="FFFFFF"/>
        </w:rPr>
        <w:t>in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D92C6D" w:rsidRPr="00D92C6D">
        <w:rPr>
          <w:rFonts w:ascii="Verdana" w:hAnsi="Verdana"/>
          <w:sz w:val="18"/>
          <w:szCs w:val="18"/>
          <w:shd w:val="clear" w:color="auto" w:fill="FFFFFF"/>
        </w:rPr>
        <w:t>10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>,</w:t>
      </w:r>
      <w:r w:rsidR="00D92C6D" w:rsidRPr="00D92C6D">
        <w:rPr>
          <w:rFonts w:ascii="Verdana" w:hAnsi="Verdana"/>
          <w:sz w:val="18"/>
          <w:szCs w:val="18"/>
          <w:shd w:val="clear" w:color="auto" w:fill="FFFFFF"/>
        </w:rPr>
        <w:t>0</w:t>
      </w:r>
      <w:r w:rsidRPr="00D92C6D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F20E1C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22651181" w:rsidR="008C6CFC" w:rsidRPr="006100EF" w:rsidRDefault="00AE2050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B8A4C0E" wp14:editId="51D98F8E">
            <wp:extent cx="6059805" cy="4425950"/>
            <wp:effectExtent l="0" t="0" r="0" b="0"/>
            <wp:docPr id="752946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957F18" w:rsidRPr="00957F18" w14:paraId="21E376F4" w14:textId="77777777" w:rsidTr="007948C3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957F18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color w:val="366092"/>
              </w:rPr>
              <w:lastRenderedPageBreak/>
              <w:br w:type="page"/>
            </w:r>
            <w:r w:rsidRPr="00957F1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957F1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</w:tr>
      <w:tr w:rsidR="00957F18" w:rsidRPr="00957F18" w14:paraId="20831354" w14:textId="77777777" w:rsidTr="00BB0F29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5F90ECE6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Value Index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782E3A64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957F18" w:rsidRPr="00957F18" w14:paraId="5C4AC7F0" w14:textId="77777777" w:rsidTr="00BB0F29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2DB9FF63" w:rsidR="00F63849" w:rsidRPr="00957F18" w:rsidRDefault="00D309A8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  <w:r w:rsidR="00F63849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9852CB" w14:textId="2E2AAE6A" w:rsidR="00585026" w:rsidRPr="00957F18" w:rsidRDefault="00D309A8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</w:p>
          <w:p w14:paraId="4EAC4051" w14:textId="71815AB0" w:rsidR="00F63849" w:rsidRPr="00957F18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585026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585026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E219BE" w14:textId="22B5A8E0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D309A8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</w:p>
          <w:p w14:paraId="412C51CC" w14:textId="460264A4" w:rsidR="00F63849" w:rsidRPr="00957F1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957F18" w:rsidRPr="00957F18" w14:paraId="5AA0A0CB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2705EE60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141,3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2996AE98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14B4CF45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8,1</w:t>
            </w:r>
          </w:p>
        </w:tc>
      </w:tr>
      <w:tr w:rsidR="00957F18" w:rsidRPr="00957F18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77803991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150,5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0D2D7607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13,1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241591E2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14,8</w:t>
            </w:r>
          </w:p>
        </w:tc>
      </w:tr>
      <w:tr w:rsidR="00957F18" w:rsidRPr="00957F18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6A8A4C70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117,8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56A34D83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-5,6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51E178D9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-0,8</w:t>
            </w:r>
          </w:p>
        </w:tc>
      </w:tr>
      <w:tr w:rsidR="00957F18" w:rsidRPr="00957F18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51E60A00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107,9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011A94CB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73CAEDB5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1,4</w:t>
            </w:r>
          </w:p>
        </w:tc>
      </w:tr>
      <w:tr w:rsidR="00957F18" w:rsidRPr="00957F18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4B0E4146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126,1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295210" w:rsidRPr="00957F18" w:rsidRDefault="00295210" w:rsidP="00295210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7CEAFDDB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5E19BC2F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</w:tr>
      <w:tr w:rsidR="00957F18" w:rsidRPr="00957F18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1C553A35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96,7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0CA6C2A6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0,7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7486010A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-1,7</w:t>
            </w:r>
          </w:p>
        </w:tc>
      </w:tr>
      <w:tr w:rsidR="00957F18" w:rsidRPr="00957F18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53E2D950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145,1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295210" w:rsidRPr="00957F18" w:rsidRDefault="00295210" w:rsidP="00295210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40B7B57E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62BA7E09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957F18" w:rsidRPr="00957F18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27820240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120,5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419D2911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453D4685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957F18" w:rsidRPr="00957F18" w14:paraId="4E8BCDB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5AC731E2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201,6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26D19594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51640683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14,0</w:t>
            </w:r>
          </w:p>
        </w:tc>
      </w:tr>
      <w:tr w:rsidR="00957F18" w:rsidRPr="00957F18" w14:paraId="70B1EF1E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055AAED4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117,1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02F1A953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21,9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0BF9925F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24,1</w:t>
            </w:r>
          </w:p>
        </w:tc>
      </w:tr>
      <w:tr w:rsidR="00957F18" w:rsidRPr="00957F18" w14:paraId="3CA8B430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0071095B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0B808D11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10,0</w:t>
            </w:r>
          </w:p>
        </w:tc>
        <w:tc>
          <w:tcPr>
            <w:tcW w:w="136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5DB0856B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957F18" w:rsidRPr="00957F18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57FB39CE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143,6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5BE58846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11,1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0FA9C99D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</w:tr>
      <w:tr w:rsidR="00957F18" w:rsidRPr="00957F18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7FA839E3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134,0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73C1BFF5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6AEE1C01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5,9</w:t>
            </w:r>
          </w:p>
        </w:tc>
      </w:tr>
      <w:tr w:rsidR="00957F18" w:rsidRPr="00957F18" w14:paraId="5E9F8FEA" w14:textId="77777777" w:rsidTr="00BB0F29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295210" w:rsidRPr="00957F18" w:rsidRDefault="00295210" w:rsidP="00295210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957F18" w:rsidRPr="00957F18" w14:paraId="369F5259" w14:textId="77777777" w:rsidTr="00BB0F29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295210" w:rsidRPr="00957F18" w:rsidRDefault="00295210" w:rsidP="00295210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4BB531E5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01480ED0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8,4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446CF543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6,8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957F18" w:rsidRPr="00957F18" w14:paraId="71B02A48" w14:textId="77777777" w:rsidTr="007948C3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957F18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color w:val="366092"/>
              </w:rPr>
              <w:lastRenderedPageBreak/>
              <w:br w:type="page"/>
            </w:r>
            <w:r w:rsidRPr="00957F18">
              <w:rPr>
                <w:rFonts w:ascii="Verdana" w:eastAsia="Malgun Gothic" w:hAnsi="Verdana" w:cs="Arial"/>
                <w:bCs/>
                <w:color w:val="366092"/>
                <w:sz w:val="18"/>
                <w:szCs w:val="18"/>
              </w:rPr>
              <w:br w:type="page"/>
            </w:r>
            <w:r w:rsidRPr="00957F18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</w:tr>
      <w:tr w:rsidR="00957F18" w:rsidRPr="00957F18" w14:paraId="70514519" w14:textId="77777777" w:rsidTr="007948C3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06D556F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Volume</w:t>
            </w:r>
            <w:r w:rsidR="000429B7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BA7C26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Percentage Change</w:t>
            </w:r>
          </w:p>
          <w:p w14:paraId="0F349BFF" w14:textId="77777777" w:rsidR="008C6CFC" w:rsidRPr="00957F18" w:rsidRDefault="008C6CFC" w:rsidP="003B5E46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957F18" w:rsidRPr="00957F18" w14:paraId="09D154D9" w14:textId="77777777" w:rsidTr="007948C3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67BAA1" w14:textId="4C4315BA" w:rsidR="007948C3" w:rsidRPr="00957F18" w:rsidRDefault="00D309A8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  <w:r w:rsidR="007948C3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8459EB" w14:textId="4828FD1D" w:rsidR="007948C3" w:rsidRPr="00957F18" w:rsidRDefault="00D309A8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</w:p>
          <w:p w14:paraId="67C6038C" w14:textId="1B7A4133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23F72D" w14:textId="5ACA305B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Jan - </w:t>
            </w:r>
            <w:r w:rsidR="00D309A8"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May</w:t>
            </w:r>
          </w:p>
          <w:p w14:paraId="64E394D3" w14:textId="4ACE5549" w:rsidR="007948C3" w:rsidRPr="00957F18" w:rsidRDefault="007948C3" w:rsidP="007948C3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5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Pr="00957F18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</w:tr>
      <w:tr w:rsidR="00957F18" w:rsidRPr="00957F18" w14:paraId="71AB8DBF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1BCF7FC2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120,1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0264F23F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75AE1A46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</w:tr>
      <w:tr w:rsidR="00957F18" w:rsidRPr="00957F18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3332E2E6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121,7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42375883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604B73F4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</w:tr>
      <w:tr w:rsidR="00957F18" w:rsidRPr="00957F18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49AC33BA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108,2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6E494979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0C949E2C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2,9</w:t>
            </w:r>
          </w:p>
        </w:tc>
      </w:tr>
      <w:tr w:rsidR="00957F18" w:rsidRPr="00957F18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3C84B129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127,6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498D4E0E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4CF858F6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9,0</w:t>
            </w:r>
          </w:p>
        </w:tc>
      </w:tr>
      <w:tr w:rsidR="00957F18" w:rsidRPr="00957F18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household equipment (construction materials, carpets, furniture, electrical appliances, 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6E79A217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112,9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295210" w:rsidRPr="00957F18" w:rsidRDefault="00295210" w:rsidP="00295210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4B4C4C8F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11,4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4921DBB2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4,0</w:t>
            </w:r>
          </w:p>
        </w:tc>
      </w:tr>
      <w:tr w:rsidR="00957F18" w:rsidRPr="00957F18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32F61C06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88,3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269DDC49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1118A8A6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-1,7</w:t>
            </w:r>
          </w:p>
        </w:tc>
      </w:tr>
      <w:tr w:rsidR="00957F18" w:rsidRPr="00957F18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7A0AB0C2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141,9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295210" w:rsidRPr="00957F18" w:rsidRDefault="00295210" w:rsidP="00295210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072BF51F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14,7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3C675671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11,8</w:t>
            </w:r>
          </w:p>
        </w:tc>
      </w:tr>
      <w:tr w:rsidR="00957F18" w:rsidRPr="00957F18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636BFF05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111,7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41235814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7,6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03F6DB60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957F18" w:rsidRPr="00957F18" w14:paraId="5D51E316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304A98C4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174,1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38D35518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1E7454E9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10,7</w:t>
            </w:r>
          </w:p>
        </w:tc>
      </w:tr>
      <w:tr w:rsidR="00957F18" w:rsidRPr="00957F18" w14:paraId="52E22BA1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6FEA244A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109,1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295210" w:rsidRPr="00957F18" w:rsidRDefault="00295210" w:rsidP="00295210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047F2D30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23,2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1DF5391F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25,3</w:t>
            </w:r>
          </w:p>
        </w:tc>
      </w:tr>
      <w:tr w:rsidR="00957F18" w:rsidRPr="00957F18" w14:paraId="2DFEB38D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 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except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639D13F4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123,0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1C13729A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10,1</w:t>
            </w:r>
          </w:p>
        </w:tc>
        <w:tc>
          <w:tcPr>
            <w:tcW w:w="150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31203432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</w:tr>
      <w:tr w:rsidR="00957F18" w:rsidRPr="00957F18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3B7F291F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121,2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185964A1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38762A36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957F18" w:rsidRPr="00957F18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295210" w:rsidRPr="00957F18" w:rsidRDefault="00295210" w:rsidP="00295210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47.19+47.4 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to</w:t>
            </w: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295210" w:rsidRPr="00957F18" w:rsidRDefault="00295210" w:rsidP="00295210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 edible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283E3C86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124,9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295210" w:rsidRPr="00957F18" w:rsidRDefault="00295210" w:rsidP="00295210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76A4B186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bCs/>
                <w:color w:val="366092"/>
                <w:sz w:val="18"/>
                <w:szCs w:val="18"/>
              </w:rPr>
              <w:t>10,8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273B6182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957F18">
              <w:rPr>
                <w:rFonts w:ascii="Verdana" w:hAnsi="Verdana"/>
                <w:color w:val="366092"/>
                <w:sz w:val="18"/>
                <w:szCs w:val="18"/>
              </w:rPr>
              <w:t>7,3</w:t>
            </w:r>
          </w:p>
        </w:tc>
      </w:tr>
      <w:tr w:rsidR="00957F18" w:rsidRPr="00957F18" w14:paraId="27203A2A" w14:textId="77777777" w:rsidTr="007948C3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295210" w:rsidRPr="00957F18" w:rsidRDefault="00295210" w:rsidP="00295210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</w:tr>
      <w:tr w:rsidR="00957F18" w:rsidRPr="00957F18" w14:paraId="6972B420" w14:textId="77777777" w:rsidTr="007948C3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295210" w:rsidRPr="00957F18" w:rsidRDefault="00295210" w:rsidP="00295210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295210" w:rsidRPr="00957F18" w:rsidRDefault="00295210" w:rsidP="0029521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957F18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2C188D92" w:rsidR="00295210" w:rsidRPr="00957F18" w:rsidRDefault="00295210" w:rsidP="00295210">
            <w:pPr>
              <w:ind w:right="28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121,4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295210" w:rsidRPr="00957F18" w:rsidRDefault="00295210" w:rsidP="00295210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44FBEF9B" w:rsidR="00295210" w:rsidRPr="00957F18" w:rsidRDefault="00295210" w:rsidP="00295210">
            <w:pPr>
              <w:ind w:right="397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10,0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1023F7C9" w:rsidR="00295210" w:rsidRPr="00957F18" w:rsidRDefault="00295210" w:rsidP="00295210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957F18">
              <w:rPr>
                <w:rFonts w:ascii="Verdana" w:hAnsi="Verdana"/>
                <w:b/>
                <w:color w:val="366092"/>
                <w:sz w:val="18"/>
                <w:szCs w:val="18"/>
              </w:rPr>
              <w:t>6,7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rFonts w:ascii="Verdana" w:hAnsi="Verdana"/>
          <w:color w:val="000000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45707872" w14:textId="77777777" w:rsidR="007B42EC" w:rsidRPr="00DA031C" w:rsidRDefault="007B42EC" w:rsidP="007B42EC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03F1" w14:textId="77777777" w:rsidR="0029779D" w:rsidRDefault="0029779D" w:rsidP="00FB398F">
      <w:r>
        <w:separator/>
      </w:r>
    </w:p>
  </w:endnote>
  <w:endnote w:type="continuationSeparator" w:id="0">
    <w:p w14:paraId="47605829" w14:textId="77777777" w:rsidR="0029779D" w:rsidRDefault="0029779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18798761" w:rsidR="0060256A" w:rsidRPr="00D20737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D20737">
      <w:rPr>
        <w:rFonts w:ascii="Verdana" w:hAnsi="Verdana" w:cs="Arial"/>
        <w:sz w:val="16"/>
        <w:szCs w:val="16"/>
      </w:rPr>
      <w:t>Address: Micha</w:t>
    </w:r>
    <w:r w:rsidR="00EF6A66" w:rsidRPr="00D20737">
      <w:rPr>
        <w:rFonts w:ascii="Verdana" w:hAnsi="Verdana" w:cs="Arial"/>
        <w:sz w:val="16"/>
        <w:szCs w:val="16"/>
      </w:rPr>
      <w:t>el</w:t>
    </w:r>
    <w:r w:rsidRPr="00D20737">
      <w:rPr>
        <w:rFonts w:ascii="Verdana" w:hAnsi="Verdana" w:cs="Arial"/>
        <w:sz w:val="16"/>
        <w:szCs w:val="16"/>
      </w:rPr>
      <w:t xml:space="preserve"> Karaoli Str., 1444 Nicosia, Cyprus</w:t>
    </w:r>
  </w:p>
  <w:p w14:paraId="052D47F9" w14:textId="3A3C69F4" w:rsidR="00D20737" w:rsidRPr="009C2547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>Tel.: 22 602129,</w:t>
    </w:r>
    <w:r w:rsidR="009E0FD9" w:rsidRPr="00D20737">
      <w:rPr>
        <w:rFonts w:ascii="Verdana" w:hAnsi="Verdana" w:cs="Arial"/>
        <w:sz w:val="16"/>
        <w:szCs w:val="16"/>
        <w:lang w:val="pt-PT"/>
      </w:rPr>
      <w:t xml:space="preserve"> </w:t>
    </w:r>
    <w:r w:rsidR="0060256A" w:rsidRPr="00D20737">
      <w:rPr>
        <w:rFonts w:ascii="Verdana" w:hAnsi="Verdana" w:cs="Arial"/>
        <w:sz w:val="16"/>
        <w:szCs w:val="16"/>
        <w:lang w:val="pt-PT"/>
      </w:rPr>
      <w:t xml:space="preserve">E-mail: </w:t>
    </w:r>
    <w:hyperlink r:id="rId1" w:history="1">
      <w:r w:rsidR="00D20737" w:rsidRPr="00D20737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CB0C89E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D20737">
      <w:rPr>
        <w:rFonts w:ascii="Verdana" w:hAnsi="Verdana" w:cs="Arial"/>
        <w:sz w:val="16"/>
        <w:szCs w:val="16"/>
        <w:lang w:val="pt-PT"/>
      </w:rPr>
      <w:t xml:space="preserve">Web </w:t>
    </w:r>
    <w:r w:rsidR="00D20737" w:rsidRPr="009C2547">
      <w:rPr>
        <w:rFonts w:ascii="Verdana" w:hAnsi="Verdana" w:cs="Arial"/>
        <w:sz w:val="16"/>
        <w:szCs w:val="16"/>
        <w:lang w:val="pt-PT"/>
      </w:rPr>
      <w:t>P</w:t>
    </w:r>
    <w:r w:rsidR="00B4398D" w:rsidRPr="00D20737">
      <w:rPr>
        <w:rFonts w:ascii="Verdana" w:hAnsi="Verdana" w:cs="Arial"/>
        <w:sz w:val="16"/>
        <w:szCs w:val="16"/>
        <w:lang w:val="pt-PT"/>
      </w:rPr>
      <w:t>ortal</w:t>
    </w:r>
    <w:r w:rsidRPr="00D20737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D20737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3D0B" w14:textId="77777777" w:rsidR="0029779D" w:rsidRDefault="0029779D" w:rsidP="00FB398F">
      <w:r>
        <w:separator/>
      </w:r>
    </w:p>
  </w:footnote>
  <w:footnote w:type="continuationSeparator" w:id="0">
    <w:p w14:paraId="2828BCA2" w14:textId="77777777" w:rsidR="0029779D" w:rsidRDefault="0029779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2246FC23" w:rsidR="00364377" w:rsidRPr="00D20737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D20737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D20737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D20737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D2073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D20737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D20737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D20737">
      <w:rPr>
        <w:rFonts w:ascii="Arial" w:hAnsi="Arial" w:cs="Arial"/>
        <w:bCs/>
        <w:sz w:val="18"/>
        <w:szCs w:val="18"/>
      </w:rPr>
      <w:t xml:space="preserve"> </w:t>
    </w:r>
    <w:r w:rsidR="00364377" w:rsidRPr="00D20737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D20737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911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1239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96E1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17DA6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5210"/>
    <w:rsid w:val="00297669"/>
    <w:rsid w:val="0029779D"/>
    <w:rsid w:val="002A1D1C"/>
    <w:rsid w:val="002A4D64"/>
    <w:rsid w:val="002B0328"/>
    <w:rsid w:val="002B04D9"/>
    <w:rsid w:val="002B33E2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4CA0"/>
    <w:rsid w:val="00415E84"/>
    <w:rsid w:val="0041722D"/>
    <w:rsid w:val="00420CA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1F3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74A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04F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4432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5BFF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4CE9"/>
    <w:rsid w:val="0063679C"/>
    <w:rsid w:val="00637055"/>
    <w:rsid w:val="00641D59"/>
    <w:rsid w:val="00644507"/>
    <w:rsid w:val="00646880"/>
    <w:rsid w:val="00647D2A"/>
    <w:rsid w:val="006527E1"/>
    <w:rsid w:val="006537BB"/>
    <w:rsid w:val="0065711B"/>
    <w:rsid w:val="00664F9F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42EC"/>
    <w:rsid w:val="007B5A08"/>
    <w:rsid w:val="007B5F0D"/>
    <w:rsid w:val="007B693D"/>
    <w:rsid w:val="007B730D"/>
    <w:rsid w:val="007C377C"/>
    <w:rsid w:val="007C5262"/>
    <w:rsid w:val="007D0338"/>
    <w:rsid w:val="007D1637"/>
    <w:rsid w:val="007D62B6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3F6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57F1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210D"/>
    <w:rsid w:val="009C2547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55EF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2050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76DA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C4148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8D0"/>
    <w:rsid w:val="00CE0B31"/>
    <w:rsid w:val="00CE39B0"/>
    <w:rsid w:val="00CF40F8"/>
    <w:rsid w:val="00CF545D"/>
    <w:rsid w:val="00D008DA"/>
    <w:rsid w:val="00D02A5A"/>
    <w:rsid w:val="00D0416F"/>
    <w:rsid w:val="00D05851"/>
    <w:rsid w:val="00D10D93"/>
    <w:rsid w:val="00D10FED"/>
    <w:rsid w:val="00D11736"/>
    <w:rsid w:val="00D12EE8"/>
    <w:rsid w:val="00D13C9C"/>
    <w:rsid w:val="00D13EAE"/>
    <w:rsid w:val="00D15FF1"/>
    <w:rsid w:val="00D167F4"/>
    <w:rsid w:val="00D16C0B"/>
    <w:rsid w:val="00D20737"/>
    <w:rsid w:val="00D2092A"/>
    <w:rsid w:val="00D2216D"/>
    <w:rsid w:val="00D309A8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92C6D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56D8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1093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0E1C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24EE"/>
    <w:rsid w:val="00FB28EC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107</cp:revision>
  <cp:lastPrinted>2024-04-02T07:14:00Z</cp:lastPrinted>
  <dcterms:created xsi:type="dcterms:W3CDTF">2025-02-04T10:07:00Z</dcterms:created>
  <dcterms:modified xsi:type="dcterms:W3CDTF">2025-07-01T07:03:00Z</dcterms:modified>
</cp:coreProperties>
</file>