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D7735" w14:textId="382B519D" w:rsidR="00055FDF" w:rsidRPr="00AE0687" w:rsidRDefault="00002499" w:rsidP="00055FDF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 w:rsidRPr="005F2670">
        <w:rPr>
          <w:rFonts w:ascii="Verdana" w:hAnsi="Verdana" w:cs="Arial"/>
          <w:sz w:val="18"/>
          <w:szCs w:val="18"/>
          <w:lang w:val="el-GR"/>
        </w:rPr>
        <w:t xml:space="preserve">4 </w:t>
      </w:r>
      <w:r>
        <w:rPr>
          <w:rFonts w:ascii="Verdana" w:hAnsi="Verdana" w:cs="Arial"/>
          <w:sz w:val="18"/>
          <w:szCs w:val="18"/>
          <w:lang w:val="el-GR"/>
        </w:rPr>
        <w:t>Σεπτεμβρίου</w:t>
      </w:r>
      <w:r w:rsidR="007827C9">
        <w:rPr>
          <w:rFonts w:ascii="Verdana" w:hAnsi="Verdana" w:cs="Arial"/>
          <w:sz w:val="18"/>
          <w:szCs w:val="18"/>
          <w:lang w:val="el-GR"/>
        </w:rPr>
        <w:t>, 2025</w:t>
      </w:r>
    </w:p>
    <w:p w14:paraId="3AF2F250" w14:textId="77777777" w:rsidR="00055FDF" w:rsidRPr="0091631A" w:rsidRDefault="00055FDF" w:rsidP="00055FDF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1546BA89" w14:textId="77777777" w:rsidR="00055FDF" w:rsidRPr="00CF40F8" w:rsidRDefault="00055FDF" w:rsidP="00055FDF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bookmarkStart w:id="0" w:name="_GoBack"/>
      <w:bookmarkEnd w:id="0"/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556EDA95" w14:textId="77777777" w:rsidR="00055FDF" w:rsidRPr="005C36C3" w:rsidRDefault="00055FDF" w:rsidP="00055FDF">
      <w:pPr>
        <w:rPr>
          <w:rFonts w:ascii="Verdana" w:eastAsia="Malgun Gothic" w:hAnsi="Verdana" w:cs="Arial"/>
          <w:lang w:val="el-GR"/>
        </w:rPr>
      </w:pPr>
    </w:p>
    <w:p w14:paraId="18C4648B" w14:textId="3EF595A8" w:rsidR="00055FDF" w:rsidRPr="00882594" w:rsidRDefault="00055FDF" w:rsidP="00055FDF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>
        <w:rPr>
          <w:rFonts w:ascii="Verdana" w:hAnsi="Verdana"/>
          <w:b w:val="0"/>
          <w:szCs w:val="22"/>
          <w:shd w:val="clear" w:color="auto" w:fill="FFFFFF"/>
        </w:rPr>
        <w:t>ΟΔΙΚΕΣ ΜΕΤΑΦΟΡΕΣ ΦΟΡΤΙΟΥ</w:t>
      </w:r>
      <w:r w:rsidRPr="00CF3135">
        <w:rPr>
          <w:rFonts w:ascii="Verdana" w:hAnsi="Verdana"/>
          <w:b w:val="0"/>
          <w:szCs w:val="22"/>
          <w:shd w:val="clear" w:color="auto" w:fill="FFFFFF"/>
        </w:rPr>
        <w:t>:</w:t>
      </w:r>
      <w:r w:rsidRPr="009A5E8A">
        <w:rPr>
          <w:rFonts w:ascii="Verdana" w:hAnsi="Verdana"/>
          <w:szCs w:val="22"/>
          <w:shd w:val="clear" w:color="auto" w:fill="FFFFFF"/>
        </w:rPr>
        <w:t xml:space="preserve"> </w:t>
      </w:r>
      <w:r w:rsidR="00882594" w:rsidRPr="00882594">
        <w:rPr>
          <w:rFonts w:ascii="Verdana" w:hAnsi="Verdana"/>
          <w:szCs w:val="22"/>
          <w:shd w:val="clear" w:color="auto" w:fill="FFFFFF"/>
        </w:rPr>
        <w:t>1</w:t>
      </w:r>
      <w:r>
        <w:rPr>
          <w:rFonts w:ascii="Verdana" w:hAnsi="Verdana"/>
          <w:szCs w:val="22"/>
          <w:shd w:val="clear" w:color="auto" w:fill="FFFFFF"/>
        </w:rPr>
        <w:t>ο ΤΡΙΜΗΝΟ 202</w:t>
      </w:r>
      <w:r w:rsidR="00882594" w:rsidRPr="00882594">
        <w:rPr>
          <w:rFonts w:ascii="Verdana" w:hAnsi="Verdana"/>
          <w:szCs w:val="22"/>
          <w:shd w:val="clear" w:color="auto" w:fill="FFFFFF"/>
        </w:rPr>
        <w:t>5</w:t>
      </w:r>
    </w:p>
    <w:p w14:paraId="4151D6E1" w14:textId="77777777" w:rsidR="00055FDF" w:rsidRDefault="00055FDF" w:rsidP="00055FDF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50D62059" w14:textId="77777777" w:rsidR="00644217" w:rsidRPr="0033793E" w:rsidRDefault="00644217" w:rsidP="00055FDF">
      <w:pPr>
        <w:jc w:val="center"/>
        <w:rPr>
          <w:rFonts w:ascii="Verdana" w:eastAsia="Malgun Gothic" w:hAnsi="Verdana" w:cs="Arial"/>
          <w:b/>
          <w:lang w:val="el-GR"/>
        </w:rPr>
      </w:pPr>
    </w:p>
    <w:p w14:paraId="7BAD39EB" w14:textId="3F49C805" w:rsidR="00055FDF" w:rsidRPr="00716401" w:rsidRDefault="00055FDF" w:rsidP="00055FDF">
      <w:pPr>
        <w:jc w:val="center"/>
        <w:rPr>
          <w:rFonts w:ascii="Verdana" w:eastAsia="Malgun Gothic" w:hAnsi="Verdana" w:cs="Arial"/>
          <w:b/>
          <w:lang w:val="el-GR"/>
        </w:rPr>
      </w:pPr>
      <w:r>
        <w:rPr>
          <w:rFonts w:ascii="Verdana" w:eastAsia="Malgun Gothic" w:hAnsi="Verdana" w:cs="Arial"/>
          <w:b/>
          <w:lang w:val="el-GR"/>
        </w:rPr>
        <w:t xml:space="preserve">Μεταφορές εντός Κύπρου </w:t>
      </w:r>
      <w:r w:rsidR="00882594">
        <w:rPr>
          <w:rFonts w:ascii="Verdana" w:eastAsia="Malgun Gothic" w:hAnsi="Verdana" w:cs="Arial"/>
          <w:b/>
          <w:lang w:val="el-GR"/>
        </w:rPr>
        <w:t>+0,2</w:t>
      </w:r>
      <w:r>
        <w:rPr>
          <w:rFonts w:ascii="Verdana" w:eastAsia="Malgun Gothic" w:hAnsi="Verdana" w:cs="Arial"/>
          <w:b/>
          <w:lang w:val="el-GR"/>
        </w:rPr>
        <w:t xml:space="preserve">% και από και προς Κύπρο </w:t>
      </w:r>
      <w:r w:rsidR="00091E0E">
        <w:rPr>
          <w:rFonts w:ascii="Verdana" w:eastAsia="Malgun Gothic" w:hAnsi="Verdana" w:cs="Arial"/>
          <w:b/>
          <w:lang w:val="el-GR"/>
        </w:rPr>
        <w:t>+</w:t>
      </w:r>
      <w:r w:rsidR="00882594">
        <w:rPr>
          <w:rFonts w:ascii="Verdana" w:eastAsia="Malgun Gothic" w:hAnsi="Verdana" w:cs="Arial"/>
          <w:b/>
          <w:lang w:val="el-GR"/>
        </w:rPr>
        <w:t>6</w:t>
      </w:r>
      <w:r w:rsidR="00091E0E">
        <w:rPr>
          <w:rFonts w:ascii="Verdana" w:eastAsia="Malgun Gothic" w:hAnsi="Verdana" w:cs="Arial"/>
          <w:b/>
          <w:lang w:val="el-GR"/>
        </w:rPr>
        <w:t>,4</w:t>
      </w:r>
      <w:r>
        <w:rPr>
          <w:rFonts w:ascii="Verdana" w:eastAsia="Malgun Gothic" w:hAnsi="Verdana" w:cs="Arial"/>
          <w:b/>
          <w:lang w:val="el-GR"/>
        </w:rPr>
        <w:t xml:space="preserve">% </w:t>
      </w:r>
    </w:p>
    <w:p w14:paraId="3F93F7D0" w14:textId="77777777" w:rsidR="00055FDF" w:rsidRPr="00AD1654" w:rsidRDefault="00055FDF" w:rsidP="00055FDF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2A96C1C0" w14:textId="34F97E3B" w:rsidR="00055FDF" w:rsidRPr="00E565FC" w:rsidRDefault="00055FDF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Στατιστική Υπηρεσία ανακοινώνει ότι έχει εκδώσει νεότερα στοιχεία για τις οδικές μεταφορές φορτίου για το </w:t>
      </w:r>
      <w:r w:rsidR="00882594">
        <w:rPr>
          <w:rFonts w:ascii="Verdana" w:hAnsi="Verdana"/>
          <w:sz w:val="18"/>
          <w:szCs w:val="18"/>
          <w:shd w:val="clear" w:color="auto" w:fill="FFFFFF"/>
          <w:lang w:val="el-GR"/>
        </w:rPr>
        <w:t>πρώτο</w:t>
      </w: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τρίμη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νο του 202</w:t>
      </w:r>
      <w:r w:rsidR="00882594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493BEC2" w14:textId="77777777" w:rsidR="00055FDF" w:rsidRPr="00E565FC" w:rsidRDefault="00055FDF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30A1AC6" w14:textId="460EAD95" w:rsidR="00055FDF" w:rsidRPr="00E565FC" w:rsidRDefault="00055FDF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περίοδο </w:t>
      </w:r>
      <w:r w:rsidR="00882594"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</w:t>
      </w:r>
      <w:r w:rsidR="00091E0E">
        <w:rPr>
          <w:rFonts w:ascii="Verdana" w:hAnsi="Verdana"/>
          <w:sz w:val="18"/>
          <w:szCs w:val="18"/>
          <w:shd w:val="clear" w:color="auto" w:fill="FFFFFF"/>
          <w:lang w:val="el-GR"/>
        </w:rPr>
        <w:t>-</w:t>
      </w:r>
      <w:r w:rsidR="00882594">
        <w:rPr>
          <w:rFonts w:ascii="Verdana" w:hAnsi="Verdana"/>
          <w:sz w:val="18"/>
          <w:szCs w:val="18"/>
          <w:shd w:val="clear" w:color="auto" w:fill="FFFFFF"/>
          <w:lang w:val="el-GR"/>
        </w:rPr>
        <w:t>Μαρτίου</w:t>
      </w:r>
      <w:r w:rsidR="00C6742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202</w:t>
      </w:r>
      <w:r w:rsidR="00882594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το συνολικό βάρος των προϊόντων που μεταφέρθηκαν οδικώς εντός Κύπρου παρουσίασε </w:t>
      </w:r>
      <w:r w:rsidR="00882594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="0063706F" w:rsidRPr="00776B7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82594">
        <w:rPr>
          <w:rFonts w:ascii="Verdana" w:hAnsi="Verdana"/>
          <w:sz w:val="18"/>
          <w:szCs w:val="18"/>
          <w:shd w:val="clear" w:color="auto" w:fill="FFFFFF"/>
          <w:lang w:val="el-GR"/>
        </w:rPr>
        <w:t>0,2</w:t>
      </w:r>
      <w:r w:rsidRPr="00776B78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σε σύγκριση με την αντίστοιχη περίοδο του 20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882594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ενώ το βάρος του φορτίου που μεταφέρθηκε οδικώς από και προς την Κύπρο σημείωσε </w:t>
      </w:r>
      <w:r w:rsidR="00091E0E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776B7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82594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="001C54E0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091E0E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776B78">
        <w:rPr>
          <w:rFonts w:ascii="Verdana" w:hAnsi="Verdana"/>
          <w:sz w:val="18"/>
          <w:szCs w:val="18"/>
          <w:shd w:val="clear" w:color="auto" w:fill="FFFFFF"/>
          <w:lang w:val="el-GR"/>
        </w:rPr>
        <w:t>%.</w:t>
      </w:r>
    </w:p>
    <w:p w14:paraId="15B21957" w14:textId="77777777" w:rsidR="00055FDF" w:rsidRDefault="00055FDF" w:rsidP="00055FDF">
      <w:pPr>
        <w:jc w:val="both"/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</w:pPr>
    </w:p>
    <w:p w14:paraId="720362F9" w14:textId="77777777" w:rsidR="00E36467" w:rsidRDefault="00E36467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DEB9EC9" w14:textId="07201558" w:rsidR="00055FDF" w:rsidRDefault="00882594" w:rsidP="002D576C">
      <w:pPr>
        <w:jc w:val="center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noProof/>
          <w:sz w:val="18"/>
          <w:szCs w:val="18"/>
          <w:shd w:val="clear" w:color="auto" w:fill="FFFFFF"/>
          <w:lang w:val="en-GB" w:eastAsia="en-GB"/>
        </w:rPr>
        <w:drawing>
          <wp:inline distT="0" distB="0" distL="0" distR="0" wp14:anchorId="355E1318" wp14:editId="0246CC2A">
            <wp:extent cx="6059805" cy="4381127"/>
            <wp:effectExtent l="0" t="0" r="0" b="635"/>
            <wp:docPr id="3937116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956" cy="438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37623B" w14:textId="77777777" w:rsidR="00055FDF" w:rsidRDefault="00055FDF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EC049C6" w14:textId="3D2D76DB" w:rsidR="00055FDF" w:rsidRDefault="00055FDF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2531455" w14:textId="77777777" w:rsidR="008B626F" w:rsidRDefault="008B626F" w:rsidP="00055FD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173728AD" w14:textId="77777777" w:rsidR="00882594" w:rsidRDefault="00882594" w:rsidP="00055FD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02863DFD" w14:textId="77777777" w:rsidR="00882594" w:rsidRPr="002C1BD8" w:rsidRDefault="00882594" w:rsidP="00055FD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D32C8C8" w14:textId="77777777" w:rsidR="00950A79" w:rsidRPr="00950A79" w:rsidRDefault="00950A79" w:rsidP="00950A79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A36FB1E" w14:textId="77777777" w:rsidR="00950A79" w:rsidRPr="00950A79" w:rsidRDefault="00950A79" w:rsidP="00950A79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tbl>
      <w:tblPr>
        <w:tblW w:w="9252" w:type="dxa"/>
        <w:jc w:val="center"/>
        <w:tblLook w:val="04A0" w:firstRow="1" w:lastRow="0" w:firstColumn="1" w:lastColumn="0" w:noHBand="0" w:noVBand="1"/>
      </w:tblPr>
      <w:tblGrid>
        <w:gridCol w:w="3119"/>
        <w:gridCol w:w="1276"/>
        <w:gridCol w:w="511"/>
        <w:gridCol w:w="1214"/>
        <w:gridCol w:w="493"/>
        <w:gridCol w:w="899"/>
        <w:gridCol w:w="1740"/>
      </w:tblGrid>
      <w:tr w:rsidR="005F2670" w:rsidRPr="005F2670" w14:paraId="5EE69B0A" w14:textId="77777777" w:rsidTr="005F2670">
        <w:trPr>
          <w:gridAfter w:val="1"/>
          <w:wAfter w:w="1740" w:type="dxa"/>
          <w:trHeight w:val="480"/>
          <w:jc w:val="center"/>
        </w:trPr>
        <w:tc>
          <w:tcPr>
            <w:tcW w:w="75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7E9F2" w14:textId="77777777" w:rsidR="00F2345B" w:rsidRPr="005F2670" w:rsidRDefault="00F2345B" w:rsidP="00FA7314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5F26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lastRenderedPageBreak/>
              <w:t>Πίνακας 1</w:t>
            </w:r>
          </w:p>
        </w:tc>
      </w:tr>
      <w:tr w:rsidR="005F2670" w:rsidRPr="005F2670" w14:paraId="429C5566" w14:textId="77777777" w:rsidTr="00CC4142">
        <w:trPr>
          <w:trHeight w:val="450"/>
          <w:jc w:val="center"/>
        </w:trPr>
        <w:tc>
          <w:tcPr>
            <w:tcW w:w="3119" w:type="dxa"/>
            <w:vMerge w:val="restart"/>
            <w:tcBorders>
              <w:top w:val="single" w:sz="8" w:space="0" w:color="305496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4FD6BC54" w14:textId="77777777" w:rsidR="00F2345B" w:rsidRPr="005F2670" w:rsidRDefault="00F2345B" w:rsidP="00FA7314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5F26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Οδικές Μεταφορές Φορτίου                                             (χιλιάδες τόνοι)</w:t>
            </w:r>
          </w:p>
        </w:tc>
        <w:tc>
          <w:tcPr>
            <w:tcW w:w="1276" w:type="dxa"/>
            <w:vMerge w:val="restart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vAlign w:val="center"/>
            <w:hideMark/>
          </w:tcPr>
          <w:p w14:paraId="7C03B95B" w14:textId="09D1ADB9" w:rsidR="00F2345B" w:rsidRPr="005F2670" w:rsidRDefault="00F2345B" w:rsidP="00FA7314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5F26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2024</w:t>
            </w:r>
          </w:p>
        </w:tc>
        <w:tc>
          <w:tcPr>
            <w:tcW w:w="511" w:type="dxa"/>
            <w:tcBorders>
              <w:top w:val="single" w:sz="8" w:space="0" w:color="305496"/>
              <w:left w:val="nil"/>
              <w:bottom w:val="nil"/>
              <w:right w:val="nil"/>
            </w:tcBorders>
            <w:vAlign w:val="center"/>
            <w:hideMark/>
          </w:tcPr>
          <w:p w14:paraId="35EAC5E8" w14:textId="77777777" w:rsidR="00F2345B" w:rsidRPr="005F2670" w:rsidRDefault="00F2345B" w:rsidP="00FA7314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5F26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vAlign w:val="center"/>
            <w:hideMark/>
          </w:tcPr>
          <w:p w14:paraId="0AB713DA" w14:textId="100F870A" w:rsidR="00F2345B" w:rsidRPr="005F2670" w:rsidRDefault="00F2345B" w:rsidP="00FA7314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5F26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2025</w:t>
            </w:r>
          </w:p>
        </w:tc>
        <w:tc>
          <w:tcPr>
            <w:tcW w:w="493" w:type="dxa"/>
            <w:tcBorders>
              <w:top w:val="single" w:sz="8" w:space="0" w:color="2F5496"/>
              <w:left w:val="nil"/>
              <w:bottom w:val="nil"/>
              <w:right w:val="nil"/>
            </w:tcBorders>
            <w:vAlign w:val="center"/>
            <w:hideMark/>
          </w:tcPr>
          <w:p w14:paraId="2C813902" w14:textId="77777777" w:rsidR="00F2345B" w:rsidRPr="005F2670" w:rsidRDefault="00F2345B" w:rsidP="00FA7314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5F26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2639" w:type="dxa"/>
            <w:gridSpan w:val="2"/>
            <w:tcBorders>
              <w:top w:val="single" w:sz="8" w:space="0" w:color="366092"/>
              <w:left w:val="nil"/>
              <w:right w:val="nil"/>
            </w:tcBorders>
            <w:vAlign w:val="center"/>
            <w:hideMark/>
          </w:tcPr>
          <w:p w14:paraId="7474DF02" w14:textId="77777777" w:rsidR="00F2345B" w:rsidRPr="005F2670" w:rsidRDefault="00F2345B" w:rsidP="00FA7314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5F26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Ποσοστιαία Μεταβολή</w:t>
            </w:r>
          </w:p>
        </w:tc>
      </w:tr>
      <w:tr w:rsidR="005F2670" w:rsidRPr="005F2670" w14:paraId="7E69AB90" w14:textId="77777777" w:rsidTr="00CC4142">
        <w:trPr>
          <w:trHeight w:val="315"/>
          <w:jc w:val="center"/>
        </w:trPr>
        <w:tc>
          <w:tcPr>
            <w:tcW w:w="3119" w:type="dxa"/>
            <w:vMerge/>
            <w:tcBorders>
              <w:top w:val="single" w:sz="8" w:space="0" w:color="305496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028505B2" w14:textId="77777777" w:rsidR="00F2345B" w:rsidRPr="005F2670" w:rsidRDefault="00F2345B" w:rsidP="00FA7314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6" w:type="dxa"/>
            <w:vMerge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vAlign w:val="center"/>
            <w:hideMark/>
          </w:tcPr>
          <w:p w14:paraId="443836C2" w14:textId="77777777" w:rsidR="00F2345B" w:rsidRPr="005F2670" w:rsidRDefault="00F2345B" w:rsidP="00FA7314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305496"/>
              <w:right w:val="nil"/>
            </w:tcBorders>
            <w:vAlign w:val="center"/>
            <w:hideMark/>
          </w:tcPr>
          <w:p w14:paraId="3B999A0E" w14:textId="77777777" w:rsidR="00F2345B" w:rsidRPr="005F2670" w:rsidRDefault="00F2345B" w:rsidP="00FA7314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5F26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214" w:type="dxa"/>
            <w:vMerge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vAlign w:val="center"/>
            <w:hideMark/>
          </w:tcPr>
          <w:p w14:paraId="0EB7D2F2" w14:textId="77777777" w:rsidR="00F2345B" w:rsidRPr="005F2670" w:rsidRDefault="00F2345B" w:rsidP="00FA7314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448CF" w14:textId="77777777" w:rsidR="00F2345B" w:rsidRPr="005F2670" w:rsidRDefault="00F2345B" w:rsidP="00FA7314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3409FE33" w14:textId="77777777" w:rsidR="00F2345B" w:rsidRPr="005F2670" w:rsidRDefault="00F2345B" w:rsidP="00FA7314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5F26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(%)</w:t>
            </w:r>
          </w:p>
        </w:tc>
      </w:tr>
      <w:tr w:rsidR="005F2670" w:rsidRPr="005F2670" w14:paraId="493702C6" w14:textId="77777777" w:rsidTr="00CC4142">
        <w:trPr>
          <w:trHeight w:val="300"/>
          <w:jc w:val="center"/>
        </w:trPr>
        <w:tc>
          <w:tcPr>
            <w:tcW w:w="3119" w:type="dxa"/>
            <w:vMerge/>
            <w:tcBorders>
              <w:top w:val="single" w:sz="8" w:space="0" w:color="305496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36E7A6A1" w14:textId="77777777" w:rsidR="00F2345B" w:rsidRPr="005F2670" w:rsidRDefault="00F2345B" w:rsidP="00FA7314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6FF036F1" w14:textId="77777777" w:rsidR="00F2345B" w:rsidRPr="005F2670" w:rsidRDefault="00F2345B" w:rsidP="00FA7314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5F26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Ιαν-Μαρ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8AE30" w14:textId="77777777" w:rsidR="00F2345B" w:rsidRPr="005F2670" w:rsidRDefault="00F2345B" w:rsidP="00FA7314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49BF6458" w14:textId="77777777" w:rsidR="00F2345B" w:rsidRPr="005F2670" w:rsidRDefault="00F2345B" w:rsidP="00FA7314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5F26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Ιαν-Μαρ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95604" w14:textId="77777777" w:rsidR="00F2345B" w:rsidRPr="005F2670" w:rsidRDefault="00F2345B" w:rsidP="00FA7314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639" w:type="dxa"/>
            <w:gridSpan w:val="2"/>
            <w:tcBorders>
              <w:top w:val="single" w:sz="8" w:space="0" w:color="366092"/>
              <w:left w:val="nil"/>
              <w:right w:val="nil"/>
            </w:tcBorders>
            <w:vAlign w:val="center"/>
            <w:hideMark/>
          </w:tcPr>
          <w:p w14:paraId="1FE5AD53" w14:textId="1417D8AD" w:rsidR="00F2345B" w:rsidRPr="005F2670" w:rsidRDefault="00F2345B" w:rsidP="00FA7314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5F26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2025/2024</w:t>
            </w:r>
          </w:p>
        </w:tc>
      </w:tr>
      <w:tr w:rsidR="005F2670" w:rsidRPr="005F2670" w14:paraId="77EDF94E" w14:textId="77777777" w:rsidTr="00CC4142">
        <w:trPr>
          <w:trHeight w:val="315"/>
          <w:jc w:val="center"/>
        </w:trPr>
        <w:tc>
          <w:tcPr>
            <w:tcW w:w="3119" w:type="dxa"/>
            <w:vMerge/>
            <w:tcBorders>
              <w:top w:val="single" w:sz="8" w:space="0" w:color="305496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5E72338E" w14:textId="77777777" w:rsidR="00F2345B" w:rsidRPr="005F2670" w:rsidRDefault="00F2345B" w:rsidP="00FA7314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5E30AF51" w14:textId="77777777" w:rsidR="00F2345B" w:rsidRPr="005F2670" w:rsidRDefault="00F2345B" w:rsidP="00FA7314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0CC2A360" w14:textId="77777777" w:rsidR="00F2345B" w:rsidRPr="005F2670" w:rsidRDefault="00F2345B" w:rsidP="00FA7314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5F26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214" w:type="dxa"/>
            <w:vMerge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22025166" w14:textId="77777777" w:rsidR="00F2345B" w:rsidRPr="005F2670" w:rsidRDefault="00F2345B" w:rsidP="00FA7314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98062" w14:textId="77777777" w:rsidR="00F2345B" w:rsidRPr="005F2670" w:rsidRDefault="00F2345B" w:rsidP="00FA7314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77BF10A1" w14:textId="77777777" w:rsidR="00F2345B" w:rsidRPr="005F2670" w:rsidRDefault="00F2345B" w:rsidP="00FA7314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5F26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Ιαν-Μαρ</w:t>
            </w:r>
          </w:p>
        </w:tc>
      </w:tr>
      <w:tr w:rsidR="005F2670" w:rsidRPr="005F2670" w14:paraId="4C76D3AB" w14:textId="77777777" w:rsidTr="00CC4142">
        <w:trPr>
          <w:trHeight w:val="499"/>
          <w:jc w:val="center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7F82193F" w14:textId="77777777" w:rsidR="00F2345B" w:rsidRPr="005F2670" w:rsidRDefault="00F2345B" w:rsidP="00FA7314">
            <w:pPr>
              <w:ind w:firstLineChars="100" w:firstLine="180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  <w:r w:rsidRPr="005F2670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  <w:t>Εντός Κύπρου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3D0F8617" w14:textId="36F93920" w:rsidR="00F2345B" w:rsidRPr="005F2670" w:rsidRDefault="00F2345B" w:rsidP="00FA7314">
            <w:pPr>
              <w:ind w:firstLineChars="100" w:firstLine="180"/>
              <w:jc w:val="center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</w:pPr>
            <w:r w:rsidRPr="005F2670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10.863,5</w:t>
            </w:r>
          </w:p>
        </w:tc>
        <w:tc>
          <w:tcPr>
            <w:tcW w:w="511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1797F21B" w14:textId="77777777" w:rsidR="00F2345B" w:rsidRPr="005F2670" w:rsidRDefault="00F2345B" w:rsidP="00FA7314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14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3B2FAFCE" w14:textId="1BE6FFC6" w:rsidR="00F2345B" w:rsidRPr="005F2670" w:rsidRDefault="00F2345B" w:rsidP="00FA7314">
            <w:pPr>
              <w:ind w:firstLineChars="100" w:firstLine="180"/>
              <w:jc w:val="center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</w:pPr>
            <w:r w:rsidRPr="005F2670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  <w:t>10.</w:t>
            </w:r>
            <w:r w:rsidRPr="005F2670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8</w:t>
            </w:r>
            <w:r w:rsidRPr="005F2670"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  <w:t>82</w:t>
            </w:r>
            <w:r w:rsidRPr="005F2670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,</w:t>
            </w:r>
            <w:r w:rsidRPr="005F2670"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2F783BF1" w14:textId="77777777" w:rsidR="00F2345B" w:rsidRPr="005F2670" w:rsidRDefault="00F2345B" w:rsidP="00FA7314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639" w:type="dxa"/>
            <w:gridSpan w:val="2"/>
            <w:tcBorders>
              <w:top w:val="single" w:sz="8" w:space="0" w:color="366092"/>
              <w:left w:val="nil"/>
              <w:right w:val="nil"/>
            </w:tcBorders>
            <w:vAlign w:val="center"/>
            <w:hideMark/>
          </w:tcPr>
          <w:p w14:paraId="32A058AE" w14:textId="3CE61618" w:rsidR="00F2345B" w:rsidRPr="005F2670" w:rsidRDefault="00882594" w:rsidP="00FA7314">
            <w:pPr>
              <w:jc w:val="center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</w:pPr>
            <w:r w:rsidRPr="005F2670"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  <w:t>0,2</w:t>
            </w:r>
          </w:p>
        </w:tc>
      </w:tr>
      <w:tr w:rsidR="005F2670" w:rsidRPr="005F2670" w14:paraId="65AB444F" w14:textId="77777777" w:rsidTr="00CC4142">
        <w:trPr>
          <w:trHeight w:val="499"/>
          <w:jc w:val="center"/>
        </w:trPr>
        <w:tc>
          <w:tcPr>
            <w:tcW w:w="3119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05A31367" w14:textId="77777777" w:rsidR="00F2345B" w:rsidRPr="005F2670" w:rsidRDefault="00F2345B" w:rsidP="00FA7314">
            <w:pPr>
              <w:ind w:firstLineChars="100" w:firstLine="180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  <w:r w:rsidRPr="005F2670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  <w:t xml:space="preserve">Από και προς την Κύπρο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5C2C0672" w14:textId="077F9941" w:rsidR="00F2345B" w:rsidRPr="005F2670" w:rsidRDefault="00F2345B" w:rsidP="00FA7314">
            <w:pPr>
              <w:ind w:firstLineChars="100" w:firstLine="180"/>
              <w:jc w:val="center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</w:pPr>
            <w:r w:rsidRPr="005F2670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 xml:space="preserve">        9,</w:t>
            </w:r>
            <w:r w:rsidRPr="005F2670"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20002DD1" w14:textId="77777777" w:rsidR="00F2345B" w:rsidRPr="005F2670" w:rsidRDefault="00F2345B" w:rsidP="00FA7314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  <w:r w:rsidRPr="005F2670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41EA5BB4" w14:textId="3E613C3D" w:rsidR="00F2345B" w:rsidRPr="005F2670" w:rsidRDefault="00F2345B" w:rsidP="00FA7314">
            <w:pPr>
              <w:ind w:firstLineChars="100" w:firstLine="180"/>
              <w:jc w:val="center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</w:pPr>
            <w:r w:rsidRPr="005F2670"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  <w:t xml:space="preserve">      10,1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56CCEBBF" w14:textId="77777777" w:rsidR="00F2345B" w:rsidRPr="005F2670" w:rsidRDefault="00F2345B" w:rsidP="00FA7314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  <w:r w:rsidRPr="005F2670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0E7CD2AF" w14:textId="281E67A3" w:rsidR="00F2345B" w:rsidRPr="005F2670" w:rsidRDefault="00F2345B" w:rsidP="00FA7314">
            <w:pPr>
              <w:jc w:val="center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</w:pPr>
            <w:r w:rsidRPr="005F2670"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  <w:t>6,4</w:t>
            </w:r>
          </w:p>
        </w:tc>
      </w:tr>
      <w:tr w:rsidR="005F2670" w:rsidRPr="005F2670" w14:paraId="1590F29A" w14:textId="77777777" w:rsidTr="00CC4142">
        <w:trPr>
          <w:trHeight w:val="300"/>
          <w:jc w:val="center"/>
        </w:trPr>
        <w:tc>
          <w:tcPr>
            <w:tcW w:w="3119" w:type="dxa"/>
            <w:tcBorders>
              <w:top w:val="single" w:sz="8" w:space="0" w:color="366092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88880" w14:textId="77777777" w:rsidR="00F2345B" w:rsidRPr="005F2670" w:rsidRDefault="00F2345B" w:rsidP="00FA7314">
            <w:pPr>
              <w:jc w:val="center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6" w:type="dxa"/>
            <w:tcBorders>
              <w:top w:val="single" w:sz="8" w:space="0" w:color="366092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995BB" w14:textId="77777777" w:rsidR="00F2345B" w:rsidRPr="005F2670" w:rsidRDefault="00F2345B" w:rsidP="00FA7314">
            <w:pPr>
              <w:rPr>
                <w:rFonts w:ascii="Times New Roman" w:eastAsia="Times New Roman" w:hAnsi="Times New Roman"/>
                <w:color w:val="366092"/>
                <w:sz w:val="20"/>
                <w:szCs w:val="20"/>
                <w:lang w:val="en-CY" w:eastAsia="en-CY" w:bidi="he-IL"/>
              </w:rPr>
            </w:pPr>
          </w:p>
        </w:tc>
        <w:tc>
          <w:tcPr>
            <w:tcW w:w="511" w:type="dxa"/>
            <w:tcBorders>
              <w:top w:val="single" w:sz="8" w:space="0" w:color="366092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1EAE4" w14:textId="77777777" w:rsidR="00F2345B" w:rsidRPr="005F2670" w:rsidRDefault="00F2345B" w:rsidP="00FA7314">
            <w:pPr>
              <w:rPr>
                <w:rFonts w:ascii="Times New Roman" w:eastAsia="Times New Roman" w:hAnsi="Times New Roman"/>
                <w:color w:val="366092"/>
                <w:sz w:val="20"/>
                <w:szCs w:val="20"/>
                <w:lang w:val="en-CY" w:eastAsia="en-CY" w:bidi="he-IL"/>
              </w:rPr>
            </w:pPr>
          </w:p>
        </w:tc>
        <w:tc>
          <w:tcPr>
            <w:tcW w:w="1214" w:type="dxa"/>
            <w:tcBorders>
              <w:top w:val="single" w:sz="8" w:space="0" w:color="366092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D235E" w14:textId="77777777" w:rsidR="00F2345B" w:rsidRPr="005F2670" w:rsidRDefault="00F2345B" w:rsidP="00FA7314">
            <w:pPr>
              <w:rPr>
                <w:rFonts w:eastAsia="Times New Roman" w:cs="Calibri"/>
                <w:color w:val="366092"/>
                <w:sz w:val="18"/>
                <w:szCs w:val="18"/>
                <w:lang w:val="en-CY" w:eastAsia="en-CY" w:bidi="he-IL"/>
              </w:rPr>
            </w:pPr>
            <w:r w:rsidRPr="005F2670">
              <w:rPr>
                <w:rFonts w:eastAsia="Times New Roman" w:cs="Calibri"/>
                <w:color w:val="366092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493" w:type="dxa"/>
            <w:tcBorders>
              <w:top w:val="single" w:sz="8" w:space="0" w:color="366092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28E42" w14:textId="77777777" w:rsidR="00F2345B" w:rsidRPr="005F2670" w:rsidRDefault="00F2345B" w:rsidP="00FA7314">
            <w:pPr>
              <w:rPr>
                <w:rFonts w:eastAsia="Times New Roman" w:cs="Calibri"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639" w:type="dxa"/>
            <w:gridSpan w:val="2"/>
            <w:tcBorders>
              <w:top w:val="single" w:sz="8" w:space="0" w:color="366092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87442" w14:textId="77777777" w:rsidR="00F2345B" w:rsidRPr="005F2670" w:rsidRDefault="00F2345B" w:rsidP="00FA7314">
            <w:pPr>
              <w:rPr>
                <w:rFonts w:eastAsia="Times New Roman" w:cs="Calibri"/>
                <w:color w:val="366092"/>
                <w:sz w:val="18"/>
                <w:szCs w:val="18"/>
                <w:lang w:val="en-CY" w:eastAsia="en-CY" w:bidi="he-IL"/>
              </w:rPr>
            </w:pPr>
            <w:r w:rsidRPr="005F2670">
              <w:rPr>
                <w:rFonts w:eastAsia="Times New Roman" w:cs="Calibri"/>
                <w:color w:val="366092"/>
                <w:sz w:val="18"/>
                <w:szCs w:val="18"/>
                <w:lang w:val="en-CY" w:eastAsia="en-CY" w:bidi="he-IL"/>
              </w:rPr>
              <w:t> </w:t>
            </w:r>
          </w:p>
        </w:tc>
      </w:tr>
      <w:tr w:rsidR="005F2670" w:rsidRPr="005F2670" w14:paraId="6A5A58B1" w14:textId="77777777" w:rsidTr="005F2670">
        <w:trPr>
          <w:trHeight w:val="300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B7C3A0" w14:textId="77777777" w:rsidR="00F2345B" w:rsidRPr="005F2670" w:rsidRDefault="00F2345B" w:rsidP="00FA7314">
            <w:pPr>
              <w:rPr>
                <w:rFonts w:eastAsia="Times New Roman" w:cs="Calibri"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D8CE7B" w14:textId="77777777" w:rsidR="00F2345B" w:rsidRPr="005F2670" w:rsidRDefault="00F2345B" w:rsidP="00FA7314">
            <w:pPr>
              <w:jc w:val="center"/>
              <w:rPr>
                <w:rFonts w:ascii="Times New Roman" w:eastAsia="Times New Roman" w:hAnsi="Times New Roman"/>
                <w:color w:val="366092"/>
                <w:sz w:val="20"/>
                <w:szCs w:val="20"/>
                <w:lang w:val="en-CY" w:eastAsia="en-CY" w:bidi="he-I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761A2D" w14:textId="77777777" w:rsidR="00F2345B" w:rsidRPr="005F2670" w:rsidRDefault="00F2345B" w:rsidP="00FA7314">
            <w:pPr>
              <w:rPr>
                <w:rFonts w:ascii="Times New Roman" w:eastAsia="Times New Roman" w:hAnsi="Times New Roman"/>
                <w:color w:val="366092"/>
                <w:sz w:val="20"/>
                <w:szCs w:val="20"/>
                <w:lang w:val="en-CY" w:eastAsia="en-CY" w:bidi="he-I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D713DB" w14:textId="77777777" w:rsidR="00F2345B" w:rsidRPr="005F2670" w:rsidRDefault="00F2345B" w:rsidP="00FA7314">
            <w:pPr>
              <w:rPr>
                <w:rFonts w:ascii="Times New Roman" w:eastAsia="Times New Roman" w:hAnsi="Times New Roman"/>
                <w:color w:val="366092"/>
                <w:sz w:val="20"/>
                <w:szCs w:val="20"/>
                <w:lang w:val="en-CY" w:eastAsia="en-CY" w:bidi="he-IL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21746E" w14:textId="77777777" w:rsidR="00F2345B" w:rsidRPr="005F2670" w:rsidRDefault="00F2345B" w:rsidP="00FA7314">
            <w:pPr>
              <w:rPr>
                <w:rFonts w:ascii="Times New Roman" w:eastAsia="Times New Roman" w:hAnsi="Times New Roman"/>
                <w:color w:val="366092"/>
                <w:sz w:val="20"/>
                <w:szCs w:val="20"/>
                <w:lang w:val="en-CY" w:eastAsia="en-CY" w:bidi="he-IL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7C5876" w14:textId="77777777" w:rsidR="00F2345B" w:rsidRPr="005F2670" w:rsidRDefault="00F2345B" w:rsidP="00FA7314">
            <w:pPr>
              <w:rPr>
                <w:rFonts w:ascii="Times New Roman" w:eastAsia="Times New Roman" w:hAnsi="Times New Roman"/>
                <w:color w:val="366092"/>
                <w:sz w:val="20"/>
                <w:szCs w:val="20"/>
                <w:lang w:val="en-CY" w:eastAsia="en-CY" w:bidi="he-IL"/>
              </w:rPr>
            </w:pPr>
          </w:p>
        </w:tc>
      </w:tr>
      <w:tr w:rsidR="005F2670" w:rsidRPr="005F2670" w14:paraId="05B4165F" w14:textId="77777777" w:rsidTr="005F2670">
        <w:trPr>
          <w:trHeight w:val="480"/>
          <w:jc w:val="center"/>
        </w:trPr>
        <w:tc>
          <w:tcPr>
            <w:tcW w:w="6120" w:type="dxa"/>
            <w:gridSpan w:val="4"/>
            <w:tcBorders>
              <w:top w:val="nil"/>
              <w:left w:val="nil"/>
              <w:bottom w:val="single" w:sz="8" w:space="0" w:color="305496"/>
              <w:right w:val="nil"/>
            </w:tcBorders>
            <w:vAlign w:val="center"/>
            <w:hideMark/>
          </w:tcPr>
          <w:p w14:paraId="2709767D" w14:textId="77777777" w:rsidR="00F2345B" w:rsidRPr="005F2670" w:rsidRDefault="00F2345B" w:rsidP="00FA7314">
            <w:pPr>
              <w:jc w:val="both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</w:p>
          <w:p w14:paraId="31135A60" w14:textId="77777777" w:rsidR="00F2345B" w:rsidRPr="005F2670" w:rsidRDefault="00F2345B" w:rsidP="00FA7314">
            <w:pPr>
              <w:jc w:val="both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</w:p>
          <w:p w14:paraId="4E7EDADC" w14:textId="77777777" w:rsidR="00F2345B" w:rsidRPr="005F2670" w:rsidRDefault="00F2345B" w:rsidP="00FA7314">
            <w:pPr>
              <w:jc w:val="both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</w:p>
          <w:p w14:paraId="739EF66C" w14:textId="77777777" w:rsidR="00F2345B" w:rsidRPr="005F2670" w:rsidRDefault="00F2345B" w:rsidP="00FA7314">
            <w:pPr>
              <w:jc w:val="both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5F26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Πίνακας 2</w:t>
            </w:r>
          </w:p>
          <w:p w14:paraId="34607888" w14:textId="77777777" w:rsidR="00F2345B" w:rsidRPr="005F2670" w:rsidRDefault="00F2345B" w:rsidP="00FA7314">
            <w:pPr>
              <w:jc w:val="both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305496"/>
              <w:right w:val="nil"/>
            </w:tcBorders>
            <w:vAlign w:val="center"/>
            <w:hideMark/>
          </w:tcPr>
          <w:p w14:paraId="73FCD770" w14:textId="77777777" w:rsidR="00F2345B" w:rsidRPr="005F2670" w:rsidRDefault="00F2345B" w:rsidP="00FA7314">
            <w:pPr>
              <w:jc w:val="both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5F26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305496"/>
              <w:right w:val="nil"/>
            </w:tcBorders>
            <w:vAlign w:val="center"/>
            <w:hideMark/>
          </w:tcPr>
          <w:p w14:paraId="45E1E251" w14:textId="77777777" w:rsidR="00F2345B" w:rsidRPr="005F2670" w:rsidRDefault="00F2345B" w:rsidP="00FA7314">
            <w:pPr>
              <w:jc w:val="both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5F26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 </w:t>
            </w:r>
          </w:p>
        </w:tc>
      </w:tr>
      <w:tr w:rsidR="005F2670" w:rsidRPr="005F2670" w14:paraId="6627F6E8" w14:textId="77777777" w:rsidTr="00CC4142">
        <w:trPr>
          <w:trHeight w:val="450"/>
          <w:jc w:val="center"/>
        </w:trPr>
        <w:tc>
          <w:tcPr>
            <w:tcW w:w="3119" w:type="dxa"/>
            <w:vMerge w:val="restart"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68CADEED" w14:textId="77777777" w:rsidR="00F2345B" w:rsidRPr="005F2670" w:rsidRDefault="00F2345B" w:rsidP="00FA7314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5F26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Οδικές Μεταφορές Φορτίου                                (εκ. τονοχιλιόμετρα)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305496"/>
              <w:right w:val="nil"/>
            </w:tcBorders>
            <w:vAlign w:val="center"/>
            <w:hideMark/>
          </w:tcPr>
          <w:p w14:paraId="49D70E94" w14:textId="3E2BAD27" w:rsidR="00F2345B" w:rsidRPr="005F2670" w:rsidRDefault="00F2345B" w:rsidP="00FA7314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5F26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2024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70D7E" w14:textId="77777777" w:rsidR="00F2345B" w:rsidRPr="005F2670" w:rsidRDefault="00F2345B" w:rsidP="00FA7314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5F26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214" w:type="dxa"/>
            <w:vMerge w:val="restart"/>
            <w:tcBorders>
              <w:top w:val="nil"/>
              <w:left w:val="nil"/>
              <w:bottom w:val="single" w:sz="8" w:space="0" w:color="305496"/>
              <w:right w:val="nil"/>
            </w:tcBorders>
            <w:vAlign w:val="center"/>
            <w:hideMark/>
          </w:tcPr>
          <w:p w14:paraId="58AD90C9" w14:textId="562E4117" w:rsidR="00F2345B" w:rsidRPr="005F2670" w:rsidRDefault="00F2345B" w:rsidP="00FA7314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5F26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2025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84C15" w14:textId="77777777" w:rsidR="00F2345B" w:rsidRPr="005F2670" w:rsidRDefault="00F2345B" w:rsidP="00FA7314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right w:val="nil"/>
            </w:tcBorders>
            <w:vAlign w:val="center"/>
            <w:hideMark/>
          </w:tcPr>
          <w:p w14:paraId="0EAB8C09" w14:textId="77777777" w:rsidR="00F2345B" w:rsidRPr="005F2670" w:rsidRDefault="00F2345B" w:rsidP="00FA7314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5F26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Ποσοστιαία Μεταβολή</w:t>
            </w:r>
          </w:p>
        </w:tc>
      </w:tr>
      <w:tr w:rsidR="005F2670" w:rsidRPr="005F2670" w14:paraId="6D1BE08A" w14:textId="77777777" w:rsidTr="00CC4142">
        <w:trPr>
          <w:trHeight w:val="315"/>
          <w:jc w:val="center"/>
        </w:trPr>
        <w:tc>
          <w:tcPr>
            <w:tcW w:w="3119" w:type="dxa"/>
            <w:vMerge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2638009E" w14:textId="77777777" w:rsidR="00F2345B" w:rsidRPr="005F2670" w:rsidRDefault="00F2345B" w:rsidP="00FA7314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305496"/>
              <w:right w:val="nil"/>
            </w:tcBorders>
            <w:vAlign w:val="center"/>
            <w:hideMark/>
          </w:tcPr>
          <w:p w14:paraId="4D7C7B2C" w14:textId="77777777" w:rsidR="00F2345B" w:rsidRPr="005F2670" w:rsidRDefault="00F2345B" w:rsidP="00FA7314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305496"/>
              <w:right w:val="nil"/>
            </w:tcBorders>
            <w:vAlign w:val="center"/>
          </w:tcPr>
          <w:p w14:paraId="3B8E35A7" w14:textId="77777777" w:rsidR="00F2345B" w:rsidRPr="005F2670" w:rsidRDefault="00F2345B" w:rsidP="00FA7314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14" w:type="dxa"/>
            <w:vMerge/>
            <w:tcBorders>
              <w:top w:val="nil"/>
              <w:left w:val="nil"/>
              <w:bottom w:val="single" w:sz="8" w:space="0" w:color="305496"/>
              <w:right w:val="nil"/>
            </w:tcBorders>
            <w:vAlign w:val="center"/>
            <w:hideMark/>
          </w:tcPr>
          <w:p w14:paraId="59AD2C5F" w14:textId="77777777" w:rsidR="00F2345B" w:rsidRPr="005F2670" w:rsidRDefault="00F2345B" w:rsidP="00FA7314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C1725" w14:textId="77777777" w:rsidR="00F2345B" w:rsidRPr="005F2670" w:rsidRDefault="00F2345B" w:rsidP="00FA7314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060D018" w14:textId="77777777" w:rsidR="00F2345B" w:rsidRPr="005F2670" w:rsidRDefault="00F2345B" w:rsidP="00FA7314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5F26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(%)</w:t>
            </w:r>
          </w:p>
        </w:tc>
      </w:tr>
      <w:tr w:rsidR="005F2670" w:rsidRPr="005F2670" w14:paraId="02B9D90D" w14:textId="77777777" w:rsidTr="00CC4142">
        <w:trPr>
          <w:trHeight w:val="300"/>
          <w:jc w:val="center"/>
        </w:trPr>
        <w:tc>
          <w:tcPr>
            <w:tcW w:w="3119" w:type="dxa"/>
            <w:vMerge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6181F455" w14:textId="77777777" w:rsidR="00F2345B" w:rsidRPr="005F2670" w:rsidRDefault="00F2345B" w:rsidP="00FA7314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518757CA" w14:textId="77777777" w:rsidR="00F2345B" w:rsidRPr="005F2670" w:rsidRDefault="00F2345B" w:rsidP="00FA7314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5F26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Ιαν-Μαρ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FC456" w14:textId="77777777" w:rsidR="00F2345B" w:rsidRPr="005F2670" w:rsidRDefault="00F2345B" w:rsidP="00FA7314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395BFCEC" w14:textId="77777777" w:rsidR="00F2345B" w:rsidRPr="005F2670" w:rsidRDefault="00F2345B" w:rsidP="00FA7314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5F26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Ιαν-Μαρ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02AFDF" w14:textId="77777777" w:rsidR="00F2345B" w:rsidRPr="005F2670" w:rsidRDefault="00F2345B" w:rsidP="00FA7314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639" w:type="dxa"/>
            <w:gridSpan w:val="2"/>
            <w:tcBorders>
              <w:top w:val="single" w:sz="8" w:space="0" w:color="366092"/>
              <w:left w:val="nil"/>
              <w:right w:val="nil"/>
            </w:tcBorders>
            <w:vAlign w:val="center"/>
            <w:hideMark/>
          </w:tcPr>
          <w:p w14:paraId="1721B217" w14:textId="0953FBAF" w:rsidR="00F2345B" w:rsidRPr="005F2670" w:rsidRDefault="00F2345B" w:rsidP="00FA7314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</w:pPr>
            <w:r w:rsidRPr="005F26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2025/2024</w:t>
            </w:r>
          </w:p>
        </w:tc>
      </w:tr>
      <w:tr w:rsidR="005F2670" w:rsidRPr="005F2670" w14:paraId="6381BA97" w14:textId="77777777" w:rsidTr="00CC4142">
        <w:trPr>
          <w:trHeight w:val="315"/>
          <w:jc w:val="center"/>
        </w:trPr>
        <w:tc>
          <w:tcPr>
            <w:tcW w:w="3119" w:type="dxa"/>
            <w:vMerge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2EC88025" w14:textId="77777777" w:rsidR="00F2345B" w:rsidRPr="005F2670" w:rsidRDefault="00F2345B" w:rsidP="00FA7314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5CE8DCAA" w14:textId="77777777" w:rsidR="00F2345B" w:rsidRPr="005F2670" w:rsidRDefault="00F2345B" w:rsidP="00FA7314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6C6652B3" w14:textId="77777777" w:rsidR="00F2345B" w:rsidRPr="005F2670" w:rsidRDefault="00F2345B" w:rsidP="00FA7314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5F26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214" w:type="dxa"/>
            <w:vMerge/>
            <w:tcBorders>
              <w:top w:val="nil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2C7FA147" w14:textId="77777777" w:rsidR="00F2345B" w:rsidRPr="005F2670" w:rsidRDefault="00F2345B" w:rsidP="00FA7314">
            <w:pPr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AEB33" w14:textId="77777777" w:rsidR="00F2345B" w:rsidRPr="005F2670" w:rsidRDefault="00F2345B" w:rsidP="00FA7314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35FDC52A" w14:textId="77777777" w:rsidR="00F2345B" w:rsidRPr="005F2670" w:rsidRDefault="00F2345B" w:rsidP="00FA7314">
            <w:pPr>
              <w:jc w:val="center"/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</w:pPr>
            <w:r w:rsidRPr="005F2670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Ιαν-Μαρ</w:t>
            </w:r>
          </w:p>
        </w:tc>
      </w:tr>
      <w:tr w:rsidR="005F2670" w:rsidRPr="005F2670" w14:paraId="27C2DA4C" w14:textId="77777777" w:rsidTr="00CC4142">
        <w:trPr>
          <w:trHeight w:val="499"/>
          <w:jc w:val="center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02E02700" w14:textId="77777777" w:rsidR="00F2345B" w:rsidRPr="005F2670" w:rsidRDefault="00F2345B" w:rsidP="00FA7314">
            <w:pPr>
              <w:ind w:firstLineChars="100" w:firstLine="180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  <w:r w:rsidRPr="005F2670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  <w:t>Εντός Κύπρου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6C44CCF1" w14:textId="0A3C7FC8" w:rsidR="00F2345B" w:rsidRPr="005F2670" w:rsidRDefault="00F2345B" w:rsidP="00FA7314">
            <w:pPr>
              <w:ind w:firstLineChars="100" w:firstLine="180"/>
              <w:jc w:val="center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  <w:r w:rsidRPr="005F2670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  <w:t>249,4</w:t>
            </w:r>
          </w:p>
        </w:tc>
        <w:tc>
          <w:tcPr>
            <w:tcW w:w="511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26771E42" w14:textId="77777777" w:rsidR="00F2345B" w:rsidRPr="005F2670" w:rsidRDefault="00F2345B" w:rsidP="00FA7314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14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42D09953" w14:textId="3ECED8BB" w:rsidR="00F2345B" w:rsidRPr="005F2670" w:rsidRDefault="00F2345B" w:rsidP="00FA7314">
            <w:pPr>
              <w:ind w:firstLineChars="100" w:firstLine="180"/>
              <w:jc w:val="center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</w:pPr>
            <w:r w:rsidRPr="005F2670"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  <w:t>270,8</w:t>
            </w:r>
          </w:p>
        </w:tc>
        <w:tc>
          <w:tcPr>
            <w:tcW w:w="493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5796ECB4" w14:textId="77777777" w:rsidR="00F2345B" w:rsidRPr="005F2670" w:rsidRDefault="00F2345B" w:rsidP="00FA7314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639" w:type="dxa"/>
            <w:gridSpan w:val="2"/>
            <w:tcBorders>
              <w:top w:val="single" w:sz="8" w:space="0" w:color="366092"/>
              <w:left w:val="nil"/>
              <w:right w:val="nil"/>
            </w:tcBorders>
            <w:vAlign w:val="center"/>
            <w:hideMark/>
          </w:tcPr>
          <w:p w14:paraId="54039047" w14:textId="30400D87" w:rsidR="00F2345B" w:rsidRPr="005F2670" w:rsidRDefault="00882594" w:rsidP="00FA7314">
            <w:pPr>
              <w:jc w:val="center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</w:pPr>
            <w:r w:rsidRPr="005F2670"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  <w:t xml:space="preserve"> 8,6</w:t>
            </w:r>
          </w:p>
        </w:tc>
      </w:tr>
      <w:tr w:rsidR="005F2670" w:rsidRPr="005F2670" w14:paraId="17FAE071" w14:textId="77777777" w:rsidTr="00CC4142">
        <w:trPr>
          <w:trHeight w:val="499"/>
          <w:jc w:val="center"/>
        </w:trPr>
        <w:tc>
          <w:tcPr>
            <w:tcW w:w="3119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793D5BAA" w14:textId="77777777" w:rsidR="00F2345B" w:rsidRPr="005F2670" w:rsidRDefault="00F2345B" w:rsidP="00FA7314">
            <w:pPr>
              <w:ind w:firstLineChars="100" w:firstLine="180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  <w:r w:rsidRPr="005F2670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  <w:t xml:space="preserve">Από και προς την Κύπρο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41F28297" w14:textId="543976A7" w:rsidR="00F2345B" w:rsidRPr="005F2670" w:rsidRDefault="00F2345B" w:rsidP="00FA7314">
            <w:pPr>
              <w:ind w:firstLineChars="100" w:firstLine="180"/>
              <w:jc w:val="center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  <w:r w:rsidRPr="005F2670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 xml:space="preserve">    </w:t>
            </w:r>
            <w:r w:rsidRPr="005F2670"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  <w:t>9,1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0F88C22F" w14:textId="77777777" w:rsidR="00F2345B" w:rsidRPr="005F2670" w:rsidRDefault="00F2345B" w:rsidP="00FA7314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  <w:r w:rsidRPr="005F2670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0C8E4B10" w14:textId="317E4568" w:rsidR="00F2345B" w:rsidRPr="005F2670" w:rsidRDefault="00F2345B" w:rsidP="00FA7314">
            <w:pPr>
              <w:ind w:firstLineChars="100" w:firstLine="180"/>
              <w:jc w:val="center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</w:pPr>
            <w:r w:rsidRPr="005F2670"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  <w:t xml:space="preserve">  10,3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49E24AF3" w14:textId="77777777" w:rsidR="00F2345B" w:rsidRPr="005F2670" w:rsidRDefault="00F2345B" w:rsidP="00FA7314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</w:pPr>
            <w:r w:rsidRPr="005F2670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09623794" w14:textId="2977A5A4" w:rsidR="00F2345B" w:rsidRPr="005F2670" w:rsidRDefault="00F2345B" w:rsidP="00FA7314">
            <w:pPr>
              <w:jc w:val="center"/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</w:pPr>
            <w:r w:rsidRPr="005F2670">
              <w:rPr>
                <w:rFonts w:ascii="Verdana" w:eastAsia="Times New Roman" w:hAnsi="Verdana" w:cs="Calibri"/>
                <w:color w:val="366092"/>
                <w:sz w:val="18"/>
                <w:szCs w:val="18"/>
                <w:lang w:eastAsia="en-CY" w:bidi="he-IL"/>
              </w:rPr>
              <w:t>12,5</w:t>
            </w:r>
          </w:p>
        </w:tc>
      </w:tr>
    </w:tbl>
    <w:p w14:paraId="03B2BE56" w14:textId="77777777" w:rsidR="00950A79" w:rsidRDefault="00950A79" w:rsidP="00950A79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1EC81B27" w14:textId="1A4C7F0C" w:rsidR="00055FDF" w:rsidRPr="00AD1654" w:rsidRDefault="00055FDF" w:rsidP="00055FDF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950A79">
        <w:rPr>
          <w:rFonts w:ascii="Verdana" w:eastAsia="Malgun Gothic" w:hAnsi="Verdana" w:cs="Arial"/>
          <w:sz w:val="18"/>
          <w:szCs w:val="18"/>
          <w:lang w:val="el-GR"/>
        </w:rPr>
        <w:br w:type="page"/>
      </w:r>
      <w:r w:rsidRPr="00AD165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7DC67B75" w14:textId="77777777" w:rsidR="00055FDF" w:rsidRPr="00AE0687" w:rsidRDefault="00055FDF" w:rsidP="00055FD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27B44F8" w14:textId="11DD5775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F15933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2D576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F15933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0E11B58A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86E21A2" w14:textId="5FFE22B5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>Σκοπός της Έρευνας Οδικών Μεταφορών</w:t>
      </w:r>
      <w:r w:rsidRPr="00B90A3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Φορτίου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είναι η συλλογή στατιστικών στοιχείων σχετικά με τις μεταφορές εμπορευμάτων που εκτελούνται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οδικώς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εντός Κύπρου ή από και προς την Κύπρο με μηχανοκίνητα οδικά μέσα μεταφοράς</w:t>
      </w:r>
      <w:r w:rsidR="00EE6A7D" w:rsidRPr="00EE6A7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r w:rsidR="00EE6A7D">
        <w:rPr>
          <w:rFonts w:ascii="Verdana" w:hAnsi="Verdana"/>
          <w:sz w:val="18"/>
          <w:szCs w:val="18"/>
          <w:shd w:val="clear" w:color="auto" w:fill="FFFFFF"/>
          <w:lang w:val="el-GR"/>
        </w:rPr>
        <w:t>Αφορά αποκλειστικά και μόνο οχήματα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εγγεγραμμένα </w:t>
      </w:r>
      <w:r w:rsidR="00EE6A7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στην Κύπρο, 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>στο Τμήμα Οδικών Μεταφορών.</w:t>
      </w:r>
    </w:p>
    <w:p w14:paraId="140D2E07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8AB84C7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C7C5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Για τις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μ</w:t>
      </w:r>
      <w:r w:rsidRPr="006C7C5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εταφορές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6C7C51">
        <w:rPr>
          <w:rFonts w:ascii="Verdana" w:hAnsi="Verdana"/>
          <w:sz w:val="18"/>
          <w:szCs w:val="18"/>
          <w:shd w:val="clear" w:color="auto" w:fill="FFFFFF"/>
          <w:lang w:val="el-GR"/>
        </w:rPr>
        <w:t>σωτερικού επιλέγεται δείγμα από τον κατάλογο των εγγεγραμμένων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φορτηγών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Καλύπτονται οι 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>οδικές μεταφορές φορτίου που γίνονται από οχήματα με ωφέλιμο φορτίο πάνω από 3 τόνους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Το δείγμα 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χωρίζεται σε 9 κατηγορίες ανάλογα με το </w:t>
      </w:r>
      <w:r w:rsidRPr="00B90A3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ωφέλιμο φορτίο του οχήματος και τον τύπο της μεταφοράς (δημόσιας ή ιδιωτικής χρήσης) και καλύπτει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καθεμιά από τις 52 εβδομάδες του έτους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4711B603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D806443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C7C5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μ</w:t>
      </w:r>
      <w:r w:rsidRPr="006C7C5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εταφορές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6C7C51">
        <w:rPr>
          <w:rFonts w:ascii="Verdana" w:hAnsi="Verdana"/>
          <w:sz w:val="18"/>
          <w:szCs w:val="18"/>
          <w:shd w:val="clear" w:color="auto" w:fill="FFFFFF"/>
          <w:lang w:val="el-GR"/>
        </w:rPr>
        <w:t>ξωτερικού καλύπτουν όλες τις οδικές μεταφορές φορτίου που γίνονται από και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προς την Κύπρο, κατά τη διάρκεια του χρόνου.</w:t>
      </w:r>
    </w:p>
    <w:p w14:paraId="119329A5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5B16779" w14:textId="77777777" w:rsidR="00055FDF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στοιχεία που καταρτίζονται αποστέλλονται στη </w:t>
      </w:r>
      <w:proofErr w:type="spellStart"/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>Eurostat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σύμφωνα με τον Κανονισμό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(ΕΕ) αριθ. 70/2012 σχετικά με τις στατιστικές καταγραφές των οδικών μεταφορών εμπορευμάτων.</w:t>
      </w:r>
    </w:p>
    <w:p w14:paraId="11DB6035" w14:textId="77777777" w:rsidR="00055FDF" w:rsidRPr="00505E93" w:rsidRDefault="00055FDF" w:rsidP="00055FDF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8067D2A" w14:textId="4D753004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F15933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2D576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F15933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1BFC78AB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</w:p>
    <w:p w14:paraId="3FAE0BBE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απογραφόμενη μονάδα είναι το μηχανοκίνητο όχημα οδικής μεταφοράς φορτίου.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Για κάθε όχημα 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>συλλέγονται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στοιχεία που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αφορούν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τα χαρακτηριστικά του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>, τη διαδρομή και το εμπόρευμα.</w:t>
      </w:r>
    </w:p>
    <w:p w14:paraId="130546C7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BDBE028" w14:textId="77777777" w:rsidR="00207684" w:rsidRPr="00207684" w:rsidRDefault="00207684" w:rsidP="00207684">
      <w:pPr>
        <w:jc w:val="both"/>
        <w:rPr>
          <w:rFonts w:ascii="Verdana" w:hAnsi="Verdana"/>
          <w:color w:val="000000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  <w:lang w:val="el-GR"/>
        </w:rPr>
        <w:t xml:space="preserve">Για τις μεταφορές εσωτερικού η συλλογή των στοιχείων γίνεται κατά τη διάρκεια όλου του χρόνου με τηλεφωνικές συνεντεύξεις από απογραφείς, </w:t>
      </w:r>
      <w:r w:rsidRPr="00207684">
        <w:rPr>
          <w:rFonts w:ascii="Verdana" w:hAnsi="Verdana"/>
          <w:color w:val="000000"/>
          <w:sz w:val="18"/>
          <w:szCs w:val="18"/>
          <w:shd w:val="clear" w:color="auto" w:fill="FFFFFF"/>
          <w:lang w:val="el-GR"/>
        </w:rPr>
        <w:t>ενώ για τις μεταφορές εξωτερικού τα στοιχεία συγκεντρώνονται απευθείας από τις εταιρείες στις οποίες ανήκουν τα συγκεκριμένα οχήματα</w:t>
      </w:r>
      <w:r>
        <w:rPr>
          <w:rFonts w:ascii="Verdana" w:hAnsi="Verdana"/>
          <w:color w:val="000000"/>
          <w:sz w:val="18"/>
          <w:szCs w:val="18"/>
          <w:shd w:val="clear" w:color="auto" w:fill="FFFFFF"/>
          <w:lang w:val="el-GR"/>
        </w:rPr>
        <w:t>.</w:t>
      </w:r>
    </w:p>
    <w:p w14:paraId="569FC493" w14:textId="77777777" w:rsidR="00055FDF" w:rsidRPr="00207684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color w:val="000000"/>
          <w:sz w:val="18"/>
          <w:szCs w:val="18"/>
          <w:shd w:val="clear" w:color="auto" w:fill="FFFFFF"/>
          <w:lang w:val="el-GR"/>
        </w:rPr>
      </w:pPr>
    </w:p>
    <w:p w14:paraId="4A451EE8" w14:textId="77777777" w:rsidR="00055FDF" w:rsidRPr="00986E1F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986E1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Ορισμοί</w:t>
      </w:r>
    </w:p>
    <w:p w14:paraId="58BF8C83" w14:textId="77777777" w:rsidR="00055FDF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77E5C73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 </w:t>
      </w:r>
      <w:proofErr w:type="spellStart"/>
      <w:r w:rsidRPr="00986E1F">
        <w:rPr>
          <w:rFonts w:ascii="Verdana" w:hAnsi="Verdana"/>
          <w:i/>
          <w:iCs/>
          <w:sz w:val="18"/>
          <w:szCs w:val="18"/>
          <w:shd w:val="clear" w:color="auto" w:fill="FFFFFF"/>
          <w:lang w:val="el-GR"/>
        </w:rPr>
        <w:t>τονοχιλιόμετρο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</w:t>
      </w:r>
      <w:proofErr w:type="spellStart"/>
      <w:r w:rsidRPr="00986E1F">
        <w:rPr>
          <w:rFonts w:ascii="Verdana" w:hAnsi="Verdana"/>
          <w:sz w:val="18"/>
          <w:szCs w:val="18"/>
          <w:shd w:val="clear" w:color="auto" w:fill="FFFFFF"/>
          <w:lang w:val="el-GR"/>
        </w:rPr>
        <w:t>tkm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είναι μονάδα μέτρησης των μεταφορών φορτίου που αντιπροσωπεύει τη μεταφορά ενός τόνου εμπορευμάτων με δεδομένο τρόπο μεταφοράς σε απόσταση ενός χιλιομέτρου. </w:t>
      </w:r>
    </w:p>
    <w:p w14:paraId="55AD7FF8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</w:p>
    <w:p w14:paraId="0495DE56" w14:textId="77777777" w:rsidR="00055FDF" w:rsidRPr="00AE0687" w:rsidRDefault="00055FDF" w:rsidP="00055FDF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47F4F4E" w14:textId="77777777" w:rsidR="00055FDF" w:rsidRPr="00AE0687" w:rsidRDefault="00055FDF" w:rsidP="00055FDF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AE0687">
        <w:rPr>
          <w:rFonts w:ascii="Verdana" w:eastAsia="Malgun Gothic" w:hAnsi="Verdana" w:cs="Arial"/>
          <w:b/>
          <w:i/>
          <w:sz w:val="18"/>
          <w:szCs w:val="18"/>
          <w:lang w:val="el-GR"/>
        </w:rPr>
        <w:t>Για περισσότερες πληροφορίες:</w:t>
      </w:r>
    </w:p>
    <w:p w14:paraId="23121072" w14:textId="0489996B" w:rsidR="00055FDF" w:rsidRDefault="00055FDF" w:rsidP="00055FDF">
      <w:pPr>
        <w:rPr>
          <w:rFonts w:ascii="Verdana" w:hAnsi="Verdana"/>
          <w:color w:val="0000FF"/>
          <w:sz w:val="18"/>
          <w:szCs w:val="18"/>
          <w:u w:val="single"/>
          <w:lang w:val="el-GR"/>
        </w:rPr>
      </w:pPr>
      <w:r w:rsidRPr="00772102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r w:rsidR="006266F7">
        <w:fldChar w:fldCharType="begin"/>
      </w:r>
      <w:r w:rsidR="006266F7" w:rsidRPr="00CC4142">
        <w:rPr>
          <w:lang w:val="el-GR"/>
        </w:rPr>
        <w:instrText xml:space="preserve"> </w:instrText>
      </w:r>
      <w:r w:rsidR="006266F7">
        <w:instrText>HYPERLINK</w:instrText>
      </w:r>
      <w:r w:rsidR="006266F7" w:rsidRPr="00CC4142">
        <w:rPr>
          <w:lang w:val="el-GR"/>
        </w:rPr>
        <w:instrText xml:space="preserve"> "</w:instrText>
      </w:r>
      <w:r w:rsidR="006266F7">
        <w:instrText>https</w:instrText>
      </w:r>
      <w:r w:rsidR="006266F7" w:rsidRPr="00CC4142">
        <w:rPr>
          <w:lang w:val="el-GR"/>
        </w:rPr>
        <w:instrText>://</w:instrText>
      </w:r>
      <w:r w:rsidR="006266F7">
        <w:instrText>www</w:instrText>
      </w:r>
      <w:r w:rsidR="006266F7" w:rsidRPr="00CC4142">
        <w:rPr>
          <w:lang w:val="el-GR"/>
        </w:rPr>
        <w:instrText>.</w:instrText>
      </w:r>
      <w:r w:rsidR="006266F7">
        <w:instrText>cystat</w:instrText>
      </w:r>
      <w:r w:rsidR="006266F7" w:rsidRPr="00CC4142">
        <w:rPr>
          <w:lang w:val="el-GR"/>
        </w:rPr>
        <w:instrText>.</w:instrText>
      </w:r>
      <w:r w:rsidR="006266F7">
        <w:instrText>gov</w:instrText>
      </w:r>
      <w:r w:rsidR="006266F7" w:rsidRPr="00CC4142">
        <w:rPr>
          <w:lang w:val="el-GR"/>
        </w:rPr>
        <w:instrText>.</w:instrText>
      </w:r>
      <w:r w:rsidR="006266F7">
        <w:instrText>cy</w:instrText>
      </w:r>
      <w:r w:rsidR="006266F7" w:rsidRPr="00CC4142">
        <w:rPr>
          <w:lang w:val="el-GR"/>
        </w:rPr>
        <w:instrText>/</w:instrText>
      </w:r>
      <w:r w:rsidR="006266F7">
        <w:instrText>el</w:instrText>
      </w:r>
      <w:r w:rsidR="006266F7" w:rsidRPr="00CC4142">
        <w:rPr>
          <w:lang w:val="el-GR"/>
        </w:rPr>
        <w:instrText>/</w:instrText>
      </w:r>
      <w:r w:rsidR="006266F7">
        <w:instrText>SubthemeStatistics</w:instrText>
      </w:r>
      <w:r w:rsidR="006266F7" w:rsidRPr="00CC4142">
        <w:rPr>
          <w:lang w:val="el-GR"/>
        </w:rPr>
        <w:instrText>?</w:instrText>
      </w:r>
      <w:r w:rsidR="006266F7">
        <w:instrText>s</w:instrText>
      </w:r>
      <w:r w:rsidR="006266F7" w:rsidRPr="00CC4142">
        <w:rPr>
          <w:lang w:val="el-GR"/>
        </w:rPr>
        <w:instrText xml:space="preserve">=50" </w:instrText>
      </w:r>
      <w:r w:rsidR="006266F7">
        <w:fldChar w:fldCharType="separate"/>
      </w:r>
      <w:r w:rsidRPr="00772102">
        <w:rPr>
          <w:rFonts w:ascii="Verdana" w:hAnsi="Verdana"/>
          <w:color w:val="0000FF"/>
          <w:sz w:val="18"/>
          <w:szCs w:val="18"/>
          <w:u w:val="single"/>
          <w:lang w:val="el-GR"/>
        </w:rPr>
        <w:t>Υπηρεσίες</w:t>
      </w:r>
      <w:r w:rsidR="006266F7">
        <w:rPr>
          <w:rFonts w:ascii="Verdana" w:hAnsi="Verdana"/>
          <w:color w:val="0000FF"/>
          <w:sz w:val="18"/>
          <w:szCs w:val="18"/>
          <w:u w:val="single"/>
          <w:lang w:val="el-GR"/>
        </w:rPr>
        <w:fldChar w:fldCharType="end"/>
      </w:r>
    </w:p>
    <w:p w14:paraId="05E66FB5" w14:textId="77777777" w:rsidR="004E5B5F" w:rsidRPr="00AC2590" w:rsidRDefault="006266F7" w:rsidP="004E5B5F">
      <w:pPr>
        <w:rPr>
          <w:rFonts w:ascii="Verdana" w:hAnsi="Verdana"/>
          <w:sz w:val="18"/>
          <w:szCs w:val="18"/>
          <w:lang w:val="el-GR"/>
        </w:rPr>
      </w:pPr>
      <w:r>
        <w:fldChar w:fldCharType="begin"/>
      </w:r>
      <w:r w:rsidRPr="00CC4142">
        <w:rPr>
          <w:lang w:val="el-GR"/>
        </w:rPr>
        <w:instrText xml:space="preserve"> </w:instrText>
      </w:r>
      <w:r>
        <w:instrText>HYPERLINK</w:instrText>
      </w:r>
      <w:r w:rsidRPr="00CC4142">
        <w:rPr>
          <w:lang w:val="el-GR"/>
        </w:rPr>
        <w:instrText xml:space="preserve"> "</w:instrText>
      </w:r>
      <w:r>
        <w:instrText>https</w:instrText>
      </w:r>
      <w:r w:rsidRPr="00CC4142">
        <w:rPr>
          <w:lang w:val="el-GR"/>
        </w:rPr>
        <w:instrText>://</w:instrText>
      </w:r>
      <w:r>
        <w:instrText>cystatdb</w:instrText>
      </w:r>
      <w:r w:rsidRPr="00CC4142">
        <w:rPr>
          <w:lang w:val="el-GR"/>
        </w:rPr>
        <w:instrText>.</w:instrText>
      </w:r>
      <w:r>
        <w:instrText>cystat</w:instrText>
      </w:r>
      <w:r w:rsidRPr="00CC4142">
        <w:rPr>
          <w:lang w:val="el-GR"/>
        </w:rPr>
        <w:instrText>.</w:instrText>
      </w:r>
      <w:r>
        <w:instrText>gov</w:instrText>
      </w:r>
      <w:r w:rsidRPr="00CC4142">
        <w:rPr>
          <w:lang w:val="el-GR"/>
        </w:rPr>
        <w:instrText>.</w:instrText>
      </w:r>
      <w:r>
        <w:instrText>cy</w:instrText>
      </w:r>
      <w:r w:rsidRPr="00CC4142">
        <w:rPr>
          <w:lang w:val="el-GR"/>
        </w:rPr>
        <w:instrText>/</w:instrText>
      </w:r>
      <w:r>
        <w:instrText>pxweb</w:instrText>
      </w:r>
      <w:r w:rsidRPr="00CC4142">
        <w:rPr>
          <w:lang w:val="el-GR"/>
        </w:rPr>
        <w:instrText>/</w:instrText>
      </w:r>
      <w:r>
        <w:instrText>el</w:instrText>
      </w:r>
      <w:r w:rsidRPr="00CC4142">
        <w:rPr>
          <w:lang w:val="el-GR"/>
        </w:rPr>
        <w:instrText>/8.</w:instrText>
      </w:r>
      <w:r>
        <w:instrText>CYSTAT</w:instrText>
      </w:r>
      <w:r w:rsidRPr="00CC4142">
        <w:rPr>
          <w:lang w:val="el-GR"/>
        </w:rPr>
        <w:instrText>-</w:instrText>
      </w:r>
      <w:r>
        <w:instrText>DB</w:instrText>
      </w:r>
      <w:r w:rsidRPr="00CC4142">
        <w:rPr>
          <w:lang w:val="el-GR"/>
        </w:rPr>
        <w:instrText>/8.</w:instrText>
      </w:r>
      <w:r>
        <w:instrText>CYSTAT</w:instrText>
      </w:r>
      <w:r w:rsidRPr="00CC4142">
        <w:rPr>
          <w:lang w:val="el-GR"/>
        </w:rPr>
        <w:instrText>-</w:instrText>
      </w:r>
      <w:r>
        <w:instrText>DB</w:instrText>
      </w:r>
      <w:r w:rsidRPr="00CC4142">
        <w:rPr>
          <w:lang w:val="el-GR"/>
        </w:rPr>
        <w:instrText>__</w:instrText>
      </w:r>
      <w:r>
        <w:instrText>Services</w:instrText>
      </w:r>
      <w:r w:rsidRPr="00CC4142">
        <w:rPr>
          <w:lang w:val="el-GR"/>
        </w:rPr>
        <w:instrText xml:space="preserve">__" </w:instrText>
      </w:r>
      <w:r>
        <w:fldChar w:fldCharType="separate"/>
      </w:r>
      <w:r w:rsidR="004E5B5F" w:rsidRPr="00A34089">
        <w:rPr>
          <w:rStyle w:val="Hyperlink"/>
          <w:rFonts w:ascii="Verdana" w:hAnsi="Verdana"/>
          <w:sz w:val="18"/>
          <w:szCs w:val="18"/>
        </w:rPr>
        <w:t>CYSTAT</w:t>
      </w:r>
      <w:r w:rsidR="004E5B5F" w:rsidRPr="00AC2590">
        <w:rPr>
          <w:rStyle w:val="Hyperlink"/>
          <w:rFonts w:ascii="Verdana" w:hAnsi="Verdana"/>
          <w:sz w:val="18"/>
          <w:szCs w:val="18"/>
          <w:lang w:val="el-GR"/>
        </w:rPr>
        <w:t>-</w:t>
      </w:r>
      <w:r w:rsidR="004E5B5F" w:rsidRPr="00A34089">
        <w:rPr>
          <w:rStyle w:val="Hyperlink"/>
          <w:rFonts w:ascii="Verdana" w:hAnsi="Verdana"/>
          <w:sz w:val="18"/>
          <w:szCs w:val="18"/>
        </w:rPr>
        <w:t>DB</w:t>
      </w:r>
      <w:r>
        <w:rPr>
          <w:rStyle w:val="Hyperlink"/>
          <w:rFonts w:ascii="Verdana" w:hAnsi="Verdana"/>
          <w:sz w:val="18"/>
          <w:szCs w:val="18"/>
        </w:rPr>
        <w:fldChar w:fldCharType="end"/>
      </w:r>
      <w:r w:rsidR="004E5B5F" w:rsidRPr="00AC259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070DA63B" w14:textId="77777777" w:rsidR="00055FDF" w:rsidRDefault="006266F7" w:rsidP="00055FDF">
      <w:pPr>
        <w:rPr>
          <w:rFonts w:ascii="Verdana" w:hAnsi="Verdana"/>
          <w:sz w:val="18"/>
          <w:szCs w:val="18"/>
          <w:lang w:val="el-GR"/>
        </w:rPr>
      </w:pPr>
      <w:r>
        <w:fldChar w:fldCharType="begin"/>
      </w:r>
      <w:r w:rsidRPr="00CC4142">
        <w:rPr>
          <w:lang w:val="el-GR"/>
        </w:rPr>
        <w:instrText xml:space="preserve"> </w:instrText>
      </w:r>
      <w:r>
        <w:instrText>HYPERLINK</w:instrText>
      </w:r>
      <w:r w:rsidRPr="00CC4142">
        <w:rPr>
          <w:lang w:val="el-GR"/>
        </w:rPr>
        <w:instrText xml:space="preserve"> "</w:instrText>
      </w:r>
      <w:r>
        <w:instrText>https</w:instrText>
      </w:r>
      <w:r w:rsidRPr="00CC4142">
        <w:rPr>
          <w:lang w:val="el-GR"/>
        </w:rPr>
        <w:instrText>://</w:instrText>
      </w:r>
      <w:r>
        <w:instrText>www</w:instrText>
      </w:r>
      <w:r w:rsidRPr="00CC4142">
        <w:rPr>
          <w:lang w:val="el-GR"/>
        </w:rPr>
        <w:instrText>.</w:instrText>
      </w:r>
      <w:r>
        <w:instrText>cystat</w:instrText>
      </w:r>
      <w:r w:rsidRPr="00CC4142">
        <w:rPr>
          <w:lang w:val="el-GR"/>
        </w:rPr>
        <w:instrText>.</w:instrText>
      </w:r>
      <w:r>
        <w:instrText>gov</w:instrText>
      </w:r>
      <w:r w:rsidRPr="00CC4142">
        <w:rPr>
          <w:lang w:val="el-GR"/>
        </w:rPr>
        <w:instrText>.</w:instrText>
      </w:r>
      <w:r>
        <w:instrText>cy</w:instrText>
      </w:r>
      <w:r w:rsidRPr="00CC4142">
        <w:rPr>
          <w:lang w:val="el-GR"/>
        </w:rPr>
        <w:instrText>/</w:instrText>
      </w:r>
      <w:r>
        <w:instrText>el</w:instrText>
      </w:r>
      <w:r w:rsidRPr="00CC4142">
        <w:rPr>
          <w:lang w:val="el-GR"/>
        </w:rPr>
        <w:instrText>/</w:instrText>
      </w:r>
      <w:r>
        <w:instrText>KeyFiguresList</w:instrText>
      </w:r>
      <w:r w:rsidRPr="00CC4142">
        <w:rPr>
          <w:lang w:val="el-GR"/>
        </w:rPr>
        <w:instrText>?</w:instrText>
      </w:r>
      <w:r>
        <w:instrText>s</w:instrText>
      </w:r>
      <w:r w:rsidRPr="00CC4142">
        <w:rPr>
          <w:lang w:val="el-GR"/>
        </w:rPr>
        <w:instrText xml:space="preserve">=50" </w:instrText>
      </w:r>
      <w:r>
        <w:fldChar w:fldCharType="separate"/>
      </w:r>
      <w:r w:rsidR="00055FDF" w:rsidRPr="00772102">
        <w:rPr>
          <w:rFonts w:ascii="Verdana" w:hAnsi="Verdana"/>
          <w:color w:val="0000FF"/>
          <w:sz w:val="18"/>
          <w:szCs w:val="18"/>
          <w:u w:val="single"/>
          <w:lang w:val="el-GR"/>
        </w:rPr>
        <w:t>Προκαθορισμένοι Πίνακες</w:t>
      </w:r>
      <w:r>
        <w:rPr>
          <w:rFonts w:ascii="Verdana" w:hAnsi="Verdana"/>
          <w:color w:val="0000FF"/>
          <w:sz w:val="18"/>
          <w:szCs w:val="18"/>
          <w:u w:val="single"/>
          <w:lang w:val="el-GR"/>
        </w:rPr>
        <w:fldChar w:fldCharType="end"/>
      </w:r>
      <w:r w:rsidR="00055FDF" w:rsidRPr="00772102">
        <w:rPr>
          <w:rFonts w:ascii="Verdana" w:hAnsi="Verdana"/>
          <w:sz w:val="18"/>
          <w:szCs w:val="18"/>
          <w:lang w:val="el-GR"/>
        </w:rPr>
        <w:t xml:space="preserve"> (</w:t>
      </w:r>
      <w:r w:rsidR="00055FDF" w:rsidRPr="00772102">
        <w:rPr>
          <w:rFonts w:ascii="Verdana" w:hAnsi="Verdana"/>
          <w:sz w:val="18"/>
          <w:szCs w:val="18"/>
        </w:rPr>
        <w:t>Excel</w:t>
      </w:r>
      <w:r w:rsidR="00055FDF" w:rsidRPr="00772102">
        <w:rPr>
          <w:rFonts w:ascii="Verdana" w:hAnsi="Verdana"/>
          <w:sz w:val="18"/>
          <w:szCs w:val="18"/>
          <w:lang w:val="el-GR"/>
        </w:rPr>
        <w:t>)</w:t>
      </w:r>
    </w:p>
    <w:p w14:paraId="5B2500F1" w14:textId="412C6438" w:rsidR="009C1660" w:rsidRPr="00457336" w:rsidRDefault="006266F7" w:rsidP="00055FDF">
      <w:pPr>
        <w:rPr>
          <w:rFonts w:ascii="Verdana" w:hAnsi="Verdana"/>
          <w:sz w:val="18"/>
          <w:szCs w:val="18"/>
          <w:lang w:val="el-GR"/>
        </w:rPr>
      </w:pPr>
      <w:r>
        <w:fldChar w:fldCharType="begin"/>
      </w:r>
      <w:r w:rsidRPr="00CC4142">
        <w:rPr>
          <w:lang w:val="el-GR"/>
        </w:rPr>
        <w:instrText xml:space="preserve"> </w:instrText>
      </w:r>
      <w:r>
        <w:instrText>HYPERLINK</w:instrText>
      </w:r>
      <w:r w:rsidRPr="00CC4142">
        <w:rPr>
          <w:lang w:val="el-GR"/>
        </w:rPr>
        <w:instrText xml:space="preserve"> "</w:instrText>
      </w:r>
      <w:r>
        <w:instrText>https</w:instrText>
      </w:r>
      <w:r w:rsidRPr="00CC4142">
        <w:rPr>
          <w:lang w:val="el-GR"/>
        </w:rPr>
        <w:instrText>://</w:instrText>
      </w:r>
      <w:r>
        <w:instrText>www</w:instrText>
      </w:r>
      <w:r w:rsidRPr="00CC4142">
        <w:rPr>
          <w:lang w:val="el-GR"/>
        </w:rPr>
        <w:instrText>.</w:instrText>
      </w:r>
      <w:r>
        <w:instrText>cystat</w:instrText>
      </w:r>
      <w:r w:rsidRPr="00CC4142">
        <w:rPr>
          <w:lang w:val="el-GR"/>
        </w:rPr>
        <w:instrText>.</w:instrText>
      </w:r>
      <w:r>
        <w:instrText>gov</w:instrText>
      </w:r>
      <w:r w:rsidRPr="00CC4142">
        <w:rPr>
          <w:lang w:val="el-GR"/>
        </w:rPr>
        <w:instrText>.</w:instrText>
      </w:r>
      <w:r>
        <w:instrText>cy</w:instrText>
      </w:r>
      <w:r w:rsidRPr="00CC4142">
        <w:rPr>
          <w:lang w:val="el-GR"/>
        </w:rPr>
        <w:instrText>/</w:instrText>
      </w:r>
      <w:r>
        <w:instrText>el</w:instrText>
      </w:r>
      <w:r w:rsidRPr="00CC4142">
        <w:rPr>
          <w:lang w:val="el-GR"/>
        </w:rPr>
        <w:instrText>/</w:instrText>
      </w:r>
      <w:r>
        <w:instrText>MethodologicalDetails</w:instrText>
      </w:r>
      <w:r w:rsidRPr="00CC4142">
        <w:rPr>
          <w:lang w:val="el-GR"/>
        </w:rPr>
        <w:instrText>?</w:instrText>
      </w:r>
      <w:r>
        <w:instrText>m</w:instrText>
      </w:r>
      <w:r w:rsidRPr="00CC4142">
        <w:rPr>
          <w:lang w:val="el-GR"/>
        </w:rPr>
        <w:instrText xml:space="preserve">=2113" </w:instrText>
      </w:r>
      <w:r>
        <w:fldChar w:fldCharType="separate"/>
      </w:r>
      <w:r w:rsidR="009C1660" w:rsidRPr="001F4005">
        <w:rPr>
          <w:rStyle w:val="Hyperlink"/>
          <w:rFonts w:ascii="Verdana" w:hAnsi="Verdana"/>
          <w:sz w:val="18"/>
          <w:szCs w:val="18"/>
          <w:lang w:val="el-GR"/>
        </w:rPr>
        <w:t xml:space="preserve">Μεθοδολογικές </w:t>
      </w:r>
      <w:r w:rsidR="001B539C">
        <w:rPr>
          <w:rStyle w:val="Hyperlink"/>
          <w:rFonts w:ascii="Verdana" w:hAnsi="Verdana"/>
          <w:sz w:val="18"/>
          <w:szCs w:val="18"/>
          <w:lang w:val="el-GR"/>
        </w:rPr>
        <w:t>Π</w:t>
      </w:r>
      <w:r w:rsidR="009C1660" w:rsidRPr="001F4005">
        <w:rPr>
          <w:rStyle w:val="Hyperlink"/>
          <w:rFonts w:ascii="Verdana" w:hAnsi="Verdana"/>
          <w:sz w:val="18"/>
          <w:szCs w:val="18"/>
          <w:lang w:val="el-GR"/>
        </w:rPr>
        <w:t>ληροφορίες</w:t>
      </w:r>
      <w:r>
        <w:rPr>
          <w:rStyle w:val="Hyperlink"/>
          <w:rFonts w:ascii="Verdana" w:hAnsi="Verdana"/>
          <w:sz w:val="18"/>
          <w:szCs w:val="18"/>
          <w:lang w:val="el-GR"/>
        </w:rPr>
        <w:fldChar w:fldCharType="end"/>
      </w:r>
    </w:p>
    <w:p w14:paraId="31AEDD7B" w14:textId="77777777" w:rsidR="00055FDF" w:rsidRDefault="00055FDF" w:rsidP="00055FDF">
      <w:pPr>
        <w:jc w:val="both"/>
        <w:rPr>
          <w:rFonts w:ascii="Verdana" w:hAnsi="Verdana"/>
          <w:sz w:val="18"/>
          <w:szCs w:val="18"/>
          <w:lang w:val="el-GR"/>
        </w:rPr>
      </w:pPr>
    </w:p>
    <w:p w14:paraId="1C738C6E" w14:textId="4793447A" w:rsidR="00055FDF" w:rsidRPr="00EF518C" w:rsidRDefault="00EF518C" w:rsidP="00055FDF">
      <w:pPr>
        <w:jc w:val="both"/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  <w:r w:rsidRPr="00EF518C"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  <w:t xml:space="preserve">Οι </w:t>
      </w:r>
      <w:r w:rsidRPr="00EF518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Προκαθορισμένοι Πίνακες</w:t>
      </w:r>
      <w:r w:rsidRPr="00EF518C"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  <w:t xml:space="preserve"> σε μορφή Excel περιλαμβάνουν στοιχεία μέχρι και το τέταρτο τρίμηνο του 2022. Για το πρώτο τρίμηνο του 2023 και μετέπειτα, η ενημέρωση γίνεται μόνο στη Βάση Δεδομένων CYSTAT-DB.</w:t>
      </w:r>
    </w:p>
    <w:p w14:paraId="6F631BDD" w14:textId="77777777" w:rsidR="00063A61" w:rsidRPr="00063A61" w:rsidRDefault="00063A61" w:rsidP="00055FDF">
      <w:pPr>
        <w:jc w:val="both"/>
        <w:rPr>
          <w:rFonts w:ascii="Verdana" w:hAnsi="Verdana"/>
          <w:sz w:val="18"/>
          <w:szCs w:val="18"/>
          <w:lang w:val="el-GR"/>
        </w:rPr>
      </w:pPr>
    </w:p>
    <w:p w14:paraId="17DF1C26" w14:textId="77777777" w:rsidR="00055FDF" w:rsidRPr="00AE0687" w:rsidRDefault="00055FDF" w:rsidP="00055FDF">
      <w:pPr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AE0687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65479C85" w14:textId="77777777" w:rsidR="00055FDF" w:rsidRPr="00184E21" w:rsidRDefault="00055FDF" w:rsidP="00055FDF">
      <w:pPr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</w:pPr>
      <w:r w:rsidRPr="00184E2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Άντρη </w:t>
      </w:r>
      <w:proofErr w:type="spellStart"/>
      <w:r w:rsidRPr="00184E21">
        <w:rPr>
          <w:rFonts w:ascii="Verdana" w:hAnsi="Verdana"/>
          <w:sz w:val="18"/>
          <w:szCs w:val="18"/>
          <w:shd w:val="clear" w:color="auto" w:fill="FFFFFF"/>
          <w:lang w:val="el-GR"/>
        </w:rPr>
        <w:t>Μηλιδώνη</w:t>
      </w:r>
      <w:proofErr w:type="spellEnd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: </w:t>
      </w:r>
      <w:proofErr w:type="spellStart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.: </w:t>
      </w:r>
      <w:r w:rsidRPr="00184E21">
        <w:rPr>
          <w:rFonts w:ascii="Verdana" w:hAnsi="Verdana"/>
          <w:sz w:val="18"/>
          <w:szCs w:val="18"/>
          <w:shd w:val="clear" w:color="auto" w:fill="FFFFFF"/>
          <w:lang w:val="el-GR"/>
        </w:rPr>
        <w:t>22602240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proofErr w:type="spellStart"/>
      <w:r w:rsidRPr="00AE0687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AE0687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AE0687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AE0687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AE0687">
        <w:rPr>
          <w:rFonts w:ascii="Verdana" w:hAnsi="Verdana"/>
          <w:sz w:val="18"/>
          <w:szCs w:val="18"/>
          <w:shd w:val="clear" w:color="auto" w:fill="FFFFFF"/>
        </w:rPr>
        <w:t> </w:t>
      </w:r>
      <w:hyperlink r:id="rId10" w:history="1"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amilidoni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l-GR"/>
          </w:rPr>
          <w:t>@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cystat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l-GR"/>
          </w:rPr>
          <w:t>.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mof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l-GR"/>
          </w:rPr>
          <w:t>.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gov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l-GR"/>
          </w:rPr>
          <w:t>.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cy</w:t>
        </w:r>
      </w:hyperlink>
    </w:p>
    <w:p w14:paraId="555B3283" w14:textId="3E1E455E" w:rsidR="007437AB" w:rsidRDefault="007437A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57EF75" w14:textId="0A8A19D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0E521A" w14:textId="13709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C70BE1" w14:textId="491F6DF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01F0D1" w14:textId="4C80370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CCBF3E" w14:textId="62D19F5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EDAA326" w14:textId="44B1BAC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573331" w14:textId="3953C2E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D690B88" w14:textId="21EC44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12E296" w14:textId="6F8B4A23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A82304" w14:textId="465433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3A81A9" w14:textId="0A8CEFD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DA9EFD" w14:textId="6D12487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730765" w14:textId="64EFABCB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9E7F8F" w14:textId="3090719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0632D4A" w14:textId="67CD2B8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50BA3FF" w14:textId="6A9F523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D20F27F" w14:textId="7403E40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44FBDFA" w14:textId="12380D25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B5CF872" w14:textId="08B3E324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F51810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B433E" w14:textId="77777777" w:rsidR="006266F7" w:rsidRDefault="006266F7" w:rsidP="00FB398F">
      <w:r>
        <w:separator/>
      </w:r>
    </w:p>
  </w:endnote>
  <w:endnote w:type="continuationSeparator" w:id="0">
    <w:p w14:paraId="7547E589" w14:textId="77777777" w:rsidR="006266F7" w:rsidRDefault="006266F7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E9606B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4CD8F" w14:textId="77777777" w:rsidR="004E4F42" w:rsidRPr="00042174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iCs/>
        <w:sz w:val="16"/>
        <w:szCs w:val="18"/>
        <w:lang w:val="el-GR"/>
      </w:rPr>
    </w:pPr>
    <w:r w:rsidRPr="00042174">
      <w:rPr>
        <w:rFonts w:ascii="Verdana" w:hAnsi="Verdana" w:cs="Arial"/>
        <w:iCs/>
        <w:sz w:val="16"/>
        <w:szCs w:val="18"/>
        <w:lang w:val="el-GR"/>
      </w:rPr>
      <w:t>Διεύθυνση: Μιχα</w:t>
    </w:r>
    <w:r w:rsidR="00FD5B5F" w:rsidRPr="00042174">
      <w:rPr>
        <w:rFonts w:ascii="Verdana" w:hAnsi="Verdana" w:cs="Arial"/>
        <w:iCs/>
        <w:sz w:val="16"/>
        <w:szCs w:val="18"/>
        <w:lang w:val="el-GR"/>
      </w:rPr>
      <w:t>ήλ</w:t>
    </w:r>
    <w:r w:rsidRPr="00042174">
      <w:rPr>
        <w:rFonts w:ascii="Verdana" w:hAnsi="Verdana" w:cs="Arial"/>
        <w:iCs/>
        <w:sz w:val="16"/>
        <w:szCs w:val="18"/>
        <w:lang w:val="el-GR"/>
      </w:rPr>
      <w:t xml:space="preserve"> </w:t>
    </w:r>
    <w:proofErr w:type="spellStart"/>
    <w:r w:rsidRPr="00042174">
      <w:rPr>
        <w:rFonts w:ascii="Verdana" w:hAnsi="Verdana" w:cs="Arial"/>
        <w:iCs/>
        <w:sz w:val="16"/>
        <w:szCs w:val="18"/>
        <w:lang w:val="el-GR"/>
      </w:rPr>
      <w:t>Καραολή</w:t>
    </w:r>
    <w:proofErr w:type="spellEnd"/>
    <w:r w:rsidRPr="00042174">
      <w:rPr>
        <w:rFonts w:ascii="Verdana" w:hAnsi="Verdana" w:cs="Arial"/>
        <w:iCs/>
        <w:sz w:val="16"/>
        <w:szCs w:val="18"/>
        <w:lang w:val="el-GR"/>
      </w:rPr>
      <w:t>, 1444 Λευκωσία, Κύπρος</w:t>
    </w:r>
  </w:p>
  <w:p w14:paraId="701EBEC3" w14:textId="74409E40" w:rsidR="004E4F42" w:rsidRPr="00042174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iCs/>
        <w:sz w:val="16"/>
        <w:szCs w:val="18"/>
        <w:lang w:val="de-DE"/>
      </w:rPr>
    </w:pPr>
    <w:proofErr w:type="spellStart"/>
    <w:r w:rsidRPr="00042174">
      <w:rPr>
        <w:rFonts w:ascii="Verdana" w:hAnsi="Verdana" w:cs="Arial"/>
        <w:iCs/>
        <w:sz w:val="16"/>
        <w:szCs w:val="18"/>
        <w:lang w:val="el-GR"/>
      </w:rPr>
      <w:t>Τηλ</w:t>
    </w:r>
    <w:proofErr w:type="spellEnd"/>
    <w:r w:rsidR="00042174" w:rsidRPr="00F2345B">
      <w:rPr>
        <w:rFonts w:ascii="Verdana" w:hAnsi="Verdana" w:cs="Arial"/>
        <w:iCs/>
        <w:sz w:val="16"/>
        <w:szCs w:val="18"/>
        <w:lang w:val="el-GR"/>
      </w:rPr>
      <w:t xml:space="preserve">.: </w:t>
    </w:r>
    <w:r w:rsidRPr="00F2345B">
      <w:rPr>
        <w:rFonts w:ascii="Verdana" w:hAnsi="Verdana" w:cs="Arial"/>
        <w:iCs/>
        <w:sz w:val="16"/>
        <w:szCs w:val="18"/>
        <w:lang w:val="el-GR"/>
      </w:rPr>
      <w:t xml:space="preserve">22 602129, </w:t>
    </w:r>
    <w:proofErr w:type="spellStart"/>
    <w:r w:rsidR="00042174" w:rsidRPr="00042174">
      <w:rPr>
        <w:rFonts w:ascii="Verdana" w:hAnsi="Verdana" w:cs="Arial"/>
        <w:iCs/>
        <w:sz w:val="16"/>
        <w:szCs w:val="18"/>
        <w:lang w:val="el-GR"/>
      </w:rPr>
      <w:t>Ηλ.Ταχ</w:t>
    </w:r>
    <w:proofErr w:type="spellEnd"/>
    <w:r w:rsidR="00042174" w:rsidRPr="00042174">
      <w:rPr>
        <w:rFonts w:ascii="Verdana" w:hAnsi="Verdana" w:cs="Arial"/>
        <w:iCs/>
        <w:sz w:val="16"/>
        <w:szCs w:val="18"/>
        <w:lang w:val="el-GR"/>
      </w:rPr>
      <w:t>.</w:t>
    </w:r>
    <w:r w:rsidRPr="00042174">
      <w:rPr>
        <w:rFonts w:ascii="Verdana" w:hAnsi="Verdana" w:cs="Arial"/>
        <w:iCs/>
        <w:sz w:val="16"/>
        <w:szCs w:val="18"/>
        <w:lang w:val="de-DE"/>
      </w:rPr>
      <w:t xml:space="preserve">: </w:t>
    </w:r>
    <w:hyperlink r:id="rId1" w:history="1">
      <w:r w:rsidRPr="00042174">
        <w:rPr>
          <w:rStyle w:val="Hyperlink"/>
          <w:rFonts w:ascii="Verdana" w:hAnsi="Verdana" w:cs="Arial"/>
          <w:iCs/>
          <w:sz w:val="16"/>
          <w:szCs w:val="18"/>
          <w:lang w:val="de-DE"/>
        </w:rPr>
        <w:t>enquiries@cystat.mof.gov.cy</w:t>
      </w:r>
    </w:hyperlink>
    <w:r w:rsidRPr="00042174">
      <w:rPr>
        <w:rFonts w:ascii="Verdana" w:hAnsi="Verdana" w:cs="Arial"/>
        <w:iCs/>
        <w:sz w:val="16"/>
        <w:szCs w:val="18"/>
        <w:lang w:val="de-DE"/>
      </w:rPr>
      <w:t xml:space="preserve">  </w:t>
    </w:r>
  </w:p>
  <w:p w14:paraId="66893A8B" w14:textId="347568F8" w:rsidR="004E4F42" w:rsidRPr="00042174" w:rsidRDefault="00042174" w:rsidP="000932CF">
    <w:pPr>
      <w:pStyle w:val="Footer"/>
      <w:tabs>
        <w:tab w:val="left" w:pos="4500"/>
      </w:tabs>
      <w:jc w:val="center"/>
      <w:rPr>
        <w:rFonts w:ascii="Verdana" w:hAnsi="Verdana" w:cs="Arial"/>
        <w:sz w:val="18"/>
        <w:szCs w:val="18"/>
        <w:lang w:val="el-GR"/>
      </w:rPr>
    </w:pPr>
    <w:r w:rsidRPr="00042174">
      <w:rPr>
        <w:rFonts w:ascii="Verdana" w:hAnsi="Verdana" w:cs="Arial"/>
        <w:iCs/>
        <w:sz w:val="16"/>
        <w:szCs w:val="18"/>
        <w:lang w:val="el-GR"/>
      </w:rPr>
      <w:t>Διαδικτυακή Πύλη</w:t>
    </w:r>
    <w:r w:rsidR="004E4F42" w:rsidRPr="00042174">
      <w:rPr>
        <w:rFonts w:ascii="Verdana" w:hAnsi="Verdana" w:cs="Arial"/>
        <w:iCs/>
        <w:sz w:val="16"/>
        <w:szCs w:val="18"/>
        <w:lang w:val="el-GR"/>
      </w:rPr>
      <w:t xml:space="preserve">: </w:t>
    </w:r>
    <w:hyperlink r:id="rId2" w:history="1">
      <w:r w:rsidR="004E4F42" w:rsidRPr="00042174">
        <w:rPr>
          <w:rStyle w:val="Hyperlink"/>
          <w:rFonts w:ascii="Verdana" w:hAnsi="Verdana" w:cs="Arial"/>
          <w:iCs/>
          <w:sz w:val="16"/>
          <w:szCs w:val="18"/>
        </w:rPr>
        <w:t>http</w:t>
      </w:r>
      <w:r w:rsidR="004E4F42" w:rsidRPr="00042174">
        <w:rPr>
          <w:rStyle w:val="Hyperlink"/>
          <w:rFonts w:ascii="Verdana" w:hAnsi="Verdana" w:cs="Arial"/>
          <w:iCs/>
          <w:sz w:val="16"/>
          <w:szCs w:val="18"/>
          <w:lang w:val="el-GR"/>
        </w:rPr>
        <w:t>://</w:t>
      </w:r>
      <w:r w:rsidR="004E4F42" w:rsidRPr="00042174">
        <w:rPr>
          <w:rStyle w:val="Hyperlink"/>
          <w:rFonts w:ascii="Verdana" w:hAnsi="Verdana" w:cs="Arial"/>
          <w:iCs/>
          <w:sz w:val="16"/>
          <w:szCs w:val="18"/>
        </w:rPr>
        <w:t>www</w:t>
      </w:r>
      <w:r w:rsidR="004E4F42" w:rsidRPr="00042174">
        <w:rPr>
          <w:rStyle w:val="Hyperlink"/>
          <w:rFonts w:ascii="Verdana" w:hAnsi="Verdana" w:cs="Arial"/>
          <w:iCs/>
          <w:sz w:val="16"/>
          <w:szCs w:val="18"/>
          <w:lang w:val="el-GR"/>
        </w:rPr>
        <w:t>.</w:t>
      </w:r>
      <w:proofErr w:type="spellStart"/>
      <w:r w:rsidR="004E4F42" w:rsidRPr="00042174">
        <w:rPr>
          <w:rStyle w:val="Hyperlink"/>
          <w:rFonts w:ascii="Verdana" w:hAnsi="Verdana" w:cs="Arial"/>
          <w:iCs/>
          <w:sz w:val="16"/>
          <w:szCs w:val="18"/>
        </w:rPr>
        <w:t>cystat</w:t>
      </w:r>
      <w:proofErr w:type="spellEnd"/>
      <w:r w:rsidR="004E4F42" w:rsidRPr="00042174">
        <w:rPr>
          <w:rStyle w:val="Hyperlink"/>
          <w:rFonts w:ascii="Verdana" w:hAnsi="Verdana" w:cs="Arial"/>
          <w:iCs/>
          <w:sz w:val="16"/>
          <w:szCs w:val="18"/>
          <w:lang w:val="el-GR"/>
        </w:rPr>
        <w:t>.</w:t>
      </w:r>
      <w:proofErr w:type="spellStart"/>
      <w:r w:rsidR="004E4F42" w:rsidRPr="00042174">
        <w:rPr>
          <w:rStyle w:val="Hyperlink"/>
          <w:rFonts w:ascii="Verdana" w:hAnsi="Verdana" w:cs="Arial"/>
          <w:iCs/>
          <w:sz w:val="16"/>
          <w:szCs w:val="18"/>
        </w:rPr>
        <w:t>gov</w:t>
      </w:r>
      <w:proofErr w:type="spellEnd"/>
      <w:r w:rsidR="004E4F42" w:rsidRPr="00042174">
        <w:rPr>
          <w:rStyle w:val="Hyperlink"/>
          <w:rFonts w:ascii="Verdana" w:hAnsi="Verdana" w:cs="Arial"/>
          <w:iCs/>
          <w:sz w:val="16"/>
          <w:szCs w:val="18"/>
          <w:lang w:val="el-GR"/>
        </w:rPr>
        <w:t>.</w:t>
      </w:r>
      <w:r w:rsidR="004E4F42" w:rsidRPr="00042174">
        <w:rPr>
          <w:rStyle w:val="Hyperlink"/>
          <w:rFonts w:ascii="Verdana" w:hAnsi="Verdana" w:cs="Arial"/>
          <w:iCs/>
          <w:sz w:val="16"/>
          <w:szCs w:val="18"/>
        </w:rPr>
        <w:t>cy</w:t>
      </w:r>
    </w:hyperlink>
    <w:r w:rsidR="004E4F42" w:rsidRPr="00042174">
      <w:rPr>
        <w:rFonts w:ascii="Verdana" w:hAnsi="Verdana" w:cs="Arial"/>
        <w:iCs/>
        <w:sz w:val="16"/>
        <w:szCs w:val="18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0EE17" w14:textId="77777777" w:rsidR="006266F7" w:rsidRDefault="006266F7" w:rsidP="00FB398F">
      <w:r>
        <w:separator/>
      </w:r>
    </w:p>
  </w:footnote>
  <w:footnote w:type="continuationSeparator" w:id="0">
    <w:p w14:paraId="6CBA6EBB" w14:textId="77777777" w:rsidR="006266F7" w:rsidRDefault="006266F7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9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10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10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04A22B7B">
              <wp:simplePos x="0" y="0"/>
              <wp:positionH relativeFrom="column">
                <wp:posOffset>4051935</wp:posOffset>
              </wp:positionH>
              <wp:positionV relativeFrom="paragraph">
                <wp:posOffset>102870</wp:posOffset>
              </wp:positionV>
              <wp:extent cx="1933575" cy="438150"/>
              <wp:effectExtent l="0" t="0" r="9525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Pr="00950A79" w:rsidRDefault="004E4F42" w:rsidP="00950A79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950A79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950A79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7F363AC1" w14:textId="77777777" w:rsidR="004E4F42" w:rsidRPr="00950A79" w:rsidRDefault="004E4F42" w:rsidP="00950A79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950A79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26B35A09" id="Text Box 16" o:spid="_x0000_s1028" type="#_x0000_t202" style="position:absolute;margin-left:319.05pt;margin-top:8.1pt;width:152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" stroked="f">
              <v:textbox>
                <w:txbxContent>
                  <w:p w14:paraId="505F9DD1" w14:textId="77777777" w:rsidR="004E4F42" w:rsidRPr="00950A79" w:rsidRDefault="004E4F42" w:rsidP="00950A79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950A79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950A79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7F363AC1" w14:textId="77777777" w:rsidR="004E4F42" w:rsidRPr="00950A79" w:rsidRDefault="004E4F42" w:rsidP="00950A79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950A79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0E40F8D6" w:rsidR="004E4F42" w:rsidRPr="00950A79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</w:t>
    </w:r>
    <w:r w:rsidRPr="00950A79">
      <w:rPr>
        <w:rFonts w:ascii="Verdana" w:hAnsi="Verdana" w:cs="Arial"/>
        <w:bCs/>
        <w:sz w:val="20"/>
        <w:szCs w:val="20"/>
      </w:rPr>
      <w:t>ΚΥΠΡΙΑΚΗ ΔΗΜΟΚΡΑΤΙΑ</w:t>
    </w:r>
    <w:r w:rsidRPr="00950A79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950A79">
      <w:rPr>
        <w:rFonts w:ascii="Verdana" w:hAnsi="Verdana"/>
        <w:b/>
        <w:bCs/>
        <w:sz w:val="20"/>
        <w:szCs w:val="20"/>
        <w:lang w:val="en-US"/>
      </w:rPr>
      <w:tab/>
    </w:r>
  </w:p>
  <w:p w14:paraId="2F272394" w14:textId="79C51F99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2458"/>
    <w:rsid w:val="00002499"/>
    <w:rsid w:val="0000542E"/>
    <w:rsid w:val="00013E40"/>
    <w:rsid w:val="000161B1"/>
    <w:rsid w:val="00022FE7"/>
    <w:rsid w:val="00025A39"/>
    <w:rsid w:val="00026BC3"/>
    <w:rsid w:val="00027853"/>
    <w:rsid w:val="00030E18"/>
    <w:rsid w:val="00031D32"/>
    <w:rsid w:val="0003603D"/>
    <w:rsid w:val="00042174"/>
    <w:rsid w:val="00045088"/>
    <w:rsid w:val="00045A06"/>
    <w:rsid w:val="00050391"/>
    <w:rsid w:val="00055291"/>
    <w:rsid w:val="00055FDF"/>
    <w:rsid w:val="000563D3"/>
    <w:rsid w:val="00057E44"/>
    <w:rsid w:val="00061299"/>
    <w:rsid w:val="00063A61"/>
    <w:rsid w:val="00065D67"/>
    <w:rsid w:val="00070576"/>
    <w:rsid w:val="000752BB"/>
    <w:rsid w:val="00075B24"/>
    <w:rsid w:val="00081ADF"/>
    <w:rsid w:val="000834F9"/>
    <w:rsid w:val="00084A02"/>
    <w:rsid w:val="00084BF7"/>
    <w:rsid w:val="000870E9"/>
    <w:rsid w:val="00091E0E"/>
    <w:rsid w:val="000932CF"/>
    <w:rsid w:val="00096ED8"/>
    <w:rsid w:val="000970D0"/>
    <w:rsid w:val="000A1A88"/>
    <w:rsid w:val="000A2B5C"/>
    <w:rsid w:val="000A3601"/>
    <w:rsid w:val="000A6FA8"/>
    <w:rsid w:val="000C1070"/>
    <w:rsid w:val="000C4E72"/>
    <w:rsid w:val="000D1E7A"/>
    <w:rsid w:val="000E24B1"/>
    <w:rsid w:val="000E2735"/>
    <w:rsid w:val="000E32D6"/>
    <w:rsid w:val="000E4CB0"/>
    <w:rsid w:val="000E57F2"/>
    <w:rsid w:val="000E72A7"/>
    <w:rsid w:val="000E7567"/>
    <w:rsid w:val="000F1162"/>
    <w:rsid w:val="000F3467"/>
    <w:rsid w:val="000F38DE"/>
    <w:rsid w:val="000F532A"/>
    <w:rsid w:val="000F5D6C"/>
    <w:rsid w:val="000F6ADE"/>
    <w:rsid w:val="00100C1B"/>
    <w:rsid w:val="00106852"/>
    <w:rsid w:val="00110F9D"/>
    <w:rsid w:val="00114A67"/>
    <w:rsid w:val="0012286B"/>
    <w:rsid w:val="001253B6"/>
    <w:rsid w:val="001262C3"/>
    <w:rsid w:val="00127320"/>
    <w:rsid w:val="00127456"/>
    <w:rsid w:val="001312D8"/>
    <w:rsid w:val="0013137B"/>
    <w:rsid w:val="00135AD5"/>
    <w:rsid w:val="0015118B"/>
    <w:rsid w:val="001519CE"/>
    <w:rsid w:val="00161CF3"/>
    <w:rsid w:val="00162C00"/>
    <w:rsid w:val="001639EF"/>
    <w:rsid w:val="0016589F"/>
    <w:rsid w:val="001712CF"/>
    <w:rsid w:val="0017769A"/>
    <w:rsid w:val="00183DFC"/>
    <w:rsid w:val="00184384"/>
    <w:rsid w:val="00186717"/>
    <w:rsid w:val="00187FFC"/>
    <w:rsid w:val="0019391C"/>
    <w:rsid w:val="001A2018"/>
    <w:rsid w:val="001A5C3F"/>
    <w:rsid w:val="001B2C39"/>
    <w:rsid w:val="001B35C2"/>
    <w:rsid w:val="001B3675"/>
    <w:rsid w:val="001B539C"/>
    <w:rsid w:val="001B5E10"/>
    <w:rsid w:val="001B6AB3"/>
    <w:rsid w:val="001B73D5"/>
    <w:rsid w:val="001C0681"/>
    <w:rsid w:val="001C54E0"/>
    <w:rsid w:val="001C62B3"/>
    <w:rsid w:val="001C7C8C"/>
    <w:rsid w:val="001D0D6A"/>
    <w:rsid w:val="001D20A4"/>
    <w:rsid w:val="001E00D1"/>
    <w:rsid w:val="001E0E58"/>
    <w:rsid w:val="001E14F3"/>
    <w:rsid w:val="001E15ED"/>
    <w:rsid w:val="001E589F"/>
    <w:rsid w:val="001E61AA"/>
    <w:rsid w:val="001F4005"/>
    <w:rsid w:val="0020309E"/>
    <w:rsid w:val="0020320A"/>
    <w:rsid w:val="00207684"/>
    <w:rsid w:val="00210B58"/>
    <w:rsid w:val="0021402B"/>
    <w:rsid w:val="00222423"/>
    <w:rsid w:val="002252BD"/>
    <w:rsid w:val="00225B28"/>
    <w:rsid w:val="00226891"/>
    <w:rsid w:val="00230D9B"/>
    <w:rsid w:val="002313AC"/>
    <w:rsid w:val="00232796"/>
    <w:rsid w:val="00235FB2"/>
    <w:rsid w:val="00237BC1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3BC3"/>
    <w:rsid w:val="00274413"/>
    <w:rsid w:val="0028338F"/>
    <w:rsid w:val="002915C4"/>
    <w:rsid w:val="0029493F"/>
    <w:rsid w:val="00294A55"/>
    <w:rsid w:val="00297E6B"/>
    <w:rsid w:val="002A1D1C"/>
    <w:rsid w:val="002A4D64"/>
    <w:rsid w:val="002B4969"/>
    <w:rsid w:val="002B6554"/>
    <w:rsid w:val="002C1BD8"/>
    <w:rsid w:val="002C3A1A"/>
    <w:rsid w:val="002D05F0"/>
    <w:rsid w:val="002D0BD4"/>
    <w:rsid w:val="002D2829"/>
    <w:rsid w:val="002D576C"/>
    <w:rsid w:val="002D7D4A"/>
    <w:rsid w:val="002E3846"/>
    <w:rsid w:val="002E3F78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C8D"/>
    <w:rsid w:val="00322FBE"/>
    <w:rsid w:val="00325632"/>
    <w:rsid w:val="003264C3"/>
    <w:rsid w:val="00327549"/>
    <w:rsid w:val="003304AA"/>
    <w:rsid w:val="003342A5"/>
    <w:rsid w:val="00334616"/>
    <w:rsid w:val="00336C36"/>
    <w:rsid w:val="0033793E"/>
    <w:rsid w:val="00343815"/>
    <w:rsid w:val="003522BB"/>
    <w:rsid w:val="00352F6C"/>
    <w:rsid w:val="003556EA"/>
    <w:rsid w:val="00360AE7"/>
    <w:rsid w:val="00364599"/>
    <w:rsid w:val="00381C5D"/>
    <w:rsid w:val="00386FC7"/>
    <w:rsid w:val="00390A32"/>
    <w:rsid w:val="003A1E91"/>
    <w:rsid w:val="003A40F2"/>
    <w:rsid w:val="003A50D1"/>
    <w:rsid w:val="003B196D"/>
    <w:rsid w:val="003B2710"/>
    <w:rsid w:val="003B4608"/>
    <w:rsid w:val="003C2392"/>
    <w:rsid w:val="003C5174"/>
    <w:rsid w:val="003C5240"/>
    <w:rsid w:val="003C76E6"/>
    <w:rsid w:val="003D14E0"/>
    <w:rsid w:val="003D1EA5"/>
    <w:rsid w:val="003D3348"/>
    <w:rsid w:val="003D4E63"/>
    <w:rsid w:val="003D6822"/>
    <w:rsid w:val="003D724C"/>
    <w:rsid w:val="003E0CE2"/>
    <w:rsid w:val="003F49E4"/>
    <w:rsid w:val="003F4D2F"/>
    <w:rsid w:val="003F5E32"/>
    <w:rsid w:val="003F75F6"/>
    <w:rsid w:val="00404670"/>
    <w:rsid w:val="00414CA0"/>
    <w:rsid w:val="00422F54"/>
    <w:rsid w:val="00431516"/>
    <w:rsid w:val="004361B3"/>
    <w:rsid w:val="0044249D"/>
    <w:rsid w:val="0044379F"/>
    <w:rsid w:val="00444FCC"/>
    <w:rsid w:val="00446FB1"/>
    <w:rsid w:val="00452753"/>
    <w:rsid w:val="00457336"/>
    <w:rsid w:val="00460319"/>
    <w:rsid w:val="0046078F"/>
    <w:rsid w:val="00463214"/>
    <w:rsid w:val="0046434D"/>
    <w:rsid w:val="0046555F"/>
    <w:rsid w:val="004656FA"/>
    <w:rsid w:val="00471D77"/>
    <w:rsid w:val="00475587"/>
    <w:rsid w:val="00480BC2"/>
    <w:rsid w:val="004845C3"/>
    <w:rsid w:val="00490EA4"/>
    <w:rsid w:val="004929C2"/>
    <w:rsid w:val="00493FDD"/>
    <w:rsid w:val="0049586B"/>
    <w:rsid w:val="00495989"/>
    <w:rsid w:val="004A3E44"/>
    <w:rsid w:val="004B160A"/>
    <w:rsid w:val="004B2018"/>
    <w:rsid w:val="004B2896"/>
    <w:rsid w:val="004B38E9"/>
    <w:rsid w:val="004B3FBA"/>
    <w:rsid w:val="004B6599"/>
    <w:rsid w:val="004C67C4"/>
    <w:rsid w:val="004C6CA7"/>
    <w:rsid w:val="004D4357"/>
    <w:rsid w:val="004D4950"/>
    <w:rsid w:val="004D59FF"/>
    <w:rsid w:val="004E2393"/>
    <w:rsid w:val="004E3745"/>
    <w:rsid w:val="004E42BE"/>
    <w:rsid w:val="004E4F42"/>
    <w:rsid w:val="004E55B4"/>
    <w:rsid w:val="004E5B5F"/>
    <w:rsid w:val="004E63D5"/>
    <w:rsid w:val="004F03FD"/>
    <w:rsid w:val="004F21F0"/>
    <w:rsid w:val="004F52F0"/>
    <w:rsid w:val="004F5B95"/>
    <w:rsid w:val="004F6250"/>
    <w:rsid w:val="004F677C"/>
    <w:rsid w:val="004F6D8F"/>
    <w:rsid w:val="00505503"/>
    <w:rsid w:val="0051107B"/>
    <w:rsid w:val="00512F9C"/>
    <w:rsid w:val="005262B4"/>
    <w:rsid w:val="00527CDB"/>
    <w:rsid w:val="005341C9"/>
    <w:rsid w:val="005369CA"/>
    <w:rsid w:val="00536DE9"/>
    <w:rsid w:val="00541E08"/>
    <w:rsid w:val="00554F48"/>
    <w:rsid w:val="00554FE0"/>
    <w:rsid w:val="0055789A"/>
    <w:rsid w:val="00560952"/>
    <w:rsid w:val="005648CB"/>
    <w:rsid w:val="005652D1"/>
    <w:rsid w:val="005660A0"/>
    <w:rsid w:val="00566A4F"/>
    <w:rsid w:val="00567D64"/>
    <w:rsid w:val="005978D4"/>
    <w:rsid w:val="005A23FA"/>
    <w:rsid w:val="005A5024"/>
    <w:rsid w:val="005B2A67"/>
    <w:rsid w:val="005B3DCD"/>
    <w:rsid w:val="005B4AD4"/>
    <w:rsid w:val="005C2798"/>
    <w:rsid w:val="005C36C3"/>
    <w:rsid w:val="005C4F7E"/>
    <w:rsid w:val="005C56EE"/>
    <w:rsid w:val="005D1714"/>
    <w:rsid w:val="005D2207"/>
    <w:rsid w:val="005D7638"/>
    <w:rsid w:val="005E4869"/>
    <w:rsid w:val="005F12F5"/>
    <w:rsid w:val="005F2670"/>
    <w:rsid w:val="005F62A1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266F7"/>
    <w:rsid w:val="00632777"/>
    <w:rsid w:val="00633750"/>
    <w:rsid w:val="00634491"/>
    <w:rsid w:val="0063679C"/>
    <w:rsid w:val="00637055"/>
    <w:rsid w:val="0063706F"/>
    <w:rsid w:val="00641D59"/>
    <w:rsid w:val="00644217"/>
    <w:rsid w:val="00644507"/>
    <w:rsid w:val="00646880"/>
    <w:rsid w:val="00647D2A"/>
    <w:rsid w:val="00653025"/>
    <w:rsid w:val="006537BB"/>
    <w:rsid w:val="0065643E"/>
    <w:rsid w:val="00660233"/>
    <w:rsid w:val="00667E07"/>
    <w:rsid w:val="00671785"/>
    <w:rsid w:val="00672BA9"/>
    <w:rsid w:val="00673005"/>
    <w:rsid w:val="006804BE"/>
    <w:rsid w:val="00683205"/>
    <w:rsid w:val="0068434A"/>
    <w:rsid w:val="0069008E"/>
    <w:rsid w:val="0069087E"/>
    <w:rsid w:val="006925C4"/>
    <w:rsid w:val="006A02B7"/>
    <w:rsid w:val="006A10B3"/>
    <w:rsid w:val="006A1B92"/>
    <w:rsid w:val="006A7019"/>
    <w:rsid w:val="006B46D5"/>
    <w:rsid w:val="006B46F4"/>
    <w:rsid w:val="006C5EF6"/>
    <w:rsid w:val="006C7468"/>
    <w:rsid w:val="006C7AF3"/>
    <w:rsid w:val="006D0B9D"/>
    <w:rsid w:val="006D56DF"/>
    <w:rsid w:val="006D6548"/>
    <w:rsid w:val="006E0E20"/>
    <w:rsid w:val="006E2A89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2F26"/>
    <w:rsid w:val="0070313E"/>
    <w:rsid w:val="00703799"/>
    <w:rsid w:val="00705C5C"/>
    <w:rsid w:val="00711475"/>
    <w:rsid w:val="0072548A"/>
    <w:rsid w:val="007277A6"/>
    <w:rsid w:val="007437AB"/>
    <w:rsid w:val="00745425"/>
    <w:rsid w:val="00747E21"/>
    <w:rsid w:val="0075114F"/>
    <w:rsid w:val="00752BAD"/>
    <w:rsid w:val="007534F8"/>
    <w:rsid w:val="007545AD"/>
    <w:rsid w:val="00763722"/>
    <w:rsid w:val="00764BC1"/>
    <w:rsid w:val="0076757A"/>
    <w:rsid w:val="00770869"/>
    <w:rsid w:val="007738AA"/>
    <w:rsid w:val="0077699A"/>
    <w:rsid w:val="00780A62"/>
    <w:rsid w:val="007827C9"/>
    <w:rsid w:val="00783241"/>
    <w:rsid w:val="00784BDC"/>
    <w:rsid w:val="00792F28"/>
    <w:rsid w:val="007935CA"/>
    <w:rsid w:val="0079543F"/>
    <w:rsid w:val="00795880"/>
    <w:rsid w:val="007A4367"/>
    <w:rsid w:val="007B0867"/>
    <w:rsid w:val="007B1AC1"/>
    <w:rsid w:val="007B5A08"/>
    <w:rsid w:val="007B693D"/>
    <w:rsid w:val="007C4CDC"/>
    <w:rsid w:val="007E041B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1793"/>
    <w:rsid w:val="00803642"/>
    <w:rsid w:val="00805FD8"/>
    <w:rsid w:val="00806EA2"/>
    <w:rsid w:val="00807AE9"/>
    <w:rsid w:val="00812A2B"/>
    <w:rsid w:val="00814A4C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6D49"/>
    <w:rsid w:val="00847DC3"/>
    <w:rsid w:val="00847F49"/>
    <w:rsid w:val="008535C5"/>
    <w:rsid w:val="00853765"/>
    <w:rsid w:val="0085516F"/>
    <w:rsid w:val="00867186"/>
    <w:rsid w:val="00870AF6"/>
    <w:rsid w:val="0087388A"/>
    <w:rsid w:val="00877452"/>
    <w:rsid w:val="00881268"/>
    <w:rsid w:val="00882594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5585"/>
    <w:rsid w:val="008B626F"/>
    <w:rsid w:val="008B65BD"/>
    <w:rsid w:val="008B7900"/>
    <w:rsid w:val="008C71BF"/>
    <w:rsid w:val="008C7FE0"/>
    <w:rsid w:val="008D1A89"/>
    <w:rsid w:val="008D4BAB"/>
    <w:rsid w:val="008D5717"/>
    <w:rsid w:val="008D7676"/>
    <w:rsid w:val="008E44A9"/>
    <w:rsid w:val="008E49E8"/>
    <w:rsid w:val="008E6B4D"/>
    <w:rsid w:val="008E6BFF"/>
    <w:rsid w:val="008E7DCA"/>
    <w:rsid w:val="008F20ED"/>
    <w:rsid w:val="008F21AF"/>
    <w:rsid w:val="008F2400"/>
    <w:rsid w:val="008F61BA"/>
    <w:rsid w:val="008F6E3C"/>
    <w:rsid w:val="008F7C55"/>
    <w:rsid w:val="00914A23"/>
    <w:rsid w:val="00930754"/>
    <w:rsid w:val="00934793"/>
    <w:rsid w:val="00934EB3"/>
    <w:rsid w:val="00934F68"/>
    <w:rsid w:val="009355AC"/>
    <w:rsid w:val="00935F38"/>
    <w:rsid w:val="00937586"/>
    <w:rsid w:val="00947889"/>
    <w:rsid w:val="009478BD"/>
    <w:rsid w:val="00950A79"/>
    <w:rsid w:val="00960E98"/>
    <w:rsid w:val="00963A82"/>
    <w:rsid w:val="00972912"/>
    <w:rsid w:val="00976D1F"/>
    <w:rsid w:val="00981C81"/>
    <w:rsid w:val="009A2D24"/>
    <w:rsid w:val="009A456C"/>
    <w:rsid w:val="009A4645"/>
    <w:rsid w:val="009B00E0"/>
    <w:rsid w:val="009B292A"/>
    <w:rsid w:val="009B76D5"/>
    <w:rsid w:val="009C165D"/>
    <w:rsid w:val="009C1660"/>
    <w:rsid w:val="009C3CEA"/>
    <w:rsid w:val="009C583D"/>
    <w:rsid w:val="009C7AFC"/>
    <w:rsid w:val="009D1F93"/>
    <w:rsid w:val="009D2611"/>
    <w:rsid w:val="009D69FA"/>
    <w:rsid w:val="009D79D2"/>
    <w:rsid w:val="009E247C"/>
    <w:rsid w:val="009E31BA"/>
    <w:rsid w:val="009F0528"/>
    <w:rsid w:val="009F0806"/>
    <w:rsid w:val="009F233B"/>
    <w:rsid w:val="00A05D16"/>
    <w:rsid w:val="00A0659F"/>
    <w:rsid w:val="00A079BA"/>
    <w:rsid w:val="00A13A58"/>
    <w:rsid w:val="00A14E8C"/>
    <w:rsid w:val="00A20C70"/>
    <w:rsid w:val="00A33875"/>
    <w:rsid w:val="00A360A1"/>
    <w:rsid w:val="00A377FC"/>
    <w:rsid w:val="00A402B3"/>
    <w:rsid w:val="00A544B7"/>
    <w:rsid w:val="00A56BF2"/>
    <w:rsid w:val="00A618CF"/>
    <w:rsid w:val="00A62770"/>
    <w:rsid w:val="00A62EEB"/>
    <w:rsid w:val="00A660FF"/>
    <w:rsid w:val="00A72AA6"/>
    <w:rsid w:val="00A73395"/>
    <w:rsid w:val="00A771E3"/>
    <w:rsid w:val="00A82B4C"/>
    <w:rsid w:val="00A93A4C"/>
    <w:rsid w:val="00A94D5D"/>
    <w:rsid w:val="00A96E9D"/>
    <w:rsid w:val="00AA1D9B"/>
    <w:rsid w:val="00AA2543"/>
    <w:rsid w:val="00AA3804"/>
    <w:rsid w:val="00AA55C2"/>
    <w:rsid w:val="00AB0ACA"/>
    <w:rsid w:val="00AB1D41"/>
    <w:rsid w:val="00AC5E9A"/>
    <w:rsid w:val="00AC704B"/>
    <w:rsid w:val="00AD553E"/>
    <w:rsid w:val="00AD5848"/>
    <w:rsid w:val="00AE2985"/>
    <w:rsid w:val="00AE5ADA"/>
    <w:rsid w:val="00AF6145"/>
    <w:rsid w:val="00B01386"/>
    <w:rsid w:val="00B01915"/>
    <w:rsid w:val="00B01BB5"/>
    <w:rsid w:val="00B026CC"/>
    <w:rsid w:val="00B04444"/>
    <w:rsid w:val="00B04AF4"/>
    <w:rsid w:val="00B05214"/>
    <w:rsid w:val="00B127B8"/>
    <w:rsid w:val="00B17555"/>
    <w:rsid w:val="00B30D97"/>
    <w:rsid w:val="00B31074"/>
    <w:rsid w:val="00B3181A"/>
    <w:rsid w:val="00B32BF1"/>
    <w:rsid w:val="00B35A7C"/>
    <w:rsid w:val="00B44ECD"/>
    <w:rsid w:val="00B450D1"/>
    <w:rsid w:val="00B53D47"/>
    <w:rsid w:val="00B54A25"/>
    <w:rsid w:val="00B618C3"/>
    <w:rsid w:val="00B63652"/>
    <w:rsid w:val="00B668B0"/>
    <w:rsid w:val="00B70F5C"/>
    <w:rsid w:val="00B71873"/>
    <w:rsid w:val="00B71979"/>
    <w:rsid w:val="00B71A4E"/>
    <w:rsid w:val="00B742FC"/>
    <w:rsid w:val="00B75AE5"/>
    <w:rsid w:val="00B763FF"/>
    <w:rsid w:val="00B800C0"/>
    <w:rsid w:val="00B8132B"/>
    <w:rsid w:val="00B84C5A"/>
    <w:rsid w:val="00B858F5"/>
    <w:rsid w:val="00B93668"/>
    <w:rsid w:val="00BA68C6"/>
    <w:rsid w:val="00BB12F1"/>
    <w:rsid w:val="00BB276E"/>
    <w:rsid w:val="00BB3FEE"/>
    <w:rsid w:val="00BB4D74"/>
    <w:rsid w:val="00BB5EB0"/>
    <w:rsid w:val="00BC245A"/>
    <w:rsid w:val="00BD16FA"/>
    <w:rsid w:val="00BD31E1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4B7C"/>
    <w:rsid w:val="00BF4D5A"/>
    <w:rsid w:val="00BF5755"/>
    <w:rsid w:val="00BF684B"/>
    <w:rsid w:val="00BF6A24"/>
    <w:rsid w:val="00C016F3"/>
    <w:rsid w:val="00C15193"/>
    <w:rsid w:val="00C15609"/>
    <w:rsid w:val="00C15F6A"/>
    <w:rsid w:val="00C23EA7"/>
    <w:rsid w:val="00C256F3"/>
    <w:rsid w:val="00C270A2"/>
    <w:rsid w:val="00C315B5"/>
    <w:rsid w:val="00C35E28"/>
    <w:rsid w:val="00C426AF"/>
    <w:rsid w:val="00C469C1"/>
    <w:rsid w:val="00C472B9"/>
    <w:rsid w:val="00C50659"/>
    <w:rsid w:val="00C51B39"/>
    <w:rsid w:val="00C5338A"/>
    <w:rsid w:val="00C54EF9"/>
    <w:rsid w:val="00C56317"/>
    <w:rsid w:val="00C56BBF"/>
    <w:rsid w:val="00C572AA"/>
    <w:rsid w:val="00C57A9A"/>
    <w:rsid w:val="00C6016A"/>
    <w:rsid w:val="00C60B3F"/>
    <w:rsid w:val="00C623EB"/>
    <w:rsid w:val="00C64C6B"/>
    <w:rsid w:val="00C66F2E"/>
    <w:rsid w:val="00C6742A"/>
    <w:rsid w:val="00C6785C"/>
    <w:rsid w:val="00C70FD1"/>
    <w:rsid w:val="00C72B76"/>
    <w:rsid w:val="00C733AA"/>
    <w:rsid w:val="00C744A0"/>
    <w:rsid w:val="00C82053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1A9D"/>
    <w:rsid w:val="00CA3A9A"/>
    <w:rsid w:val="00CB6BC1"/>
    <w:rsid w:val="00CB7021"/>
    <w:rsid w:val="00CC4142"/>
    <w:rsid w:val="00CD3294"/>
    <w:rsid w:val="00CD4524"/>
    <w:rsid w:val="00CD784D"/>
    <w:rsid w:val="00CF3A1C"/>
    <w:rsid w:val="00CF40F8"/>
    <w:rsid w:val="00D008DA"/>
    <w:rsid w:val="00D02D40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216D"/>
    <w:rsid w:val="00D2503A"/>
    <w:rsid w:val="00D31A6F"/>
    <w:rsid w:val="00D320CC"/>
    <w:rsid w:val="00D353D1"/>
    <w:rsid w:val="00D367DB"/>
    <w:rsid w:val="00D36E05"/>
    <w:rsid w:val="00D44F27"/>
    <w:rsid w:val="00D45304"/>
    <w:rsid w:val="00D46165"/>
    <w:rsid w:val="00D461C7"/>
    <w:rsid w:val="00D50424"/>
    <w:rsid w:val="00D525C9"/>
    <w:rsid w:val="00D57D3E"/>
    <w:rsid w:val="00D76249"/>
    <w:rsid w:val="00D808C4"/>
    <w:rsid w:val="00D8309E"/>
    <w:rsid w:val="00D83CFF"/>
    <w:rsid w:val="00DA7D12"/>
    <w:rsid w:val="00DC23CF"/>
    <w:rsid w:val="00DC6562"/>
    <w:rsid w:val="00DD0115"/>
    <w:rsid w:val="00DE130D"/>
    <w:rsid w:val="00DE24CF"/>
    <w:rsid w:val="00DE407C"/>
    <w:rsid w:val="00DE7C7D"/>
    <w:rsid w:val="00DF2992"/>
    <w:rsid w:val="00DF2D0C"/>
    <w:rsid w:val="00E00058"/>
    <w:rsid w:val="00E01B9D"/>
    <w:rsid w:val="00E0468F"/>
    <w:rsid w:val="00E04BB0"/>
    <w:rsid w:val="00E04F5E"/>
    <w:rsid w:val="00E0522E"/>
    <w:rsid w:val="00E120F4"/>
    <w:rsid w:val="00E12D2C"/>
    <w:rsid w:val="00E17172"/>
    <w:rsid w:val="00E3181C"/>
    <w:rsid w:val="00E3280A"/>
    <w:rsid w:val="00E36467"/>
    <w:rsid w:val="00E372AF"/>
    <w:rsid w:val="00E37D68"/>
    <w:rsid w:val="00E40EAE"/>
    <w:rsid w:val="00E436AC"/>
    <w:rsid w:val="00E43983"/>
    <w:rsid w:val="00E44F7A"/>
    <w:rsid w:val="00E44FF8"/>
    <w:rsid w:val="00E456C2"/>
    <w:rsid w:val="00E47794"/>
    <w:rsid w:val="00E5066A"/>
    <w:rsid w:val="00E52CF9"/>
    <w:rsid w:val="00E63F34"/>
    <w:rsid w:val="00E63FEA"/>
    <w:rsid w:val="00E6715A"/>
    <w:rsid w:val="00E75DC9"/>
    <w:rsid w:val="00E81610"/>
    <w:rsid w:val="00E84910"/>
    <w:rsid w:val="00E85B28"/>
    <w:rsid w:val="00E91976"/>
    <w:rsid w:val="00E9219F"/>
    <w:rsid w:val="00E947A6"/>
    <w:rsid w:val="00E9606B"/>
    <w:rsid w:val="00E97FC7"/>
    <w:rsid w:val="00EA0690"/>
    <w:rsid w:val="00EA351F"/>
    <w:rsid w:val="00EA3956"/>
    <w:rsid w:val="00EA7136"/>
    <w:rsid w:val="00EB2F21"/>
    <w:rsid w:val="00EB325A"/>
    <w:rsid w:val="00EC02A5"/>
    <w:rsid w:val="00EC176B"/>
    <w:rsid w:val="00EC33CD"/>
    <w:rsid w:val="00EC5BE5"/>
    <w:rsid w:val="00ED2650"/>
    <w:rsid w:val="00ED721A"/>
    <w:rsid w:val="00EE393D"/>
    <w:rsid w:val="00EE6A7D"/>
    <w:rsid w:val="00EF01CF"/>
    <w:rsid w:val="00EF47ED"/>
    <w:rsid w:val="00EF518C"/>
    <w:rsid w:val="00EF6A47"/>
    <w:rsid w:val="00EF7AF9"/>
    <w:rsid w:val="00F00952"/>
    <w:rsid w:val="00F01495"/>
    <w:rsid w:val="00F10138"/>
    <w:rsid w:val="00F13F92"/>
    <w:rsid w:val="00F14205"/>
    <w:rsid w:val="00F22ECA"/>
    <w:rsid w:val="00F2345B"/>
    <w:rsid w:val="00F240E8"/>
    <w:rsid w:val="00F244FA"/>
    <w:rsid w:val="00F359F6"/>
    <w:rsid w:val="00F366A2"/>
    <w:rsid w:val="00F44F43"/>
    <w:rsid w:val="00F450E1"/>
    <w:rsid w:val="00F50DF4"/>
    <w:rsid w:val="00F51810"/>
    <w:rsid w:val="00F57AFE"/>
    <w:rsid w:val="00F602DE"/>
    <w:rsid w:val="00F6278E"/>
    <w:rsid w:val="00F63C41"/>
    <w:rsid w:val="00F63E96"/>
    <w:rsid w:val="00F67C5B"/>
    <w:rsid w:val="00F701E3"/>
    <w:rsid w:val="00F71008"/>
    <w:rsid w:val="00F71F8C"/>
    <w:rsid w:val="00F735F2"/>
    <w:rsid w:val="00F839B6"/>
    <w:rsid w:val="00F85DA8"/>
    <w:rsid w:val="00F86AD4"/>
    <w:rsid w:val="00FA0113"/>
    <w:rsid w:val="00FA12B2"/>
    <w:rsid w:val="00FA3B74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1A40"/>
    <w:rsid w:val="00FD2049"/>
    <w:rsid w:val="00FD2140"/>
    <w:rsid w:val="00FD54E9"/>
    <w:rsid w:val="00FD5B5F"/>
    <w:rsid w:val="00FD5BDE"/>
    <w:rsid w:val="00FD68EC"/>
    <w:rsid w:val="00FE24A5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06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basedOn w:val="DefaultParagraphFont"/>
    <w:uiPriority w:val="99"/>
    <w:semiHidden/>
    <w:unhideWhenUsed/>
    <w:rsid w:val="0045733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56D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basedOn w:val="DefaultParagraphFont"/>
    <w:uiPriority w:val="99"/>
    <w:semiHidden/>
    <w:unhideWhenUsed/>
    <w:rsid w:val="0045733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5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milidoni@cystat.mof.gov.c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6F3CB-74FE-411D-8373-70602119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3650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Papageorgiou</cp:lastModifiedBy>
  <cp:revision>19</cp:revision>
  <cp:lastPrinted>2025-05-15T08:02:00Z</cp:lastPrinted>
  <dcterms:created xsi:type="dcterms:W3CDTF">2024-08-08T04:58:00Z</dcterms:created>
  <dcterms:modified xsi:type="dcterms:W3CDTF">2025-09-04T10:02:00Z</dcterms:modified>
</cp:coreProperties>
</file>