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38E61" w14:textId="3D31F206" w:rsidR="002D7325" w:rsidRPr="00567395" w:rsidRDefault="00C436C7" w:rsidP="002D7325">
      <w:pPr>
        <w:jc w:val="right"/>
        <w:rPr>
          <w:rFonts w:ascii="Verdana" w:eastAsia="Malgun Gothic" w:hAnsi="Verdana" w:cs="Arial"/>
          <w:sz w:val="18"/>
          <w:szCs w:val="18"/>
        </w:rPr>
      </w:pPr>
      <w:r w:rsidRPr="00DE3D9F">
        <w:rPr>
          <w:rFonts w:ascii="Verdana" w:hAnsi="Verdana" w:cs="Arial"/>
          <w:sz w:val="18"/>
          <w:szCs w:val="18"/>
        </w:rPr>
        <w:t>15</w:t>
      </w:r>
      <w:r w:rsidR="001E21E6" w:rsidRPr="00DE3D9F">
        <w:rPr>
          <w:rFonts w:ascii="Verdana" w:hAnsi="Verdana" w:cs="Arial"/>
          <w:sz w:val="18"/>
          <w:szCs w:val="18"/>
        </w:rPr>
        <w:t xml:space="preserve"> </w:t>
      </w:r>
      <w:r w:rsidR="001E21E6">
        <w:rPr>
          <w:rFonts w:ascii="Verdana" w:hAnsi="Verdana" w:cs="Arial"/>
          <w:sz w:val="18"/>
          <w:szCs w:val="18"/>
        </w:rPr>
        <w:t>November</w:t>
      </w:r>
      <w:r w:rsidR="00D9477F">
        <w:rPr>
          <w:rFonts w:ascii="Verdana" w:hAnsi="Verdana" w:cs="Arial"/>
          <w:sz w:val="18"/>
          <w:szCs w:val="18"/>
        </w:rPr>
        <w:t>, 2024</w:t>
      </w:r>
    </w:p>
    <w:p w14:paraId="2009C83A" w14:textId="77777777" w:rsidR="002D7325" w:rsidRPr="00CB64F3" w:rsidRDefault="002D7325" w:rsidP="002D7325">
      <w:pPr>
        <w:rPr>
          <w:rFonts w:ascii="Verdana" w:eastAsia="Malgun Gothic" w:hAnsi="Verdana" w:cs="Arial"/>
          <w:b/>
          <w:sz w:val="24"/>
          <w:szCs w:val="24"/>
        </w:rPr>
      </w:pPr>
    </w:p>
    <w:p w14:paraId="32531A42" w14:textId="77777777" w:rsidR="002D7325" w:rsidRPr="0087256C" w:rsidRDefault="002D7325" w:rsidP="002D7325">
      <w:pPr>
        <w:jc w:val="center"/>
        <w:rPr>
          <w:rFonts w:ascii="Verdana" w:eastAsia="Malgun Gothic" w:hAnsi="Verdana" w:cs="Arial"/>
          <w:b/>
          <w:sz w:val="24"/>
          <w:szCs w:val="24"/>
        </w:rPr>
      </w:pPr>
      <w:r>
        <w:rPr>
          <w:rFonts w:ascii="Verdana" w:eastAsia="Malgun Gothic" w:hAnsi="Verdana" w:cs="Arial"/>
          <w:b/>
          <w:sz w:val="24"/>
          <w:szCs w:val="24"/>
        </w:rPr>
        <w:t>PRESS RELEASE</w:t>
      </w:r>
    </w:p>
    <w:p w14:paraId="392330DE" w14:textId="77777777" w:rsidR="002D7325" w:rsidRPr="00475801" w:rsidRDefault="002D7325" w:rsidP="002D7325">
      <w:pPr>
        <w:rPr>
          <w:rFonts w:ascii="Verdana" w:eastAsia="Malgun Gothic" w:hAnsi="Verdana" w:cs="Arial"/>
        </w:rPr>
      </w:pPr>
    </w:p>
    <w:p w14:paraId="161674CA" w14:textId="7D0CF1A2" w:rsidR="002D7325" w:rsidRPr="00194BB0" w:rsidRDefault="002D7325" w:rsidP="002D7325">
      <w:pPr>
        <w:rPr>
          <w:rFonts w:ascii="Verdana" w:eastAsia="Times New Roman" w:hAnsi="Verdana"/>
          <w:bCs/>
          <w:u w:val="single"/>
          <w:shd w:val="clear" w:color="auto" w:fill="FFFFFF"/>
        </w:rPr>
      </w:pPr>
      <w:bookmarkStart w:id="0" w:name="_Hlk57290677"/>
      <w:r w:rsidRPr="00946648">
        <w:rPr>
          <w:rFonts w:ascii="Verdana" w:eastAsia="Times New Roman" w:hAnsi="Verdana"/>
          <w:u w:val="single"/>
          <w:shd w:val="clear" w:color="auto" w:fill="FFFFFF"/>
        </w:rPr>
        <w:t>ROAD FREIGHT TRANSPORT</w:t>
      </w:r>
      <w:r w:rsidRPr="00946648">
        <w:rPr>
          <w:rFonts w:ascii="Verdana" w:eastAsia="Times New Roman" w:hAnsi="Verdana"/>
          <w:bCs/>
          <w:u w:val="single"/>
          <w:shd w:val="clear" w:color="auto" w:fill="FFFFFF"/>
        </w:rPr>
        <w:t>:</w:t>
      </w:r>
      <w:bookmarkEnd w:id="0"/>
      <w:r w:rsidRPr="00946648">
        <w:rPr>
          <w:rFonts w:ascii="Verdana" w:eastAsia="Times New Roman" w:hAnsi="Verdana"/>
          <w:bCs/>
          <w:u w:val="single"/>
          <w:shd w:val="clear" w:color="auto" w:fill="FFFFFF"/>
        </w:rPr>
        <w:t xml:space="preserve"> </w:t>
      </w:r>
      <w:r w:rsidR="001E21E6">
        <w:rPr>
          <w:rFonts w:ascii="Verdana" w:eastAsia="Times New Roman" w:hAnsi="Verdana"/>
          <w:b/>
          <w:bCs/>
          <w:u w:val="single"/>
          <w:shd w:val="clear" w:color="auto" w:fill="FFFFFF"/>
        </w:rPr>
        <w:t>2nd</w:t>
      </w:r>
      <w:r>
        <w:rPr>
          <w:rFonts w:ascii="Verdana" w:eastAsia="Times New Roman" w:hAnsi="Verdana"/>
          <w:b/>
          <w:bCs/>
          <w:u w:val="single"/>
          <w:shd w:val="clear" w:color="auto" w:fill="FFFFFF"/>
        </w:rPr>
        <w:t xml:space="preserve"> </w:t>
      </w:r>
      <w:r w:rsidRPr="00946648">
        <w:rPr>
          <w:rFonts w:ascii="Verdana" w:eastAsia="Times New Roman" w:hAnsi="Verdana"/>
          <w:b/>
          <w:bCs/>
          <w:u w:val="single"/>
          <w:shd w:val="clear" w:color="auto" w:fill="FFFFFF"/>
        </w:rPr>
        <w:t>QUARTER 202</w:t>
      </w:r>
      <w:r w:rsidR="00F62630">
        <w:rPr>
          <w:rFonts w:ascii="Verdana" w:eastAsia="Times New Roman" w:hAnsi="Verdana"/>
          <w:b/>
          <w:bCs/>
          <w:u w:val="single"/>
          <w:shd w:val="clear" w:color="auto" w:fill="FFFFFF"/>
        </w:rPr>
        <w:t>4</w:t>
      </w:r>
    </w:p>
    <w:p w14:paraId="768B2F70" w14:textId="77777777" w:rsidR="002D7325" w:rsidRPr="00A24AF3" w:rsidRDefault="002D7325" w:rsidP="002D7325">
      <w:pPr>
        <w:jc w:val="both"/>
        <w:rPr>
          <w:rFonts w:ascii="Verdana" w:eastAsia="Times New Roman" w:hAnsi="Verdana"/>
          <w:sz w:val="18"/>
          <w:szCs w:val="18"/>
          <w:shd w:val="clear" w:color="auto" w:fill="FFFFFF"/>
        </w:rPr>
      </w:pPr>
    </w:p>
    <w:p w14:paraId="54A7D585" w14:textId="766518C1" w:rsidR="002D7325" w:rsidRPr="002872E2" w:rsidRDefault="002D7325" w:rsidP="002D7325">
      <w:pPr>
        <w:jc w:val="center"/>
        <w:rPr>
          <w:rFonts w:ascii="Verdana" w:eastAsia="Malgun Gothic" w:hAnsi="Verdana" w:cs="Arial"/>
          <w:b/>
          <w:bCs/>
        </w:rPr>
      </w:pPr>
      <w:r>
        <w:rPr>
          <w:rFonts w:ascii="Verdana" w:eastAsia="Malgun Gothic" w:hAnsi="Verdana" w:cs="Arial"/>
          <w:b/>
          <w:bCs/>
        </w:rPr>
        <w:t>F</w:t>
      </w:r>
      <w:r w:rsidRPr="004D66AC">
        <w:rPr>
          <w:rFonts w:ascii="Verdana" w:eastAsia="Malgun Gothic" w:hAnsi="Verdana" w:cs="Arial"/>
          <w:b/>
          <w:bCs/>
        </w:rPr>
        <w:t xml:space="preserve">reight transport </w:t>
      </w:r>
      <w:r>
        <w:rPr>
          <w:rFonts w:ascii="Verdana" w:eastAsia="Malgun Gothic" w:hAnsi="Verdana" w:cs="Arial"/>
          <w:b/>
          <w:bCs/>
        </w:rPr>
        <w:t>in Cyprus +</w:t>
      </w:r>
      <w:r w:rsidR="001E21E6">
        <w:rPr>
          <w:rFonts w:ascii="Verdana" w:eastAsia="Malgun Gothic" w:hAnsi="Verdana" w:cs="Arial"/>
          <w:b/>
          <w:bCs/>
        </w:rPr>
        <w:t>9,1</w:t>
      </w:r>
      <w:r>
        <w:rPr>
          <w:rFonts w:ascii="Verdana" w:eastAsia="Malgun Gothic" w:hAnsi="Verdana" w:cs="Arial"/>
          <w:b/>
          <w:bCs/>
        </w:rPr>
        <w:t xml:space="preserve">% and </w:t>
      </w:r>
      <w:r w:rsidRPr="004D66AC">
        <w:rPr>
          <w:rFonts w:ascii="Verdana" w:eastAsia="Malgun Gothic" w:hAnsi="Verdana" w:cs="Arial"/>
          <w:b/>
          <w:bCs/>
        </w:rPr>
        <w:t>from and to Cyprus</w:t>
      </w:r>
      <w:r>
        <w:rPr>
          <w:rFonts w:ascii="Verdana" w:eastAsia="Malgun Gothic" w:hAnsi="Verdana" w:cs="Arial"/>
          <w:b/>
          <w:bCs/>
        </w:rPr>
        <w:t xml:space="preserve"> </w:t>
      </w:r>
      <w:r w:rsidR="001E21E6">
        <w:rPr>
          <w:rFonts w:ascii="Verdana" w:eastAsia="Malgun Gothic" w:hAnsi="Verdana" w:cs="Arial"/>
          <w:b/>
          <w:bCs/>
        </w:rPr>
        <w:t>+9,5</w:t>
      </w:r>
      <w:r>
        <w:rPr>
          <w:rFonts w:ascii="Verdana" w:eastAsia="Malgun Gothic" w:hAnsi="Verdana" w:cs="Arial"/>
          <w:b/>
          <w:bCs/>
        </w:rPr>
        <w:t>%</w:t>
      </w:r>
      <w:r w:rsidRPr="002872E2">
        <w:rPr>
          <w:rFonts w:ascii="Verdana" w:eastAsia="Malgun Gothic" w:hAnsi="Verdana" w:cs="Arial"/>
          <w:b/>
          <w:bCs/>
        </w:rPr>
        <w:t xml:space="preserve"> </w:t>
      </w:r>
    </w:p>
    <w:p w14:paraId="45B736A4" w14:textId="77777777" w:rsidR="002D7325" w:rsidRPr="001B36FE" w:rsidRDefault="002D7325" w:rsidP="002D7325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0B81DED" w14:textId="07C03618" w:rsidR="002D7325" w:rsidRPr="001B36FE" w:rsidRDefault="002D7325" w:rsidP="002D7325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1B36FE">
        <w:rPr>
          <w:rFonts w:ascii="Verdana" w:hAnsi="Verdana"/>
          <w:sz w:val="18"/>
          <w:szCs w:val="18"/>
          <w:shd w:val="clear" w:color="auto" w:fill="FFFFFF"/>
        </w:rPr>
        <w:t xml:space="preserve">The Statistical Service announces the release of the latest figures for road freight transport for the </w:t>
      </w:r>
      <w:r w:rsidR="00C363C4">
        <w:rPr>
          <w:rFonts w:ascii="Verdana" w:hAnsi="Verdana"/>
          <w:sz w:val="18"/>
          <w:szCs w:val="18"/>
          <w:shd w:val="clear" w:color="auto" w:fill="FFFFFF"/>
        </w:rPr>
        <w:t>second</w:t>
      </w:r>
      <w:r w:rsidRPr="001B36FE">
        <w:rPr>
          <w:rFonts w:ascii="Verdana" w:hAnsi="Verdana"/>
          <w:sz w:val="18"/>
          <w:szCs w:val="18"/>
          <w:shd w:val="clear" w:color="auto" w:fill="FFFFFF"/>
        </w:rPr>
        <w:t xml:space="preserve"> quarter of 202</w:t>
      </w:r>
      <w:r w:rsidR="00F62630">
        <w:rPr>
          <w:rFonts w:ascii="Verdana" w:hAnsi="Verdana"/>
          <w:sz w:val="18"/>
          <w:szCs w:val="18"/>
          <w:shd w:val="clear" w:color="auto" w:fill="FFFFFF"/>
        </w:rPr>
        <w:t>4</w:t>
      </w:r>
      <w:r w:rsidRPr="001B36FE">
        <w:rPr>
          <w:rFonts w:ascii="Verdana" w:hAnsi="Verdana"/>
          <w:sz w:val="18"/>
          <w:szCs w:val="18"/>
          <w:shd w:val="clear" w:color="auto" w:fill="FFFFFF"/>
        </w:rPr>
        <w:t>.</w:t>
      </w:r>
    </w:p>
    <w:p w14:paraId="5260D999" w14:textId="77777777" w:rsidR="002D7325" w:rsidRPr="001B36FE" w:rsidRDefault="002D7325" w:rsidP="002D7325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6888ADE1" w14:textId="52303E72" w:rsidR="002D7325" w:rsidRPr="001B36FE" w:rsidRDefault="002D7325" w:rsidP="002D7325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1B36FE">
        <w:rPr>
          <w:rFonts w:ascii="Verdana" w:hAnsi="Verdana"/>
          <w:sz w:val="18"/>
          <w:szCs w:val="18"/>
          <w:shd w:val="clear" w:color="auto" w:fill="FFFFFF"/>
        </w:rPr>
        <w:t xml:space="preserve">During the period </w:t>
      </w:r>
      <w:r w:rsidR="001E21E6">
        <w:rPr>
          <w:rFonts w:ascii="Verdana" w:hAnsi="Verdana"/>
          <w:sz w:val="18"/>
          <w:szCs w:val="18"/>
          <w:shd w:val="clear" w:color="auto" w:fill="FFFFFF"/>
        </w:rPr>
        <w:t>April-June</w:t>
      </w:r>
      <w:r w:rsidR="00BF3FAC">
        <w:rPr>
          <w:rFonts w:ascii="Verdana" w:hAnsi="Verdana"/>
          <w:sz w:val="18"/>
          <w:szCs w:val="18"/>
          <w:shd w:val="clear" w:color="auto" w:fill="FFFFFF"/>
        </w:rPr>
        <w:t xml:space="preserve"> 202</w:t>
      </w:r>
      <w:r w:rsidR="001E21E6">
        <w:rPr>
          <w:rFonts w:ascii="Verdana" w:hAnsi="Verdana"/>
          <w:sz w:val="18"/>
          <w:szCs w:val="18"/>
          <w:shd w:val="clear" w:color="auto" w:fill="FFFFFF"/>
        </w:rPr>
        <w:t>4</w:t>
      </w:r>
      <w:r w:rsidRPr="001B36FE">
        <w:rPr>
          <w:rFonts w:ascii="Verdana" w:hAnsi="Verdana"/>
          <w:sz w:val="18"/>
          <w:szCs w:val="18"/>
          <w:shd w:val="clear" w:color="auto" w:fill="FFFFFF"/>
        </w:rPr>
        <w:t xml:space="preserve">, the total weight of goods transported by road in Cyprus </w:t>
      </w:r>
      <w:r>
        <w:rPr>
          <w:rFonts w:ascii="Verdana" w:hAnsi="Verdana"/>
          <w:sz w:val="18"/>
          <w:szCs w:val="18"/>
          <w:shd w:val="clear" w:color="auto" w:fill="FFFFFF"/>
        </w:rPr>
        <w:t>in</w:t>
      </w:r>
      <w:r w:rsidRPr="001B36FE">
        <w:rPr>
          <w:rFonts w:ascii="Verdana" w:hAnsi="Verdana"/>
          <w:sz w:val="18"/>
          <w:szCs w:val="18"/>
          <w:shd w:val="clear" w:color="auto" w:fill="FFFFFF"/>
        </w:rPr>
        <w:t xml:space="preserve">creased by </w:t>
      </w:r>
      <w:r w:rsidR="001E21E6">
        <w:rPr>
          <w:rFonts w:ascii="Verdana" w:hAnsi="Verdana"/>
          <w:sz w:val="18"/>
          <w:szCs w:val="18"/>
          <w:shd w:val="clear" w:color="auto" w:fill="FFFFFF"/>
        </w:rPr>
        <w:t>9,1</w:t>
      </w:r>
      <w:r w:rsidRPr="001B36FE">
        <w:rPr>
          <w:rFonts w:ascii="Verdana" w:hAnsi="Verdana"/>
          <w:sz w:val="18"/>
          <w:szCs w:val="18"/>
          <w:shd w:val="clear" w:color="auto" w:fill="FFFFFF"/>
        </w:rPr>
        <w:t>% compared to the corresponding period of 20</w:t>
      </w:r>
      <w:r>
        <w:rPr>
          <w:rFonts w:ascii="Verdana" w:hAnsi="Verdana"/>
          <w:sz w:val="18"/>
          <w:szCs w:val="18"/>
          <w:shd w:val="clear" w:color="auto" w:fill="FFFFFF"/>
        </w:rPr>
        <w:t>2</w:t>
      </w:r>
      <w:r w:rsidR="00F62630">
        <w:rPr>
          <w:rFonts w:ascii="Verdana" w:hAnsi="Verdana"/>
          <w:sz w:val="18"/>
          <w:szCs w:val="18"/>
          <w:shd w:val="clear" w:color="auto" w:fill="FFFFFF"/>
        </w:rPr>
        <w:t>3</w:t>
      </w:r>
      <w:r w:rsidRPr="001B36FE">
        <w:rPr>
          <w:rFonts w:ascii="Verdana" w:hAnsi="Verdana"/>
          <w:sz w:val="18"/>
          <w:szCs w:val="18"/>
          <w:shd w:val="clear" w:color="auto" w:fill="FFFFFF"/>
        </w:rPr>
        <w:t xml:space="preserve">, while the weight of freight transported from and to Cyprus </w:t>
      </w:r>
      <w:r w:rsidR="001E21E6">
        <w:rPr>
          <w:rFonts w:ascii="Verdana" w:hAnsi="Verdana"/>
          <w:sz w:val="18"/>
          <w:szCs w:val="18"/>
          <w:shd w:val="clear" w:color="auto" w:fill="FFFFFF"/>
        </w:rPr>
        <w:t>also in</w:t>
      </w:r>
      <w:r w:rsidR="001E21E6" w:rsidRPr="001B36FE">
        <w:rPr>
          <w:rFonts w:ascii="Verdana" w:hAnsi="Verdana"/>
          <w:sz w:val="18"/>
          <w:szCs w:val="18"/>
          <w:shd w:val="clear" w:color="auto" w:fill="FFFFFF"/>
        </w:rPr>
        <w:t xml:space="preserve">creased </w:t>
      </w:r>
      <w:r w:rsidRPr="001B36FE">
        <w:rPr>
          <w:rFonts w:ascii="Verdana" w:hAnsi="Verdana"/>
          <w:sz w:val="18"/>
          <w:szCs w:val="18"/>
          <w:shd w:val="clear" w:color="auto" w:fill="FFFFFF"/>
        </w:rPr>
        <w:t>by</w:t>
      </w:r>
      <w:r w:rsidR="00BB5BE0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1E21E6">
        <w:rPr>
          <w:rFonts w:ascii="Verdana" w:hAnsi="Verdana"/>
          <w:sz w:val="18"/>
          <w:szCs w:val="18"/>
          <w:shd w:val="clear" w:color="auto" w:fill="FFFFFF"/>
        </w:rPr>
        <w:t>9,5</w:t>
      </w:r>
      <w:r w:rsidRPr="001B36FE">
        <w:rPr>
          <w:rFonts w:ascii="Verdana" w:hAnsi="Verdana"/>
          <w:sz w:val="18"/>
          <w:szCs w:val="18"/>
          <w:shd w:val="clear" w:color="auto" w:fill="FFFFFF"/>
        </w:rPr>
        <w:t>%.</w:t>
      </w:r>
    </w:p>
    <w:p w14:paraId="5E836EC6" w14:textId="77777777" w:rsidR="002D7325" w:rsidRPr="001E21E6" w:rsidRDefault="002D7325" w:rsidP="002D7325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2664906A" w14:textId="54F757AF" w:rsidR="001E21E6" w:rsidRPr="001B36FE" w:rsidRDefault="001E21E6" w:rsidP="001E21E6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1B36FE">
        <w:rPr>
          <w:rFonts w:ascii="Verdana" w:hAnsi="Verdana"/>
          <w:sz w:val="18"/>
          <w:szCs w:val="18"/>
          <w:shd w:val="clear" w:color="auto" w:fill="FFFFFF"/>
        </w:rPr>
        <w:t xml:space="preserve">During the period </w:t>
      </w:r>
      <w:r>
        <w:rPr>
          <w:rFonts w:ascii="Verdana" w:hAnsi="Verdana"/>
          <w:sz w:val="18"/>
          <w:szCs w:val="18"/>
          <w:shd w:val="clear" w:color="auto" w:fill="FFFFFF"/>
        </w:rPr>
        <w:t>January-June 2024</w:t>
      </w:r>
      <w:r w:rsidRPr="001B36FE">
        <w:rPr>
          <w:rFonts w:ascii="Verdana" w:hAnsi="Verdana"/>
          <w:sz w:val="18"/>
          <w:szCs w:val="18"/>
          <w:shd w:val="clear" w:color="auto" w:fill="FFFFFF"/>
        </w:rPr>
        <w:t xml:space="preserve">, the total weight of goods transported by road in Cyprus </w:t>
      </w:r>
      <w:r>
        <w:rPr>
          <w:rFonts w:ascii="Verdana" w:hAnsi="Verdana"/>
          <w:sz w:val="18"/>
          <w:szCs w:val="18"/>
          <w:shd w:val="clear" w:color="auto" w:fill="FFFFFF"/>
        </w:rPr>
        <w:t>in</w:t>
      </w:r>
      <w:r w:rsidRPr="001B36FE">
        <w:rPr>
          <w:rFonts w:ascii="Verdana" w:hAnsi="Verdana"/>
          <w:sz w:val="18"/>
          <w:szCs w:val="18"/>
          <w:shd w:val="clear" w:color="auto" w:fill="FFFFFF"/>
        </w:rPr>
        <w:t xml:space="preserve">creased by </w:t>
      </w:r>
      <w:r>
        <w:rPr>
          <w:rFonts w:ascii="Verdana" w:hAnsi="Verdana"/>
          <w:sz w:val="18"/>
          <w:szCs w:val="18"/>
          <w:shd w:val="clear" w:color="auto" w:fill="FFFFFF"/>
        </w:rPr>
        <w:t>6,3</w:t>
      </w:r>
      <w:r w:rsidRPr="001B36FE">
        <w:rPr>
          <w:rFonts w:ascii="Verdana" w:hAnsi="Verdana"/>
          <w:sz w:val="18"/>
          <w:szCs w:val="18"/>
          <w:shd w:val="clear" w:color="auto" w:fill="FFFFFF"/>
        </w:rPr>
        <w:t>% compared to the corresponding period of 20</w:t>
      </w:r>
      <w:r>
        <w:rPr>
          <w:rFonts w:ascii="Verdana" w:hAnsi="Verdana"/>
          <w:sz w:val="18"/>
          <w:szCs w:val="18"/>
          <w:shd w:val="clear" w:color="auto" w:fill="FFFFFF"/>
        </w:rPr>
        <w:t>23</w:t>
      </w:r>
      <w:r w:rsidRPr="001B36FE">
        <w:rPr>
          <w:rFonts w:ascii="Verdana" w:hAnsi="Verdana"/>
          <w:sz w:val="18"/>
          <w:szCs w:val="18"/>
          <w:shd w:val="clear" w:color="auto" w:fill="FFFFFF"/>
        </w:rPr>
        <w:t xml:space="preserve">, while the weight of freight transported from and to Cyprus </w:t>
      </w:r>
      <w:r>
        <w:rPr>
          <w:rFonts w:ascii="Verdana" w:hAnsi="Verdana"/>
          <w:sz w:val="18"/>
          <w:szCs w:val="18"/>
          <w:shd w:val="clear" w:color="auto" w:fill="FFFFFF"/>
        </w:rPr>
        <w:t>also in</w:t>
      </w:r>
      <w:r w:rsidRPr="001B36FE">
        <w:rPr>
          <w:rFonts w:ascii="Verdana" w:hAnsi="Verdana"/>
          <w:sz w:val="18"/>
          <w:szCs w:val="18"/>
          <w:shd w:val="clear" w:color="auto" w:fill="FFFFFF"/>
        </w:rPr>
        <w:t xml:space="preserve">creased by </w:t>
      </w:r>
      <w:r>
        <w:rPr>
          <w:rFonts w:ascii="Verdana" w:hAnsi="Verdana"/>
          <w:sz w:val="18"/>
          <w:szCs w:val="18"/>
          <w:shd w:val="clear" w:color="auto" w:fill="FFFFFF"/>
        </w:rPr>
        <w:t>4,3</w:t>
      </w:r>
      <w:r w:rsidRPr="001B36FE">
        <w:rPr>
          <w:rFonts w:ascii="Verdana" w:hAnsi="Verdana"/>
          <w:sz w:val="18"/>
          <w:szCs w:val="18"/>
          <w:shd w:val="clear" w:color="auto" w:fill="FFFFFF"/>
        </w:rPr>
        <w:t>%.</w:t>
      </w:r>
    </w:p>
    <w:p w14:paraId="492EE06D" w14:textId="77777777" w:rsidR="001E21E6" w:rsidRPr="001E21E6" w:rsidRDefault="001E21E6" w:rsidP="002D7325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0E36F6A5" w14:textId="77777777" w:rsidR="005A12C7" w:rsidRPr="001B36FE" w:rsidRDefault="005A12C7" w:rsidP="002D7325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5AAF7BEB" w14:textId="4D19F84E" w:rsidR="002D7325" w:rsidRPr="001B36FE" w:rsidRDefault="00DE3D9F" w:rsidP="002D7325">
      <w:pPr>
        <w:jc w:val="center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noProof/>
          <w:sz w:val="18"/>
          <w:szCs w:val="18"/>
          <w:shd w:val="clear" w:color="auto" w:fill="FFFFFF"/>
        </w:rPr>
        <w:drawing>
          <wp:inline distT="0" distB="0" distL="0" distR="0" wp14:anchorId="5143C064" wp14:editId="2BC559FD">
            <wp:extent cx="6096635" cy="4554220"/>
            <wp:effectExtent l="0" t="0" r="0" b="0"/>
            <wp:docPr id="177893178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455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31DA10" w14:textId="45808096" w:rsidR="002D7325" w:rsidRDefault="002D7325" w:rsidP="002D7325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6DD1E0C4" w14:textId="27A8BD16" w:rsidR="002D7325" w:rsidRDefault="002D7325" w:rsidP="002D7325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0F6AAE77" w14:textId="0AB3CAEC" w:rsidR="002D7325" w:rsidRDefault="002D7325" w:rsidP="002D7325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tbl>
      <w:tblPr>
        <w:tblW w:w="10546" w:type="dxa"/>
        <w:jc w:val="center"/>
        <w:tblLook w:val="04A0" w:firstRow="1" w:lastRow="0" w:firstColumn="1" w:lastColumn="0" w:noHBand="0" w:noVBand="1"/>
      </w:tblPr>
      <w:tblGrid>
        <w:gridCol w:w="2616"/>
        <w:gridCol w:w="1100"/>
        <w:gridCol w:w="1214"/>
        <w:gridCol w:w="1214"/>
        <w:gridCol w:w="1214"/>
        <w:gridCol w:w="460"/>
        <w:gridCol w:w="585"/>
        <w:gridCol w:w="779"/>
        <w:gridCol w:w="683"/>
        <w:gridCol w:w="681"/>
      </w:tblGrid>
      <w:tr w:rsidR="001E21E6" w:rsidRPr="003C2058" w14:paraId="6E09912B" w14:textId="77777777" w:rsidTr="00B9270C">
        <w:trPr>
          <w:trHeight w:val="480"/>
          <w:jc w:val="center"/>
        </w:trPr>
        <w:tc>
          <w:tcPr>
            <w:tcW w:w="7358" w:type="dxa"/>
            <w:gridSpan w:val="5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41795759" w14:textId="77777777" w:rsidR="001E21E6" w:rsidRPr="003C2058" w:rsidRDefault="001E21E6" w:rsidP="00B9270C">
            <w:pPr>
              <w:jc w:val="both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lastRenderedPageBreak/>
              <w:t xml:space="preserve">Table 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1</w:t>
            </w:r>
            <w: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6718C939" w14:textId="77777777" w:rsidR="001E21E6" w:rsidRPr="003C2058" w:rsidRDefault="001E21E6" w:rsidP="00B9270C">
            <w:pPr>
              <w:jc w:val="both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3CEC6C05" w14:textId="77777777" w:rsidR="001E21E6" w:rsidRPr="003C2058" w:rsidRDefault="001E21E6" w:rsidP="00B9270C">
            <w:pPr>
              <w:jc w:val="both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4F8CD43" w14:textId="77777777" w:rsidR="001E21E6" w:rsidRPr="003C2058" w:rsidRDefault="001E21E6" w:rsidP="00B9270C">
            <w:pPr>
              <w:rPr>
                <w:rFonts w:eastAsia="Times New Roman" w:cs="Calibri"/>
                <w:color w:val="000000"/>
                <w:sz w:val="18"/>
                <w:szCs w:val="18"/>
                <w:lang w:val="en-CY" w:eastAsia="en-CY" w:bidi="he-IL"/>
              </w:rPr>
            </w:pPr>
            <w:r w:rsidRPr="003C2058">
              <w:rPr>
                <w:rFonts w:eastAsia="Times New Roman" w:cs="Calibri"/>
                <w:color w:val="000000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67E76E2F" w14:textId="77777777" w:rsidR="001E21E6" w:rsidRPr="003C2058" w:rsidRDefault="001E21E6" w:rsidP="00B9270C">
            <w:pPr>
              <w:rPr>
                <w:rFonts w:eastAsia="Times New Roman" w:cs="Calibri"/>
                <w:color w:val="000000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347B0207" w14:textId="77777777" w:rsidR="001E21E6" w:rsidRPr="003C2058" w:rsidRDefault="001E21E6" w:rsidP="00B9270C">
            <w:pPr>
              <w:rPr>
                <w:rFonts w:ascii="Times New Roman" w:eastAsia="Times New Roman" w:hAnsi="Times New Roman"/>
                <w:sz w:val="20"/>
                <w:szCs w:val="20"/>
                <w:lang w:val="en-CY" w:eastAsia="en-CY" w:bidi="he-IL"/>
              </w:rPr>
            </w:pPr>
          </w:p>
        </w:tc>
      </w:tr>
      <w:tr w:rsidR="001E21E6" w:rsidRPr="003C2058" w14:paraId="5E0A5C45" w14:textId="77777777" w:rsidTr="00B9270C">
        <w:trPr>
          <w:trHeight w:val="567"/>
          <w:jc w:val="center"/>
        </w:trPr>
        <w:tc>
          <w:tcPr>
            <w:tcW w:w="2616" w:type="dxa"/>
            <w:vMerge w:val="restart"/>
            <w:tcBorders>
              <w:top w:val="single" w:sz="4" w:space="0" w:color="2F5496" w:themeColor="accent1" w:themeShade="BF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00131B88" w14:textId="77777777" w:rsidR="001E21E6" w:rsidRPr="003C2058" w:rsidRDefault="001E21E6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366427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Road Freight Transport</w:t>
            </w:r>
          </w:p>
        </w:tc>
        <w:tc>
          <w:tcPr>
            <w:tcW w:w="4742" w:type="dxa"/>
            <w:gridSpan w:val="4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7813DC16" w14:textId="77777777" w:rsidR="001E21E6" w:rsidRDefault="001E21E6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T</w:t>
            </w:r>
            <w:proofErr w:type="spellStart"/>
            <w:r w:rsidRPr="00366427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onnes</w:t>
            </w:r>
            <w:proofErr w:type="spellEnd"/>
          </w:p>
          <w:p w14:paraId="2CEF343A" w14:textId="77777777" w:rsidR="001E21E6" w:rsidRPr="003C2058" w:rsidRDefault="001E21E6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90D6E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(</w:t>
            </w:r>
            <w:r w:rsidRPr="00B14837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thousand</w:t>
            </w:r>
            <w:r w:rsidRPr="00490D6E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)</w:t>
            </w:r>
          </w:p>
        </w:tc>
        <w:tc>
          <w:tcPr>
            <w:tcW w:w="46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35C79" w14:textId="77777777" w:rsidR="001E21E6" w:rsidRPr="003C2058" w:rsidRDefault="001E21E6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728" w:type="dxa"/>
            <w:gridSpan w:val="4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4EEF9221" w14:textId="77777777" w:rsidR="001E21E6" w:rsidRDefault="001E21E6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366427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Percentage Change</w:t>
            </w:r>
          </w:p>
          <w:p w14:paraId="57C5E5B6" w14:textId="77777777" w:rsidR="001E21E6" w:rsidRPr="003C2058" w:rsidRDefault="001E21E6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(%)</w:t>
            </w:r>
          </w:p>
        </w:tc>
      </w:tr>
      <w:tr w:rsidR="001E21E6" w:rsidRPr="003C2058" w14:paraId="2CF568D1" w14:textId="77777777" w:rsidTr="00B9270C">
        <w:trPr>
          <w:trHeight w:val="510"/>
          <w:jc w:val="center"/>
        </w:trPr>
        <w:tc>
          <w:tcPr>
            <w:tcW w:w="2616" w:type="dxa"/>
            <w:vMerge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4E82A526" w14:textId="77777777" w:rsidR="001E21E6" w:rsidRPr="003C2058" w:rsidRDefault="001E21E6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00" w:type="dxa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50673BB" w14:textId="77777777" w:rsidR="001E21E6" w:rsidRDefault="001E21E6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Apr-Jun</w:t>
            </w:r>
          </w:p>
          <w:p w14:paraId="63928700" w14:textId="4F77148C" w:rsidR="001E21E6" w:rsidRPr="003C2058" w:rsidRDefault="001E21E6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3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7520271" w14:textId="34E1CB93" w:rsidR="001E21E6" w:rsidRPr="003C2058" w:rsidRDefault="001E21E6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Apr-Jun 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4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 xml:space="preserve"> </w:t>
            </w:r>
          </w:p>
          <w:p w14:paraId="70344AB1" w14:textId="77777777" w:rsidR="001E21E6" w:rsidRPr="003C2058" w:rsidRDefault="001E21E6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14" w:type="dxa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122577F" w14:textId="77777777" w:rsidR="001E21E6" w:rsidRDefault="001E21E6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Jan-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Jun</w:t>
            </w:r>
          </w:p>
          <w:p w14:paraId="3D836BE4" w14:textId="4D8687C7" w:rsidR="001E21E6" w:rsidRPr="001E21E6" w:rsidRDefault="001E21E6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3</w:t>
            </w:r>
          </w:p>
        </w:tc>
        <w:tc>
          <w:tcPr>
            <w:tcW w:w="1214" w:type="dxa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5CEF1FA" w14:textId="77777777" w:rsidR="001E21E6" w:rsidRDefault="001E21E6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Jan-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Jun</w:t>
            </w:r>
          </w:p>
          <w:p w14:paraId="1F25F018" w14:textId="397C387B" w:rsidR="001E21E6" w:rsidRPr="001E21E6" w:rsidRDefault="001E21E6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4</w:t>
            </w:r>
          </w:p>
        </w:tc>
        <w:tc>
          <w:tcPr>
            <w:tcW w:w="460" w:type="dxa"/>
            <w:tcBorders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D788E55" w14:textId="77777777" w:rsidR="001E21E6" w:rsidRPr="003C2058" w:rsidRDefault="001E21E6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4F8FC8A" w14:textId="6CF7B146" w:rsidR="001E21E6" w:rsidRPr="001E21E6" w:rsidRDefault="001E21E6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Apr-Jun 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4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/202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3</w:t>
            </w:r>
          </w:p>
        </w:tc>
        <w:tc>
          <w:tcPr>
            <w:tcW w:w="1364" w:type="dxa"/>
            <w:gridSpan w:val="2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EFD13AC" w14:textId="77777777" w:rsidR="001E21E6" w:rsidRDefault="001E21E6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Jan-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Jun</w:t>
            </w:r>
          </w:p>
          <w:p w14:paraId="0DE889A6" w14:textId="4C68F70F" w:rsidR="001E21E6" w:rsidRPr="001E21E6" w:rsidRDefault="001E21E6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4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/202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3</w:t>
            </w:r>
          </w:p>
        </w:tc>
      </w:tr>
      <w:tr w:rsidR="001E21E6" w:rsidRPr="003C2058" w14:paraId="36F65C25" w14:textId="77777777" w:rsidTr="00B9270C">
        <w:trPr>
          <w:trHeight w:val="499"/>
          <w:jc w:val="center"/>
        </w:trPr>
        <w:tc>
          <w:tcPr>
            <w:tcW w:w="2616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2E6A7" w14:textId="77777777" w:rsidR="001E21E6" w:rsidRPr="003C2058" w:rsidRDefault="001E21E6" w:rsidP="001E21E6">
            <w:pPr>
              <w:ind w:firstLineChars="100" w:firstLine="180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 w:rsidRPr="00CE63D7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In Cyprus</w:t>
            </w:r>
          </w:p>
        </w:tc>
        <w:tc>
          <w:tcPr>
            <w:tcW w:w="1100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76E82" w14:textId="6F843D6B" w:rsidR="001E21E6" w:rsidRPr="003C2058" w:rsidRDefault="001E21E6" w:rsidP="001E21E6">
            <w:pPr>
              <w:ind w:right="57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9.950,4</w:t>
            </w:r>
          </w:p>
        </w:tc>
        <w:tc>
          <w:tcPr>
            <w:tcW w:w="1214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742E6" w14:textId="72E3A1DB" w:rsidR="001E21E6" w:rsidRPr="003C2058" w:rsidRDefault="001E21E6" w:rsidP="001E21E6">
            <w:pPr>
              <w:ind w:right="57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10.853,6</w:t>
            </w:r>
          </w:p>
        </w:tc>
        <w:tc>
          <w:tcPr>
            <w:tcW w:w="1214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E4AF1" w14:textId="28828B24" w:rsidR="001E21E6" w:rsidRPr="003C2058" w:rsidRDefault="001E21E6" w:rsidP="001E21E6">
            <w:pPr>
              <w:ind w:right="57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20.429,1</w:t>
            </w:r>
          </w:p>
        </w:tc>
        <w:tc>
          <w:tcPr>
            <w:tcW w:w="1214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F423" w14:textId="04B090C5" w:rsidR="001E21E6" w:rsidRPr="003C2058" w:rsidRDefault="001E21E6" w:rsidP="001E21E6">
            <w:pPr>
              <w:ind w:right="57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21.717,0</w:t>
            </w:r>
          </w:p>
        </w:tc>
        <w:tc>
          <w:tcPr>
            <w:tcW w:w="460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BD4D5" w14:textId="77777777" w:rsidR="001E21E6" w:rsidRPr="003C2058" w:rsidRDefault="001E21E6" w:rsidP="001E21E6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0BB5B" w14:textId="374D96D9" w:rsidR="001E21E6" w:rsidRPr="003C2058" w:rsidRDefault="001E21E6" w:rsidP="001E21E6">
            <w:pPr>
              <w:ind w:right="34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9,1</w:t>
            </w:r>
          </w:p>
        </w:tc>
        <w:tc>
          <w:tcPr>
            <w:tcW w:w="1364" w:type="dxa"/>
            <w:gridSpan w:val="2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072F1" w14:textId="552199F0" w:rsidR="001E21E6" w:rsidRPr="00B14837" w:rsidRDefault="001E21E6" w:rsidP="001E21E6">
            <w:pPr>
              <w:ind w:right="34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6,3</w:t>
            </w:r>
          </w:p>
        </w:tc>
      </w:tr>
      <w:tr w:rsidR="001E21E6" w:rsidRPr="003C2058" w14:paraId="0512309A" w14:textId="77777777" w:rsidTr="00B9270C">
        <w:trPr>
          <w:trHeight w:val="499"/>
          <w:jc w:val="center"/>
        </w:trPr>
        <w:tc>
          <w:tcPr>
            <w:tcW w:w="2616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439D40E" w14:textId="77777777" w:rsidR="001E21E6" w:rsidRPr="003C2058" w:rsidRDefault="001E21E6" w:rsidP="001E21E6">
            <w:pPr>
              <w:ind w:firstLineChars="100" w:firstLine="180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 w:rsidRPr="00CE63D7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From and to Cyprus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988E40B" w14:textId="0A08AAFB" w:rsidR="001E21E6" w:rsidRPr="003C2058" w:rsidRDefault="001E21E6" w:rsidP="001E21E6">
            <w:pPr>
              <w:ind w:right="57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9,4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3A1545B" w14:textId="12CD35DA" w:rsidR="001E21E6" w:rsidRPr="00366427" w:rsidRDefault="001E21E6" w:rsidP="001E21E6">
            <w:pPr>
              <w:ind w:right="57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10,3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F2E2983" w14:textId="0511B872" w:rsidR="001E21E6" w:rsidRPr="003C2058" w:rsidRDefault="001E21E6" w:rsidP="001E21E6">
            <w:pPr>
              <w:ind w:right="57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19,0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8FB4334" w14:textId="36E84E38" w:rsidR="001E21E6" w:rsidRPr="003C2058" w:rsidRDefault="001E21E6" w:rsidP="001E21E6">
            <w:pPr>
              <w:ind w:right="57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19,8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A4E2012" w14:textId="67489446" w:rsidR="001E21E6" w:rsidRPr="003C2058" w:rsidRDefault="001E21E6" w:rsidP="001E21E6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23127E3" w14:textId="03EF89E8" w:rsidR="001E21E6" w:rsidRPr="00B14837" w:rsidRDefault="001E21E6" w:rsidP="001E21E6">
            <w:pPr>
              <w:tabs>
                <w:tab w:val="left" w:pos="727"/>
              </w:tabs>
              <w:ind w:right="34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9,5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2D3DEAC" w14:textId="2A6131A5" w:rsidR="001E21E6" w:rsidRPr="00B14837" w:rsidRDefault="001E21E6" w:rsidP="001E21E6">
            <w:pPr>
              <w:ind w:right="34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4,3</w:t>
            </w:r>
          </w:p>
        </w:tc>
      </w:tr>
    </w:tbl>
    <w:p w14:paraId="0788B8D0" w14:textId="77777777" w:rsidR="002D7325" w:rsidRDefault="002D7325" w:rsidP="002D7325">
      <w:pPr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7C674601" w14:textId="77777777" w:rsidR="001E21E6" w:rsidRDefault="001E21E6" w:rsidP="002D7325">
      <w:pPr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55BEA0F7" w14:textId="77777777" w:rsidR="00DE3D9F" w:rsidRDefault="00DE3D9F" w:rsidP="002D7325">
      <w:pPr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548B7CAC" w14:textId="77777777" w:rsidR="00DE3D9F" w:rsidRDefault="00DE3D9F" w:rsidP="002D7325">
      <w:pPr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1522701E" w14:textId="77777777" w:rsidR="00DE3D9F" w:rsidRDefault="00DE3D9F" w:rsidP="002D7325">
      <w:pPr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1DEACAC6" w14:textId="77777777" w:rsidR="001E21E6" w:rsidRDefault="001E21E6" w:rsidP="002D7325">
      <w:pPr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tbl>
      <w:tblPr>
        <w:tblW w:w="10546" w:type="dxa"/>
        <w:jc w:val="center"/>
        <w:tblLook w:val="04A0" w:firstRow="1" w:lastRow="0" w:firstColumn="1" w:lastColumn="0" w:noHBand="0" w:noVBand="1"/>
      </w:tblPr>
      <w:tblGrid>
        <w:gridCol w:w="2616"/>
        <w:gridCol w:w="1100"/>
        <w:gridCol w:w="1214"/>
        <w:gridCol w:w="1214"/>
        <w:gridCol w:w="1214"/>
        <w:gridCol w:w="460"/>
        <w:gridCol w:w="585"/>
        <w:gridCol w:w="779"/>
        <w:gridCol w:w="683"/>
        <w:gridCol w:w="681"/>
      </w:tblGrid>
      <w:tr w:rsidR="001E21E6" w:rsidRPr="003C2058" w14:paraId="717B3B42" w14:textId="77777777" w:rsidTr="00B9270C">
        <w:trPr>
          <w:trHeight w:val="480"/>
          <w:jc w:val="center"/>
        </w:trPr>
        <w:tc>
          <w:tcPr>
            <w:tcW w:w="7358" w:type="dxa"/>
            <w:gridSpan w:val="5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3FF2D5AB" w14:textId="77777777" w:rsidR="001E21E6" w:rsidRPr="003C2058" w:rsidRDefault="001E21E6" w:rsidP="00B9270C">
            <w:pPr>
              <w:jc w:val="both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Table 2</w:t>
            </w:r>
            <w: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61FBE0F4" w14:textId="77777777" w:rsidR="001E21E6" w:rsidRPr="003C2058" w:rsidRDefault="001E21E6" w:rsidP="00B9270C">
            <w:pPr>
              <w:jc w:val="both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16F1D6B2" w14:textId="77777777" w:rsidR="001E21E6" w:rsidRPr="003C2058" w:rsidRDefault="001E21E6" w:rsidP="00B9270C">
            <w:pPr>
              <w:jc w:val="both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6C62D46" w14:textId="77777777" w:rsidR="001E21E6" w:rsidRPr="003C2058" w:rsidRDefault="001E21E6" w:rsidP="00B9270C">
            <w:pPr>
              <w:rPr>
                <w:rFonts w:eastAsia="Times New Roman" w:cs="Calibri"/>
                <w:color w:val="000000"/>
                <w:sz w:val="18"/>
                <w:szCs w:val="18"/>
                <w:lang w:val="en-CY" w:eastAsia="en-CY" w:bidi="he-IL"/>
              </w:rPr>
            </w:pPr>
            <w:r w:rsidRPr="003C2058">
              <w:rPr>
                <w:rFonts w:eastAsia="Times New Roman" w:cs="Calibri"/>
                <w:color w:val="000000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0BC3C2A1" w14:textId="77777777" w:rsidR="001E21E6" w:rsidRPr="003C2058" w:rsidRDefault="001E21E6" w:rsidP="00B9270C">
            <w:pPr>
              <w:rPr>
                <w:rFonts w:eastAsia="Times New Roman" w:cs="Calibri"/>
                <w:color w:val="000000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700E590D" w14:textId="77777777" w:rsidR="001E21E6" w:rsidRPr="003C2058" w:rsidRDefault="001E21E6" w:rsidP="00B9270C">
            <w:pPr>
              <w:rPr>
                <w:rFonts w:ascii="Times New Roman" w:eastAsia="Times New Roman" w:hAnsi="Times New Roman"/>
                <w:sz w:val="20"/>
                <w:szCs w:val="20"/>
                <w:lang w:val="en-CY" w:eastAsia="en-CY" w:bidi="he-IL"/>
              </w:rPr>
            </w:pPr>
          </w:p>
        </w:tc>
      </w:tr>
      <w:tr w:rsidR="001E21E6" w:rsidRPr="003C2058" w14:paraId="45D4DC5B" w14:textId="77777777" w:rsidTr="00B9270C">
        <w:trPr>
          <w:trHeight w:val="567"/>
          <w:jc w:val="center"/>
        </w:trPr>
        <w:tc>
          <w:tcPr>
            <w:tcW w:w="2616" w:type="dxa"/>
            <w:vMerge w:val="restart"/>
            <w:tcBorders>
              <w:top w:val="single" w:sz="4" w:space="0" w:color="2F5496" w:themeColor="accent1" w:themeShade="BF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1F9D56C7" w14:textId="77777777" w:rsidR="001E21E6" w:rsidRPr="003C2058" w:rsidRDefault="001E21E6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366427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Road Freight Transport</w:t>
            </w:r>
          </w:p>
        </w:tc>
        <w:tc>
          <w:tcPr>
            <w:tcW w:w="4742" w:type="dxa"/>
            <w:gridSpan w:val="4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7216D73F" w14:textId="77777777" w:rsidR="001E21E6" w:rsidRDefault="001E21E6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T</w:t>
            </w:r>
            <w:r w:rsidRPr="00366427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onnekilometres</w:t>
            </w:r>
          </w:p>
          <w:p w14:paraId="714C8C9C" w14:textId="77777777" w:rsidR="001E21E6" w:rsidRPr="003C2058" w:rsidRDefault="001E21E6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90D6E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(million)</w:t>
            </w:r>
          </w:p>
        </w:tc>
        <w:tc>
          <w:tcPr>
            <w:tcW w:w="46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B3F46" w14:textId="77777777" w:rsidR="001E21E6" w:rsidRPr="003C2058" w:rsidRDefault="001E21E6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728" w:type="dxa"/>
            <w:gridSpan w:val="4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4A772AFC" w14:textId="77777777" w:rsidR="001E21E6" w:rsidRDefault="001E21E6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366427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Percentage Change</w:t>
            </w:r>
          </w:p>
          <w:p w14:paraId="58B8D51F" w14:textId="77777777" w:rsidR="001E21E6" w:rsidRPr="003C2058" w:rsidRDefault="001E21E6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(%)</w:t>
            </w:r>
          </w:p>
        </w:tc>
      </w:tr>
      <w:tr w:rsidR="001E21E6" w:rsidRPr="003C2058" w14:paraId="6E6ECA7A" w14:textId="77777777" w:rsidTr="00B9270C">
        <w:trPr>
          <w:trHeight w:val="510"/>
          <w:jc w:val="center"/>
        </w:trPr>
        <w:tc>
          <w:tcPr>
            <w:tcW w:w="2616" w:type="dxa"/>
            <w:vMerge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12165D96" w14:textId="77777777" w:rsidR="001E21E6" w:rsidRPr="003C2058" w:rsidRDefault="001E21E6" w:rsidP="001E21E6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00" w:type="dxa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43AA204" w14:textId="77777777" w:rsidR="001E21E6" w:rsidRDefault="001E21E6" w:rsidP="001E21E6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Apr-Jun</w:t>
            </w:r>
          </w:p>
          <w:p w14:paraId="4AF041F8" w14:textId="78663E74" w:rsidR="001E21E6" w:rsidRPr="003C2058" w:rsidRDefault="001E21E6" w:rsidP="001E21E6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3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576E187" w14:textId="77777777" w:rsidR="001E21E6" w:rsidRPr="003C2058" w:rsidRDefault="001E21E6" w:rsidP="001E21E6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Apr-Jun 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4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 xml:space="preserve"> </w:t>
            </w:r>
          </w:p>
          <w:p w14:paraId="1FBB337F" w14:textId="77777777" w:rsidR="001E21E6" w:rsidRPr="003C2058" w:rsidRDefault="001E21E6" w:rsidP="001E21E6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14" w:type="dxa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85A4DEB" w14:textId="77777777" w:rsidR="001E21E6" w:rsidRDefault="001E21E6" w:rsidP="001E21E6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Jan-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Jun</w:t>
            </w:r>
          </w:p>
          <w:p w14:paraId="5A1D2F87" w14:textId="4B6C02DE" w:rsidR="001E21E6" w:rsidRPr="003C2058" w:rsidRDefault="001E21E6" w:rsidP="001E21E6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3</w:t>
            </w:r>
          </w:p>
        </w:tc>
        <w:tc>
          <w:tcPr>
            <w:tcW w:w="1214" w:type="dxa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687E5FD" w14:textId="77777777" w:rsidR="001E21E6" w:rsidRDefault="001E21E6" w:rsidP="001E21E6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Jan-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Jun</w:t>
            </w:r>
          </w:p>
          <w:p w14:paraId="413A2790" w14:textId="668EEAC8" w:rsidR="001E21E6" w:rsidRPr="003C2058" w:rsidRDefault="001E21E6" w:rsidP="001E21E6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4</w:t>
            </w:r>
          </w:p>
        </w:tc>
        <w:tc>
          <w:tcPr>
            <w:tcW w:w="460" w:type="dxa"/>
            <w:tcBorders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F0C8405" w14:textId="77777777" w:rsidR="001E21E6" w:rsidRPr="003C2058" w:rsidRDefault="001E21E6" w:rsidP="001E21E6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E31A34F" w14:textId="776F742A" w:rsidR="001E21E6" w:rsidRPr="003C2058" w:rsidRDefault="001E21E6" w:rsidP="001E21E6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Apr-Jun 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4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/202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3</w:t>
            </w:r>
          </w:p>
        </w:tc>
        <w:tc>
          <w:tcPr>
            <w:tcW w:w="1364" w:type="dxa"/>
            <w:gridSpan w:val="2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5F37B72" w14:textId="77777777" w:rsidR="001E21E6" w:rsidRDefault="001E21E6" w:rsidP="001E21E6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Jan-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Jun</w:t>
            </w:r>
          </w:p>
          <w:p w14:paraId="4627582F" w14:textId="48D3A812" w:rsidR="001E21E6" w:rsidRPr="003C2058" w:rsidRDefault="001E21E6" w:rsidP="001E21E6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4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/202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3</w:t>
            </w:r>
          </w:p>
        </w:tc>
      </w:tr>
      <w:tr w:rsidR="001E21E6" w:rsidRPr="003C2058" w14:paraId="49D5F5A6" w14:textId="77777777" w:rsidTr="00B9270C">
        <w:trPr>
          <w:trHeight w:val="499"/>
          <w:jc w:val="center"/>
        </w:trPr>
        <w:tc>
          <w:tcPr>
            <w:tcW w:w="2616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AAE7F" w14:textId="77777777" w:rsidR="001E21E6" w:rsidRPr="003C2058" w:rsidRDefault="001E21E6" w:rsidP="001E21E6">
            <w:pPr>
              <w:ind w:firstLineChars="100" w:firstLine="180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 w:rsidRPr="00CE63D7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In Cyprus</w:t>
            </w:r>
          </w:p>
        </w:tc>
        <w:tc>
          <w:tcPr>
            <w:tcW w:w="1100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5017F" w14:textId="45488727" w:rsidR="001E21E6" w:rsidRPr="003C2058" w:rsidRDefault="001E21E6" w:rsidP="001E21E6">
            <w:pPr>
              <w:ind w:right="17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214,4</w:t>
            </w:r>
          </w:p>
        </w:tc>
        <w:tc>
          <w:tcPr>
            <w:tcW w:w="1214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74A49" w14:textId="614E2DFE" w:rsidR="001E21E6" w:rsidRPr="003C2058" w:rsidRDefault="001E21E6" w:rsidP="001E21E6">
            <w:pPr>
              <w:ind w:right="17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240,9</w:t>
            </w:r>
          </w:p>
        </w:tc>
        <w:tc>
          <w:tcPr>
            <w:tcW w:w="1214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9DAF8" w14:textId="3E95824C" w:rsidR="001E21E6" w:rsidRPr="003C2058" w:rsidRDefault="001E21E6" w:rsidP="001E21E6">
            <w:pPr>
              <w:ind w:right="17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460,6</w:t>
            </w:r>
          </w:p>
        </w:tc>
        <w:tc>
          <w:tcPr>
            <w:tcW w:w="1214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206BB" w14:textId="102613A2" w:rsidR="001E21E6" w:rsidRPr="003C2058" w:rsidRDefault="001E21E6" w:rsidP="001E21E6">
            <w:pPr>
              <w:ind w:right="17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490,3</w:t>
            </w:r>
          </w:p>
        </w:tc>
        <w:tc>
          <w:tcPr>
            <w:tcW w:w="460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8F4F8" w14:textId="77777777" w:rsidR="001E21E6" w:rsidRPr="003C2058" w:rsidRDefault="001E21E6" w:rsidP="001E21E6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AC169" w14:textId="69CCD97D" w:rsidR="001E21E6" w:rsidRPr="003C2058" w:rsidRDefault="001E21E6" w:rsidP="001E21E6">
            <w:pPr>
              <w:ind w:right="34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12,4</w:t>
            </w:r>
          </w:p>
        </w:tc>
        <w:tc>
          <w:tcPr>
            <w:tcW w:w="1364" w:type="dxa"/>
            <w:gridSpan w:val="2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AB888" w14:textId="5FA11268" w:rsidR="001E21E6" w:rsidRPr="003C2058" w:rsidRDefault="001E21E6" w:rsidP="001E21E6">
            <w:pPr>
              <w:ind w:right="34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6,4</w:t>
            </w:r>
          </w:p>
        </w:tc>
      </w:tr>
      <w:tr w:rsidR="001E21E6" w:rsidRPr="003C2058" w14:paraId="4CE3A2A6" w14:textId="77777777" w:rsidTr="00B9270C">
        <w:trPr>
          <w:trHeight w:val="499"/>
          <w:jc w:val="center"/>
        </w:trPr>
        <w:tc>
          <w:tcPr>
            <w:tcW w:w="2616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03DBCA5" w14:textId="77777777" w:rsidR="001E21E6" w:rsidRPr="003C2058" w:rsidRDefault="001E21E6" w:rsidP="001E21E6">
            <w:pPr>
              <w:ind w:firstLineChars="100" w:firstLine="180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 w:rsidRPr="00CE63D7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From and to Cyprus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B7AC987" w14:textId="1AF91755" w:rsidR="001E21E6" w:rsidRPr="003C2058" w:rsidRDefault="001E21E6" w:rsidP="001E21E6">
            <w:pPr>
              <w:ind w:right="17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  <w:t>9,7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09213BD" w14:textId="78E1D892" w:rsidR="001E21E6" w:rsidRPr="00366427" w:rsidRDefault="001E21E6" w:rsidP="001E21E6">
            <w:pPr>
              <w:ind w:right="17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10,3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F0C0F61" w14:textId="6EAB1708" w:rsidR="001E21E6" w:rsidRPr="003C2058" w:rsidRDefault="001E21E6" w:rsidP="001E21E6">
            <w:pPr>
              <w:ind w:right="17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19,4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CB6CE49" w14:textId="657258A4" w:rsidR="001E21E6" w:rsidRPr="003C2058" w:rsidRDefault="001E21E6" w:rsidP="001E21E6">
            <w:pPr>
              <w:ind w:right="17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  <w:t>19,4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C149C64" w14:textId="444B75DF" w:rsidR="001E21E6" w:rsidRPr="003C2058" w:rsidRDefault="001E21E6" w:rsidP="001E21E6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DC061F2" w14:textId="7B0FB2B5" w:rsidR="001E21E6" w:rsidRPr="003C2058" w:rsidRDefault="001E21E6" w:rsidP="001E21E6">
            <w:pPr>
              <w:ind w:right="34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6,7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87A74E7" w14:textId="6DD43383" w:rsidR="001E21E6" w:rsidRPr="003C2058" w:rsidRDefault="001E21E6" w:rsidP="001E21E6">
            <w:pPr>
              <w:ind w:right="34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0,0</w:t>
            </w:r>
          </w:p>
        </w:tc>
      </w:tr>
    </w:tbl>
    <w:p w14:paraId="61CAE652" w14:textId="77777777" w:rsidR="001E21E6" w:rsidRPr="001E21E6" w:rsidRDefault="001E21E6" w:rsidP="002D7325">
      <w:pPr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326ABA7" w14:textId="77777777" w:rsidR="002D7325" w:rsidRPr="001B36FE" w:rsidRDefault="002D7325" w:rsidP="002D7325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1D93DFF7" w14:textId="77777777" w:rsidR="002D7325" w:rsidRPr="001B36FE" w:rsidRDefault="002D7325" w:rsidP="002D7325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4D03C658" w14:textId="77777777" w:rsidR="002D7325" w:rsidRPr="00133B45" w:rsidRDefault="002D7325" w:rsidP="002D7325">
      <w:pPr>
        <w:jc w:val="center"/>
        <w:rPr>
          <w:rFonts w:ascii="Verdana" w:eastAsia="Malgun Gothic" w:hAnsi="Verdana" w:cs="Arial"/>
          <w:b/>
          <w:u w:val="single"/>
        </w:rPr>
      </w:pPr>
      <w:r w:rsidRPr="001B36FE">
        <w:rPr>
          <w:rFonts w:ascii="Verdana" w:eastAsia="Malgun Gothic" w:hAnsi="Verdana" w:cs="Arial"/>
          <w:b/>
          <w:sz w:val="18"/>
          <w:szCs w:val="18"/>
          <w:u w:val="single"/>
        </w:rPr>
        <w:br w:type="page"/>
      </w:r>
      <w:r w:rsidRPr="00133B45">
        <w:rPr>
          <w:rFonts w:ascii="Verdana" w:eastAsia="Malgun Gothic" w:hAnsi="Verdana" w:cs="Arial"/>
          <w:b/>
          <w:u w:val="single"/>
        </w:rPr>
        <w:lastRenderedPageBreak/>
        <w:t>METHODOLOGICAL INFORMATION</w:t>
      </w:r>
    </w:p>
    <w:p w14:paraId="24DCFFFA" w14:textId="77777777" w:rsidR="002D7325" w:rsidRPr="00A24AF3" w:rsidRDefault="002D7325" w:rsidP="002D7325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4D54E3C6" w14:textId="77777777" w:rsidR="002D7325" w:rsidRPr="001B36FE" w:rsidRDefault="002D7325" w:rsidP="002D7325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CB3077C" w14:textId="089D04D1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  <w:r w:rsidRPr="001B36FE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Scope and </w:t>
      </w:r>
      <w:r w:rsidR="005A12C7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C</w:t>
      </w:r>
      <w:r w:rsidRPr="001B36FE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overage</w:t>
      </w:r>
    </w:p>
    <w:p w14:paraId="0B32F0C0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1525E072" w14:textId="4C5E02B6" w:rsidR="002D7325" w:rsidRDefault="00B63379" w:rsidP="005D4947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The aim of the Road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Freight Transport</w:t>
      </w:r>
      <w:r w:rsidRPr="00D82FF2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Survey is the collection of statistical data concerning the carriage of goods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by road 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in Cyprus or from and to Cyprus, by means of road transport vehicles</w:t>
      </w:r>
      <w:r w:rsidR="005D4947" w:rsidRPr="005D4947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. It concerns only vehicles registered in Cyprus, at the Department of Road Transport.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</w:p>
    <w:p w14:paraId="522A2662" w14:textId="77777777" w:rsidR="00B63379" w:rsidRPr="001B36FE" w:rsidRDefault="00B63379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69203C4B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For the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n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ational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c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arriage of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g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oods, a sample is selected from the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v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ehicle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’s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r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egister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. Only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vehicles whose load capacity is more than 3 </w:t>
      </w:r>
      <w:proofErr w:type="spellStart"/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tonnes</w:t>
      </w:r>
      <w:proofErr w:type="spellEnd"/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are sampled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. The sample consists of 9 categories (strat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a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) according to the load capacity of the vehicle and the type of transport (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h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ire or reward and own account) and covers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all 52 weeks of the year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.</w:t>
      </w:r>
    </w:p>
    <w:p w14:paraId="14B60302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259E1D93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The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nternational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c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arriage of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g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oods covers all movements of freight (inbound and outbound journeys) around the year.</w:t>
      </w:r>
    </w:p>
    <w:p w14:paraId="3DE14C92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07435169" w14:textId="77777777" w:rsidR="002D7325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data compiled are transmitted to Eurostat according to the Regulation (E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U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) No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70/2012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9C541D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on statistical returns in respect of the carriage of goods by road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.</w:t>
      </w:r>
    </w:p>
    <w:p w14:paraId="3C96F0DA" w14:textId="77777777" w:rsidR="002D7325" w:rsidRPr="009C541D" w:rsidRDefault="002D7325" w:rsidP="002D7325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05A2AE85" w14:textId="2D39BFEC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  <w:r w:rsidRPr="001B36FE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Data </w:t>
      </w:r>
      <w:r w:rsidR="005A12C7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C</w:t>
      </w:r>
      <w:r w:rsidRPr="001B36FE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ollection</w:t>
      </w:r>
    </w:p>
    <w:p w14:paraId="4D0DD731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</w:p>
    <w:p w14:paraId="27055974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The unit of enumeration is the goods road transport vehicle. The data collected for each vehicle relates to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their characteristics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, the route and the goods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carried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.</w:t>
      </w:r>
    </w:p>
    <w:p w14:paraId="13458B23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43A15426" w14:textId="77777777" w:rsidR="007D71B7" w:rsidRPr="001B36FE" w:rsidRDefault="002D7325" w:rsidP="007D71B7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For the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n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ational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c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arriage of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g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oods, data is collected through telephone interviews around the year by enumerators, while for the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nternational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c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arriage of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g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oods </w:t>
      </w:r>
      <w:r w:rsidR="007D71B7" w:rsidRPr="007D71B7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data are collected directly from the companies that own the specific vehicles.</w:t>
      </w:r>
    </w:p>
    <w:p w14:paraId="5A0EE34C" w14:textId="1F26084E" w:rsidR="007D71B7" w:rsidRDefault="007D71B7" w:rsidP="007D71B7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4C4D6D7A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516DB8C3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  <w:r w:rsidRPr="001B36FE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Definitions</w:t>
      </w:r>
    </w:p>
    <w:p w14:paraId="7955E9B4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6FF38890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A </w:t>
      </w:r>
      <w:proofErr w:type="spellStart"/>
      <w:r w:rsidRPr="001B36FE">
        <w:rPr>
          <w:rFonts w:ascii="Verdana" w:eastAsia="Times New Roman" w:hAnsi="Verdana" w:cs="Arial"/>
          <w:i/>
          <w:iCs/>
          <w:color w:val="000000"/>
          <w:sz w:val="18"/>
          <w:szCs w:val="18"/>
          <w:shd w:val="clear" w:color="auto" w:fill="FFFFFF"/>
        </w:rPr>
        <w:t>tonne-kilomet</w:t>
      </w:r>
      <w:r>
        <w:rPr>
          <w:rFonts w:ascii="Verdana" w:eastAsia="Times New Roman" w:hAnsi="Verdana" w:cs="Arial"/>
          <w:i/>
          <w:iCs/>
          <w:color w:val="000000"/>
          <w:sz w:val="18"/>
          <w:szCs w:val="18"/>
          <w:shd w:val="clear" w:color="auto" w:fill="FFFFFF"/>
        </w:rPr>
        <w:t>re</w:t>
      </w:r>
      <w:proofErr w:type="spellEnd"/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tkm</w:t>
      </w:r>
      <w:proofErr w:type="spellEnd"/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) is a unit of measure of freight transport which represents the transport of one </w:t>
      </w:r>
      <w:proofErr w:type="spellStart"/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tonne</w:t>
      </w:r>
      <w:proofErr w:type="spellEnd"/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of goods by a given transport mode over a distance of one </w:t>
      </w:r>
      <w:proofErr w:type="spellStart"/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kilomet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re</w:t>
      </w:r>
      <w:proofErr w:type="spellEnd"/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. </w:t>
      </w:r>
    </w:p>
    <w:p w14:paraId="3EBF8E4F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</w:p>
    <w:p w14:paraId="55C342CA" w14:textId="77777777" w:rsidR="002D7325" w:rsidRPr="001B36FE" w:rsidRDefault="002D7325" w:rsidP="002D7325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3EE63445" w14:textId="77777777" w:rsidR="002D7325" w:rsidRPr="001B36FE" w:rsidRDefault="002D7325" w:rsidP="002D7325">
      <w:pPr>
        <w:jc w:val="both"/>
        <w:rPr>
          <w:rFonts w:ascii="Verdana" w:eastAsia="Malgun Gothic" w:hAnsi="Verdana" w:cs="Arial"/>
          <w:b/>
          <w:bCs/>
          <w:sz w:val="18"/>
          <w:szCs w:val="18"/>
        </w:rPr>
      </w:pPr>
      <w:r w:rsidRPr="001B36FE">
        <w:rPr>
          <w:rFonts w:ascii="Verdana" w:eastAsia="Malgun Gothic" w:hAnsi="Verdana" w:cs="Arial"/>
          <w:b/>
          <w:bCs/>
          <w:i/>
          <w:sz w:val="18"/>
          <w:szCs w:val="18"/>
        </w:rPr>
        <w:t>For more information</w:t>
      </w:r>
      <w:r w:rsidRPr="001B36FE">
        <w:rPr>
          <w:rFonts w:ascii="Verdana" w:eastAsia="Malgun Gothic" w:hAnsi="Verdana" w:cs="Arial"/>
          <w:b/>
          <w:bCs/>
          <w:sz w:val="18"/>
          <w:szCs w:val="18"/>
        </w:rPr>
        <w:t>:</w:t>
      </w:r>
    </w:p>
    <w:p w14:paraId="207022B2" w14:textId="4E9EC08F" w:rsidR="002D7325" w:rsidRDefault="002D7325" w:rsidP="002D7325">
      <w:pPr>
        <w:rPr>
          <w:rFonts w:ascii="Verdana" w:hAnsi="Verdana"/>
          <w:color w:val="0000FF"/>
          <w:sz w:val="18"/>
          <w:szCs w:val="18"/>
          <w:u w:val="single"/>
          <w:lang w:val="en-GB"/>
        </w:rPr>
      </w:pPr>
      <w:r w:rsidRPr="002C7ADA">
        <w:rPr>
          <w:rFonts w:ascii="Verdana" w:hAnsi="Verdana"/>
          <w:sz w:val="18"/>
          <w:szCs w:val="18"/>
          <w:lang w:val="en-GB"/>
        </w:rPr>
        <w:t xml:space="preserve">CYSTAT Portal, subtheme </w:t>
      </w:r>
      <w:hyperlink r:id="rId9" w:history="1">
        <w:r w:rsidRPr="002C7ADA">
          <w:rPr>
            <w:rFonts w:ascii="Verdana" w:hAnsi="Verdana"/>
            <w:color w:val="0000FF"/>
            <w:sz w:val="18"/>
            <w:szCs w:val="18"/>
            <w:u w:val="single"/>
            <w:lang w:val="en-GB"/>
          </w:rPr>
          <w:t>Services</w:t>
        </w:r>
      </w:hyperlink>
    </w:p>
    <w:p w14:paraId="3B4E0E9B" w14:textId="575C5190" w:rsidR="00912E8F" w:rsidRPr="002C7ADA" w:rsidRDefault="00912E8F" w:rsidP="002D7325">
      <w:pPr>
        <w:rPr>
          <w:rFonts w:ascii="Verdana" w:hAnsi="Verdana"/>
          <w:sz w:val="18"/>
          <w:szCs w:val="18"/>
        </w:rPr>
      </w:pPr>
      <w:hyperlink r:id="rId10" w:history="1">
        <w:r w:rsidRPr="00985378">
          <w:rPr>
            <w:rStyle w:val="Hyperlink"/>
            <w:rFonts w:ascii="Verdana" w:hAnsi="Verdana"/>
            <w:sz w:val="18"/>
            <w:szCs w:val="18"/>
          </w:rPr>
          <w:t>CYSTAT-DB</w:t>
        </w:r>
      </w:hyperlink>
      <w:r>
        <w:rPr>
          <w:rFonts w:ascii="Verdana" w:hAnsi="Verdana"/>
          <w:sz w:val="18"/>
          <w:szCs w:val="18"/>
        </w:rPr>
        <w:t xml:space="preserve"> (Online Database)</w:t>
      </w:r>
    </w:p>
    <w:p w14:paraId="08EFC229" w14:textId="77777777" w:rsidR="002D7325" w:rsidRDefault="002D7325" w:rsidP="002D7325">
      <w:pPr>
        <w:jc w:val="both"/>
        <w:rPr>
          <w:rFonts w:ascii="Verdana" w:hAnsi="Verdana"/>
          <w:b/>
          <w:bCs/>
          <w:sz w:val="18"/>
          <w:szCs w:val="18"/>
          <w:shd w:val="clear" w:color="auto" w:fill="FFFFFF"/>
        </w:rPr>
      </w:pPr>
      <w:hyperlink r:id="rId11" w:history="1">
        <w:r w:rsidRPr="002C7ADA">
          <w:rPr>
            <w:rFonts w:ascii="Verdana" w:hAnsi="Verdana"/>
            <w:color w:val="0000FF"/>
            <w:sz w:val="18"/>
            <w:szCs w:val="18"/>
            <w:u w:val="single"/>
          </w:rPr>
          <w:t>Predefined Tables</w:t>
        </w:r>
      </w:hyperlink>
      <w:r w:rsidRPr="002C7ADA">
        <w:rPr>
          <w:rFonts w:ascii="Verdana" w:hAnsi="Verdana"/>
          <w:sz w:val="18"/>
          <w:szCs w:val="18"/>
        </w:rPr>
        <w:t xml:space="preserve"> (Excel)</w:t>
      </w:r>
    </w:p>
    <w:p w14:paraId="70F85AE9" w14:textId="0B44597A" w:rsidR="002D7325" w:rsidRPr="00100740" w:rsidRDefault="00100740" w:rsidP="002D7325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  <w:hyperlink r:id="rId12" w:history="1">
        <w:r w:rsidRPr="00100740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 xml:space="preserve">Methodological </w:t>
        </w:r>
        <w:r w:rsidRPr="00100740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el-GR"/>
          </w:rPr>
          <w:t>Ι</w:t>
        </w:r>
        <w:proofErr w:type="spellStart"/>
        <w:r w:rsidRPr="00100740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nformation</w:t>
        </w:r>
        <w:proofErr w:type="spellEnd"/>
      </w:hyperlink>
    </w:p>
    <w:p w14:paraId="6A2EA6C0" w14:textId="77777777" w:rsidR="00100740" w:rsidRDefault="00100740" w:rsidP="002D7325">
      <w:pPr>
        <w:jc w:val="both"/>
        <w:rPr>
          <w:rFonts w:ascii="Verdana" w:hAnsi="Verdana"/>
          <w:b/>
          <w:bCs/>
          <w:sz w:val="18"/>
          <w:szCs w:val="18"/>
          <w:shd w:val="clear" w:color="auto" w:fill="FFFFFF"/>
        </w:rPr>
      </w:pPr>
    </w:p>
    <w:p w14:paraId="0219C0CA" w14:textId="0248AEBB" w:rsidR="00DB016A" w:rsidRPr="006F2643" w:rsidRDefault="006F2643" w:rsidP="002D7325">
      <w:pPr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shd w:val="clear" w:color="auto" w:fill="FFFFFF"/>
        </w:rPr>
      </w:pPr>
      <w:r w:rsidRPr="006F2643">
        <w:rPr>
          <w:rFonts w:ascii="Verdana" w:eastAsia="Times New Roman" w:hAnsi="Verdana" w:cs="Arial"/>
          <w:b/>
          <w:bCs/>
          <w:color w:val="000000"/>
          <w:sz w:val="18"/>
          <w:szCs w:val="18"/>
          <w:shd w:val="clear" w:color="auto" w:fill="FFFFFF"/>
        </w:rPr>
        <w:t xml:space="preserve">The </w:t>
      </w:r>
      <w:r w:rsidRPr="006F2643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Predefined Tables</w:t>
      </w:r>
      <w:r w:rsidRPr="006F2643">
        <w:rPr>
          <w:rFonts w:ascii="Verdana" w:eastAsia="Times New Roman" w:hAnsi="Verdana" w:cs="Arial"/>
          <w:b/>
          <w:bCs/>
          <w:color w:val="000000"/>
          <w:sz w:val="18"/>
          <w:szCs w:val="18"/>
          <w:shd w:val="clear" w:color="auto" w:fill="FFFFFF"/>
        </w:rPr>
        <w:t xml:space="preserve">, available in Excel format, include data up to the fourth quarter of 2022. Data from the first quarter of 2023 onwards </w:t>
      </w:r>
      <w:r w:rsidR="00647AE7">
        <w:rPr>
          <w:rFonts w:ascii="Verdana" w:eastAsia="Times New Roman" w:hAnsi="Verdana" w:cs="Arial"/>
          <w:b/>
          <w:bCs/>
          <w:color w:val="000000"/>
          <w:sz w:val="18"/>
          <w:szCs w:val="18"/>
          <w:shd w:val="clear" w:color="auto" w:fill="FFFFFF"/>
        </w:rPr>
        <w:t>are</w:t>
      </w:r>
      <w:r w:rsidRPr="006F2643">
        <w:rPr>
          <w:rFonts w:ascii="Verdana" w:eastAsia="Times New Roman" w:hAnsi="Verdana" w:cs="Arial"/>
          <w:b/>
          <w:bCs/>
          <w:color w:val="000000"/>
          <w:sz w:val="18"/>
          <w:szCs w:val="18"/>
          <w:shd w:val="clear" w:color="auto" w:fill="FFFFFF"/>
        </w:rPr>
        <w:t xml:space="preserve"> available only in the CYSTAT-DB Online Database.</w:t>
      </w:r>
    </w:p>
    <w:p w14:paraId="64FA284F" w14:textId="77777777" w:rsidR="006F2643" w:rsidRPr="001B36FE" w:rsidRDefault="006F2643" w:rsidP="002D7325">
      <w:pPr>
        <w:jc w:val="both"/>
        <w:rPr>
          <w:rFonts w:ascii="Verdana" w:hAnsi="Verdana"/>
          <w:b/>
          <w:bCs/>
          <w:sz w:val="18"/>
          <w:szCs w:val="18"/>
          <w:shd w:val="clear" w:color="auto" w:fill="FFFFFF"/>
        </w:rPr>
      </w:pPr>
    </w:p>
    <w:p w14:paraId="02C48972" w14:textId="77777777" w:rsidR="002D7325" w:rsidRPr="00CE63D7" w:rsidRDefault="002D7325" w:rsidP="002D7325">
      <w:pPr>
        <w:jc w:val="both"/>
        <w:rPr>
          <w:rFonts w:ascii="Verdana" w:eastAsia="Malgun Gothic" w:hAnsi="Verdana" w:cs="Arial"/>
          <w:bCs/>
          <w:iCs/>
          <w:sz w:val="18"/>
          <w:szCs w:val="18"/>
          <w:lang w:val="pt-PT"/>
        </w:rPr>
      </w:pPr>
      <w:r w:rsidRPr="00CE63D7">
        <w:rPr>
          <w:rFonts w:ascii="Verdana" w:hAnsi="Verdana"/>
          <w:bCs/>
          <w:i/>
          <w:sz w:val="18"/>
          <w:szCs w:val="18"/>
          <w:u w:val="single"/>
          <w:shd w:val="clear" w:color="auto" w:fill="FFFFFF"/>
          <w:lang w:val="pt-PT"/>
        </w:rPr>
        <w:t>Contact</w:t>
      </w:r>
    </w:p>
    <w:p w14:paraId="48D98400" w14:textId="77777777" w:rsidR="002D7325" w:rsidRPr="00117F52" w:rsidRDefault="002D7325" w:rsidP="002D7325">
      <w:pPr>
        <w:jc w:val="both"/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pt-PT"/>
        </w:rPr>
      </w:pPr>
      <w:r w:rsidRPr="00117F52">
        <w:rPr>
          <w:rFonts w:ascii="Verdana" w:eastAsia="Malgun Gothic" w:hAnsi="Verdana" w:cs="Arial"/>
          <w:bCs/>
          <w:iCs/>
          <w:sz w:val="18"/>
          <w:szCs w:val="18"/>
          <w:lang w:val="pt-PT"/>
        </w:rPr>
        <w:t xml:space="preserve">Andrie Milidoni: Tel.: 22602240, E-mail: </w:t>
      </w:r>
      <w:hyperlink r:id="rId13" w:history="1">
        <w:r w:rsidRPr="00117F52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pt-PT"/>
          </w:rPr>
          <w:t>amilidoni@cystat.mof.gov.cy</w:t>
        </w:r>
      </w:hyperlink>
    </w:p>
    <w:p w14:paraId="77EE8272" w14:textId="77777777" w:rsidR="007437AB" w:rsidRPr="00CE63D7" w:rsidRDefault="007437AB" w:rsidP="006F1E66">
      <w:pPr>
        <w:jc w:val="both"/>
        <w:rPr>
          <w:rFonts w:ascii="Verdana" w:hAnsi="Verdana" w:cs="Arial"/>
          <w:sz w:val="18"/>
          <w:szCs w:val="18"/>
          <w:lang w:val="pt-PT"/>
        </w:rPr>
      </w:pPr>
    </w:p>
    <w:p w14:paraId="663F5B87" w14:textId="5FFBC9C2" w:rsidR="00972CA0" w:rsidRPr="00CE63D7" w:rsidRDefault="00463214" w:rsidP="00C26329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  <w:r w:rsidRPr="00CE63D7">
        <w:rPr>
          <w:rFonts w:ascii="Arial" w:hAnsi="Arial" w:cs="Arial"/>
          <w:sz w:val="20"/>
          <w:szCs w:val="20"/>
          <w:lang w:val="pt-PT"/>
        </w:rPr>
        <w:tab/>
      </w:r>
      <w:r w:rsidRPr="00CE63D7">
        <w:rPr>
          <w:rFonts w:ascii="Arial" w:hAnsi="Arial" w:cs="Arial"/>
          <w:sz w:val="18"/>
          <w:szCs w:val="18"/>
          <w:lang w:val="pt-PT"/>
        </w:rPr>
        <w:tab/>
      </w:r>
    </w:p>
    <w:p w14:paraId="27A72E99" w14:textId="77777777" w:rsidR="00972CA0" w:rsidRPr="00CE63D7" w:rsidRDefault="00972CA0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53B37447" w14:textId="77777777" w:rsidR="00972CA0" w:rsidRPr="00CE63D7" w:rsidRDefault="00972CA0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2680B9B0" w14:textId="77777777" w:rsidR="00972CA0" w:rsidRPr="00CE63D7" w:rsidRDefault="00972CA0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1050D5FA" w14:textId="77777777" w:rsidR="00972CA0" w:rsidRPr="00CE63D7" w:rsidRDefault="00972CA0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082D84DB" w14:textId="77777777" w:rsidR="00972CA0" w:rsidRPr="00CE63D7" w:rsidRDefault="00972CA0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0EF6D563" w14:textId="77777777" w:rsidR="00972CA0" w:rsidRPr="00CE63D7" w:rsidRDefault="00972CA0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2E64F741" w14:textId="77777777" w:rsidR="00972CA0" w:rsidRPr="00CE63D7" w:rsidRDefault="00972CA0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726E4C9B" w14:textId="77777777" w:rsidR="00691191" w:rsidRPr="00CE63D7" w:rsidRDefault="00691191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0C7DC7E7" w14:textId="77777777" w:rsidR="00691191" w:rsidRPr="00CE63D7" w:rsidRDefault="00691191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506AAA7B" w14:textId="77777777" w:rsidR="00691191" w:rsidRPr="00CE63D7" w:rsidRDefault="00691191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271B080D" w14:textId="77777777" w:rsidR="00691191" w:rsidRPr="00CE63D7" w:rsidRDefault="00691191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5310AC9E" w14:textId="77777777" w:rsidR="00691191" w:rsidRPr="00CE63D7" w:rsidRDefault="00691191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41BB17B1" w14:textId="77777777" w:rsidR="00691191" w:rsidRPr="00CE63D7" w:rsidRDefault="00691191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4188C987" w14:textId="77777777" w:rsidR="00691191" w:rsidRPr="00CE63D7" w:rsidRDefault="00691191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37A80CEC" w14:textId="77777777" w:rsidR="00691191" w:rsidRPr="00CE63D7" w:rsidRDefault="00691191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45047B26" w14:textId="77777777" w:rsidR="00691191" w:rsidRPr="00CE63D7" w:rsidRDefault="00691191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57F52A3C" w14:textId="77777777" w:rsidR="00691191" w:rsidRPr="00CE63D7" w:rsidRDefault="00691191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736219EF" w14:textId="77777777" w:rsidR="00691191" w:rsidRPr="00CE63D7" w:rsidRDefault="00691191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sectPr w:rsidR="00691191" w:rsidRPr="00CE63D7" w:rsidSect="00930280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3FC6C" w14:textId="77777777" w:rsidR="00A24084" w:rsidRDefault="00A24084" w:rsidP="00FB398F">
      <w:r>
        <w:separator/>
      </w:r>
    </w:p>
  </w:endnote>
  <w:endnote w:type="continuationSeparator" w:id="0">
    <w:p w14:paraId="14DA23F3" w14:textId="77777777" w:rsidR="00A24084" w:rsidRDefault="00A24084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C32D3A">
      <w:rPr>
        <w:noProof/>
      </w:rPr>
      <w:t>3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2CE26" w14:textId="77777777" w:rsidR="0060256A" w:rsidRPr="00122143" w:rsidRDefault="0060256A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>Address:  Micha</w:t>
    </w:r>
    <w:r w:rsidR="00EF6A66">
      <w:rPr>
        <w:rFonts w:ascii="Arial" w:hAnsi="Arial" w:cs="Arial"/>
        <w:i/>
        <w:iCs/>
        <w:sz w:val="16"/>
        <w:szCs w:val="16"/>
      </w:rPr>
      <w:t>el</w:t>
    </w:r>
    <w:r w:rsidRPr="00122143">
      <w:rPr>
        <w:rFonts w:ascii="Arial" w:hAnsi="Arial" w:cs="Arial"/>
        <w:i/>
        <w:iCs/>
        <w:sz w:val="16"/>
        <w:szCs w:val="16"/>
      </w:rPr>
      <w:t xml:space="preserve"> </w:t>
    </w:r>
    <w:proofErr w:type="gramStart"/>
    <w:r w:rsidRPr="00122143">
      <w:rPr>
        <w:rFonts w:ascii="Arial" w:hAnsi="Arial" w:cs="Arial"/>
        <w:i/>
        <w:iCs/>
        <w:sz w:val="16"/>
        <w:szCs w:val="16"/>
      </w:rPr>
      <w:t>Karaoli  Str.</w:t>
    </w:r>
    <w:proofErr w:type="gramEnd"/>
    <w:r w:rsidRPr="00122143">
      <w:rPr>
        <w:rFonts w:ascii="Arial" w:hAnsi="Arial" w:cs="Arial"/>
        <w:i/>
        <w:iCs/>
        <w:sz w:val="16"/>
        <w:szCs w:val="16"/>
      </w:rPr>
      <w:t>, 1444 Nicosia, Cyprus</w:t>
    </w:r>
  </w:p>
  <w:p w14:paraId="5BFB5428" w14:textId="111B6790" w:rsidR="0060256A" w:rsidRPr="002D7325" w:rsidRDefault="00122143" w:rsidP="0060256A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pt-PT"/>
      </w:rPr>
    </w:pPr>
    <w:r w:rsidRPr="002D7325">
      <w:rPr>
        <w:rFonts w:ascii="Arial" w:hAnsi="Arial" w:cs="Arial"/>
        <w:i/>
        <w:iCs/>
        <w:sz w:val="16"/>
        <w:szCs w:val="16"/>
        <w:lang w:val="pt-PT"/>
      </w:rPr>
      <w:t xml:space="preserve">Tel.:  22 602129, </w:t>
    </w:r>
    <w:r w:rsidR="0060256A" w:rsidRPr="002D7325">
      <w:rPr>
        <w:rFonts w:ascii="Arial" w:hAnsi="Arial" w:cs="Arial"/>
        <w:i/>
        <w:iCs/>
        <w:sz w:val="16"/>
        <w:szCs w:val="16"/>
        <w:lang w:val="pt-PT"/>
      </w:rPr>
      <w:t>Fax: 22 661313, E-mail:  enquiries@cystat.mof.gov.cy</w:t>
    </w:r>
  </w:p>
  <w:p w14:paraId="53D85FE4" w14:textId="77777777" w:rsidR="004E4F42" w:rsidRPr="00122143" w:rsidRDefault="0060256A" w:rsidP="0060256A">
    <w:pPr>
      <w:pStyle w:val="Footer"/>
      <w:tabs>
        <w:tab w:val="left" w:pos="4500"/>
      </w:tabs>
      <w:jc w:val="center"/>
      <w:rPr>
        <w:rFonts w:ascii="Arial" w:hAnsi="Arial" w:cs="Arial"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 xml:space="preserve">Web site: </w:t>
    </w:r>
    <w:hyperlink r:id="rId1" w:history="1">
      <w:r w:rsidRPr="00122143">
        <w:rPr>
          <w:rStyle w:val="Hyperlink"/>
          <w:rFonts w:ascii="Arial" w:hAnsi="Arial" w:cs="Arial"/>
          <w:i/>
          <w:iCs/>
          <w:sz w:val="16"/>
          <w:szCs w:val="16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A8A1C" w14:textId="77777777" w:rsidR="00A24084" w:rsidRDefault="00A24084" w:rsidP="00FB398F">
      <w:r>
        <w:separator/>
      </w:r>
    </w:p>
  </w:footnote>
  <w:footnote w:type="continuationSeparator" w:id="0">
    <w:p w14:paraId="02B07A4E" w14:textId="77777777" w:rsidR="00A24084" w:rsidRDefault="00A24084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1D111808" w:rsidR="00364377" w:rsidRPr="00AC704B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BA5A5E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E0D10D7" w14:textId="77777777" w:rsidR="0060256A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OF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BA5A5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CYPRUS</w:t>
                              </w:r>
                            </w:smartTag>
                          </w:smartTag>
                        </w:p>
                        <w:p w14:paraId="464BD7D4" w14:textId="77777777" w:rsidR="0060256A" w:rsidRPr="00435025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350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1EED2"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" stroked="f">
              <v:textbox>
                <w:txbxContent>
                  <w:p w14:paraId="236D2ABB" w14:textId="77777777" w:rsidR="0060256A" w:rsidRPr="00BA5A5E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E0D10D7" w14:textId="77777777" w:rsidR="0060256A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OF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BA5A5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CYPRUS</w:t>
                        </w:r>
                      </w:smartTag>
                    </w:smartTag>
                  </w:p>
                  <w:p w14:paraId="464BD7D4" w14:textId="77777777" w:rsidR="0060256A" w:rsidRPr="00435025" w:rsidRDefault="0060256A" w:rsidP="0060256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35025">
                      <w:rPr>
                        <w:rFonts w:ascii="Arial" w:hAnsi="Arial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 w:rsidR="004E4F42">
      <w:rPr>
        <w:rFonts w:ascii="Arial" w:hAnsi="Arial" w:cs="Arial"/>
        <w:bCs/>
        <w:sz w:val="18"/>
        <w:szCs w:val="18"/>
        <w:lang w:val="en-US"/>
      </w:rPr>
      <w:t xml:space="preserve">   </w:t>
    </w:r>
    <w:r w:rsidR="00364377" w:rsidRPr="007C1520">
      <w:rPr>
        <w:rFonts w:ascii="Arial" w:hAnsi="Arial" w:cs="Arial"/>
        <w:bCs/>
        <w:sz w:val="18"/>
        <w:szCs w:val="18"/>
        <w:lang w:val="en-US"/>
      </w:rPr>
      <w:t>REPUBLIC OF CYPRUS</w:t>
    </w:r>
    <w:r w:rsidR="00364377" w:rsidRPr="00AC704B">
      <w:rPr>
        <w:b/>
        <w:bCs/>
        <w:sz w:val="20"/>
        <w:szCs w:val="20"/>
        <w:lang w:val="en-US"/>
      </w:rPr>
      <w:t xml:space="preserve"> </w:t>
    </w:r>
    <w:r w:rsidR="00364377" w:rsidRPr="00AC704B">
      <w:rPr>
        <w:b/>
        <w:bCs/>
        <w:sz w:val="20"/>
        <w:szCs w:val="20"/>
        <w:lang w:val="en-US"/>
      </w:rPr>
      <w:tab/>
    </w:r>
  </w:p>
  <w:p w14:paraId="7A5CA03F" w14:textId="06143E2C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4E7C918A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1729744">
    <w:abstractNumId w:val="4"/>
  </w:num>
  <w:num w:numId="2" w16cid:durableId="1351644216">
    <w:abstractNumId w:val="1"/>
  </w:num>
  <w:num w:numId="3" w16cid:durableId="1245261815">
    <w:abstractNumId w:val="2"/>
  </w:num>
  <w:num w:numId="4" w16cid:durableId="1582135467">
    <w:abstractNumId w:val="3"/>
  </w:num>
  <w:num w:numId="5" w16cid:durableId="62409611">
    <w:abstractNumId w:val="0"/>
  </w:num>
  <w:num w:numId="6" w16cid:durableId="1597862716">
    <w:abstractNumId w:val="5"/>
  </w:num>
  <w:num w:numId="7" w16cid:durableId="1044716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4F86"/>
    <w:rsid w:val="0000542E"/>
    <w:rsid w:val="00013E40"/>
    <w:rsid w:val="000161B1"/>
    <w:rsid w:val="00025A39"/>
    <w:rsid w:val="00027853"/>
    <w:rsid w:val="00030E18"/>
    <w:rsid w:val="00031D32"/>
    <w:rsid w:val="0003603D"/>
    <w:rsid w:val="00036FA9"/>
    <w:rsid w:val="00045088"/>
    <w:rsid w:val="00045A06"/>
    <w:rsid w:val="00050391"/>
    <w:rsid w:val="00055291"/>
    <w:rsid w:val="000563D3"/>
    <w:rsid w:val="00057E44"/>
    <w:rsid w:val="00061299"/>
    <w:rsid w:val="00070576"/>
    <w:rsid w:val="00070D47"/>
    <w:rsid w:val="00072754"/>
    <w:rsid w:val="000752BB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6FA8"/>
    <w:rsid w:val="000B6F3B"/>
    <w:rsid w:val="000C4E72"/>
    <w:rsid w:val="000D1E7A"/>
    <w:rsid w:val="000D5027"/>
    <w:rsid w:val="000E24B1"/>
    <w:rsid w:val="000E2735"/>
    <w:rsid w:val="000E3043"/>
    <w:rsid w:val="000E32D6"/>
    <w:rsid w:val="000E57F2"/>
    <w:rsid w:val="000E72A7"/>
    <w:rsid w:val="000F1162"/>
    <w:rsid w:val="000F3467"/>
    <w:rsid w:val="000F38DE"/>
    <w:rsid w:val="000F5D6C"/>
    <w:rsid w:val="00100740"/>
    <w:rsid w:val="00106852"/>
    <w:rsid w:val="001078D0"/>
    <w:rsid w:val="00110F9D"/>
    <w:rsid w:val="00114A67"/>
    <w:rsid w:val="00122143"/>
    <w:rsid w:val="001253B6"/>
    <w:rsid w:val="00127320"/>
    <w:rsid w:val="00127456"/>
    <w:rsid w:val="001312D8"/>
    <w:rsid w:val="0013137B"/>
    <w:rsid w:val="0015118B"/>
    <w:rsid w:val="001519CE"/>
    <w:rsid w:val="001612EE"/>
    <w:rsid w:val="00161CF3"/>
    <w:rsid w:val="00162C00"/>
    <w:rsid w:val="001639EF"/>
    <w:rsid w:val="0016589F"/>
    <w:rsid w:val="00166FC4"/>
    <w:rsid w:val="00176558"/>
    <w:rsid w:val="0017756A"/>
    <w:rsid w:val="0017769A"/>
    <w:rsid w:val="00183DFC"/>
    <w:rsid w:val="00184384"/>
    <w:rsid w:val="00186717"/>
    <w:rsid w:val="00187FFC"/>
    <w:rsid w:val="001A2018"/>
    <w:rsid w:val="001A3DD4"/>
    <w:rsid w:val="001B2C39"/>
    <w:rsid w:val="001B3675"/>
    <w:rsid w:val="001B54AB"/>
    <w:rsid w:val="001B5E10"/>
    <w:rsid w:val="001B6AB3"/>
    <w:rsid w:val="001B6CF3"/>
    <w:rsid w:val="001B73D5"/>
    <w:rsid w:val="001C0681"/>
    <w:rsid w:val="001C14B9"/>
    <w:rsid w:val="001C62B3"/>
    <w:rsid w:val="001C7C8C"/>
    <w:rsid w:val="001D0D6A"/>
    <w:rsid w:val="001D20A4"/>
    <w:rsid w:val="001E00D1"/>
    <w:rsid w:val="001E0E58"/>
    <w:rsid w:val="001E14F3"/>
    <w:rsid w:val="001E15ED"/>
    <w:rsid w:val="001E21E6"/>
    <w:rsid w:val="001E61AA"/>
    <w:rsid w:val="001E7D09"/>
    <w:rsid w:val="0020309E"/>
    <w:rsid w:val="0020320A"/>
    <w:rsid w:val="00205BA0"/>
    <w:rsid w:val="00210B58"/>
    <w:rsid w:val="00222423"/>
    <w:rsid w:val="00223AEF"/>
    <w:rsid w:val="00223E0A"/>
    <w:rsid w:val="00225B28"/>
    <w:rsid w:val="00225CC4"/>
    <w:rsid w:val="002313AC"/>
    <w:rsid w:val="00235FB2"/>
    <w:rsid w:val="00236C55"/>
    <w:rsid w:val="00237BC1"/>
    <w:rsid w:val="002430B4"/>
    <w:rsid w:val="002447D0"/>
    <w:rsid w:val="002454C5"/>
    <w:rsid w:val="00245E19"/>
    <w:rsid w:val="0024685F"/>
    <w:rsid w:val="00246AEB"/>
    <w:rsid w:val="00250005"/>
    <w:rsid w:val="0025254F"/>
    <w:rsid w:val="002531A5"/>
    <w:rsid w:val="0025566D"/>
    <w:rsid w:val="0025595C"/>
    <w:rsid w:val="00257149"/>
    <w:rsid w:val="002576E7"/>
    <w:rsid w:val="00260357"/>
    <w:rsid w:val="00264F04"/>
    <w:rsid w:val="00267554"/>
    <w:rsid w:val="0027122D"/>
    <w:rsid w:val="0028338F"/>
    <w:rsid w:val="00285C24"/>
    <w:rsid w:val="002915C4"/>
    <w:rsid w:val="002A1D1C"/>
    <w:rsid w:val="002A4D64"/>
    <w:rsid w:val="002A5D7D"/>
    <w:rsid w:val="002B6554"/>
    <w:rsid w:val="002D05F0"/>
    <w:rsid w:val="002D7325"/>
    <w:rsid w:val="002D7D4A"/>
    <w:rsid w:val="002E1906"/>
    <w:rsid w:val="002E3846"/>
    <w:rsid w:val="002E3F78"/>
    <w:rsid w:val="002F400C"/>
    <w:rsid w:val="002F4D76"/>
    <w:rsid w:val="002F6D26"/>
    <w:rsid w:val="0030231E"/>
    <w:rsid w:val="003042C4"/>
    <w:rsid w:val="00304CB4"/>
    <w:rsid w:val="0030601C"/>
    <w:rsid w:val="00313F37"/>
    <w:rsid w:val="003141D0"/>
    <w:rsid w:val="003168C1"/>
    <w:rsid w:val="00322C8D"/>
    <w:rsid w:val="00322FBE"/>
    <w:rsid w:val="0032474C"/>
    <w:rsid w:val="00325632"/>
    <w:rsid w:val="00327549"/>
    <w:rsid w:val="003342A5"/>
    <w:rsid w:val="00336C36"/>
    <w:rsid w:val="00341764"/>
    <w:rsid w:val="00343815"/>
    <w:rsid w:val="003522BB"/>
    <w:rsid w:val="00352F6C"/>
    <w:rsid w:val="003556EA"/>
    <w:rsid w:val="00364377"/>
    <w:rsid w:val="00366427"/>
    <w:rsid w:val="00377ABB"/>
    <w:rsid w:val="003854F5"/>
    <w:rsid w:val="00386FC7"/>
    <w:rsid w:val="00390A32"/>
    <w:rsid w:val="00396C89"/>
    <w:rsid w:val="003A40F2"/>
    <w:rsid w:val="003A50D1"/>
    <w:rsid w:val="003B196D"/>
    <w:rsid w:val="003B2710"/>
    <w:rsid w:val="003B4608"/>
    <w:rsid w:val="003C1B8E"/>
    <w:rsid w:val="003C1CCD"/>
    <w:rsid w:val="003C2058"/>
    <w:rsid w:val="003C2392"/>
    <w:rsid w:val="003C5174"/>
    <w:rsid w:val="003C5240"/>
    <w:rsid w:val="003D14E0"/>
    <w:rsid w:val="003D1EA5"/>
    <w:rsid w:val="003D3348"/>
    <w:rsid w:val="003D6822"/>
    <w:rsid w:val="003D724C"/>
    <w:rsid w:val="003E0CE2"/>
    <w:rsid w:val="003F49E4"/>
    <w:rsid w:val="003F4D2F"/>
    <w:rsid w:val="003F5E32"/>
    <w:rsid w:val="003F75F6"/>
    <w:rsid w:val="00404670"/>
    <w:rsid w:val="00414CA0"/>
    <w:rsid w:val="00422F54"/>
    <w:rsid w:val="00431516"/>
    <w:rsid w:val="00435003"/>
    <w:rsid w:val="004361B3"/>
    <w:rsid w:val="0044249D"/>
    <w:rsid w:val="0044379F"/>
    <w:rsid w:val="00446FB1"/>
    <w:rsid w:val="00457680"/>
    <w:rsid w:val="0046078F"/>
    <w:rsid w:val="00463214"/>
    <w:rsid w:val="0046434D"/>
    <w:rsid w:val="00464C3C"/>
    <w:rsid w:val="004656FA"/>
    <w:rsid w:val="00471D77"/>
    <w:rsid w:val="00475587"/>
    <w:rsid w:val="00480BC2"/>
    <w:rsid w:val="00490D6E"/>
    <w:rsid w:val="0049245A"/>
    <w:rsid w:val="004929C2"/>
    <w:rsid w:val="00493FDD"/>
    <w:rsid w:val="0049586B"/>
    <w:rsid w:val="004A3E44"/>
    <w:rsid w:val="004A7983"/>
    <w:rsid w:val="004B2896"/>
    <w:rsid w:val="004B2DFE"/>
    <w:rsid w:val="004B38E9"/>
    <w:rsid w:val="004B3FBA"/>
    <w:rsid w:val="004B556F"/>
    <w:rsid w:val="004B6599"/>
    <w:rsid w:val="004C35CE"/>
    <w:rsid w:val="004C6CA7"/>
    <w:rsid w:val="004D4357"/>
    <w:rsid w:val="004D4950"/>
    <w:rsid w:val="004E2393"/>
    <w:rsid w:val="004E27EC"/>
    <w:rsid w:val="004E3745"/>
    <w:rsid w:val="004E42BE"/>
    <w:rsid w:val="004E4F42"/>
    <w:rsid w:val="004E63D5"/>
    <w:rsid w:val="004F03FD"/>
    <w:rsid w:val="004F4DC9"/>
    <w:rsid w:val="004F52F0"/>
    <w:rsid w:val="004F6250"/>
    <w:rsid w:val="004F677C"/>
    <w:rsid w:val="004F6D8F"/>
    <w:rsid w:val="00505503"/>
    <w:rsid w:val="0051107B"/>
    <w:rsid w:val="00512F9C"/>
    <w:rsid w:val="00527CDB"/>
    <w:rsid w:val="005317FB"/>
    <w:rsid w:val="005341C9"/>
    <w:rsid w:val="005369CA"/>
    <w:rsid w:val="00536DE9"/>
    <w:rsid w:val="00540668"/>
    <w:rsid w:val="00541E08"/>
    <w:rsid w:val="00542C31"/>
    <w:rsid w:val="00553E46"/>
    <w:rsid w:val="0055789A"/>
    <w:rsid w:val="00562909"/>
    <w:rsid w:val="005652D1"/>
    <w:rsid w:val="005660A0"/>
    <w:rsid w:val="00566A4F"/>
    <w:rsid w:val="00567D64"/>
    <w:rsid w:val="00572BC2"/>
    <w:rsid w:val="005938ED"/>
    <w:rsid w:val="0059478C"/>
    <w:rsid w:val="005978D4"/>
    <w:rsid w:val="005A12C7"/>
    <w:rsid w:val="005B2A67"/>
    <w:rsid w:val="005B3DCD"/>
    <w:rsid w:val="005B4AD4"/>
    <w:rsid w:val="005B5CC7"/>
    <w:rsid w:val="005C2798"/>
    <w:rsid w:val="005C36C3"/>
    <w:rsid w:val="005C56EE"/>
    <w:rsid w:val="005C5D4B"/>
    <w:rsid w:val="005D1714"/>
    <w:rsid w:val="005D2D39"/>
    <w:rsid w:val="005D4947"/>
    <w:rsid w:val="005D7638"/>
    <w:rsid w:val="005F12F5"/>
    <w:rsid w:val="005F4B4F"/>
    <w:rsid w:val="005F7C7D"/>
    <w:rsid w:val="0060256A"/>
    <w:rsid w:val="006044B7"/>
    <w:rsid w:val="006071CE"/>
    <w:rsid w:val="006075B5"/>
    <w:rsid w:val="0061018C"/>
    <w:rsid w:val="0061094E"/>
    <w:rsid w:val="00613440"/>
    <w:rsid w:val="00613BE3"/>
    <w:rsid w:val="0062327B"/>
    <w:rsid w:val="00632777"/>
    <w:rsid w:val="00633750"/>
    <w:rsid w:val="00634491"/>
    <w:rsid w:val="0063679C"/>
    <w:rsid w:val="00637055"/>
    <w:rsid w:val="00641D59"/>
    <w:rsid w:val="00644507"/>
    <w:rsid w:val="00646880"/>
    <w:rsid w:val="00647AE7"/>
    <w:rsid w:val="00647D2A"/>
    <w:rsid w:val="006537BB"/>
    <w:rsid w:val="0065711B"/>
    <w:rsid w:val="006575B3"/>
    <w:rsid w:val="00671785"/>
    <w:rsid w:val="00672BA9"/>
    <w:rsid w:val="00673005"/>
    <w:rsid w:val="006804BE"/>
    <w:rsid w:val="0069008E"/>
    <w:rsid w:val="0069087E"/>
    <w:rsid w:val="00691191"/>
    <w:rsid w:val="006925C4"/>
    <w:rsid w:val="0069309C"/>
    <w:rsid w:val="006A02B7"/>
    <w:rsid w:val="006B46D5"/>
    <w:rsid w:val="006B46F4"/>
    <w:rsid w:val="006C0631"/>
    <w:rsid w:val="006C7AF3"/>
    <w:rsid w:val="006D2B98"/>
    <w:rsid w:val="006D6548"/>
    <w:rsid w:val="006E0E20"/>
    <w:rsid w:val="006E2A89"/>
    <w:rsid w:val="006E4256"/>
    <w:rsid w:val="006E4BBA"/>
    <w:rsid w:val="006E5F43"/>
    <w:rsid w:val="006E60A6"/>
    <w:rsid w:val="006F0F69"/>
    <w:rsid w:val="006F116B"/>
    <w:rsid w:val="006F117F"/>
    <w:rsid w:val="006F13DF"/>
    <w:rsid w:val="006F1E66"/>
    <w:rsid w:val="006F2643"/>
    <w:rsid w:val="00702F26"/>
    <w:rsid w:val="0070313E"/>
    <w:rsid w:val="00703799"/>
    <w:rsid w:val="00705C5C"/>
    <w:rsid w:val="00711475"/>
    <w:rsid w:val="00725019"/>
    <w:rsid w:val="0072548A"/>
    <w:rsid w:val="007277A6"/>
    <w:rsid w:val="007437AB"/>
    <w:rsid w:val="007534F8"/>
    <w:rsid w:val="007545AD"/>
    <w:rsid w:val="00763722"/>
    <w:rsid w:val="00764BC1"/>
    <w:rsid w:val="00770869"/>
    <w:rsid w:val="007738AA"/>
    <w:rsid w:val="00780A62"/>
    <w:rsid w:val="00783241"/>
    <w:rsid w:val="007838EC"/>
    <w:rsid w:val="00784BDC"/>
    <w:rsid w:val="007868F1"/>
    <w:rsid w:val="00792F28"/>
    <w:rsid w:val="0079543F"/>
    <w:rsid w:val="00795880"/>
    <w:rsid w:val="007A10B6"/>
    <w:rsid w:val="007A4367"/>
    <w:rsid w:val="007A5006"/>
    <w:rsid w:val="007B0867"/>
    <w:rsid w:val="007B1AC1"/>
    <w:rsid w:val="007B5A08"/>
    <w:rsid w:val="007B693D"/>
    <w:rsid w:val="007D71B7"/>
    <w:rsid w:val="007E041B"/>
    <w:rsid w:val="007E199A"/>
    <w:rsid w:val="007E2415"/>
    <w:rsid w:val="007E39F3"/>
    <w:rsid w:val="007E68F4"/>
    <w:rsid w:val="007F31BA"/>
    <w:rsid w:val="007F4078"/>
    <w:rsid w:val="0080014B"/>
    <w:rsid w:val="00801793"/>
    <w:rsid w:val="00803642"/>
    <w:rsid w:val="00806EA2"/>
    <w:rsid w:val="00812A2B"/>
    <w:rsid w:val="00814A4C"/>
    <w:rsid w:val="008207D0"/>
    <w:rsid w:val="00831AAB"/>
    <w:rsid w:val="0083574E"/>
    <w:rsid w:val="0083640C"/>
    <w:rsid w:val="0084157B"/>
    <w:rsid w:val="00842BFB"/>
    <w:rsid w:val="00846B85"/>
    <w:rsid w:val="00847DC3"/>
    <w:rsid w:val="00847F49"/>
    <w:rsid w:val="008535C5"/>
    <w:rsid w:val="00853765"/>
    <w:rsid w:val="0085516F"/>
    <w:rsid w:val="00861278"/>
    <w:rsid w:val="00867186"/>
    <w:rsid w:val="00870A8A"/>
    <w:rsid w:val="00870AF6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B0E7E"/>
    <w:rsid w:val="008B5FF0"/>
    <w:rsid w:val="008B65BD"/>
    <w:rsid w:val="008B7900"/>
    <w:rsid w:val="008C71BF"/>
    <w:rsid w:val="008C7FE0"/>
    <w:rsid w:val="008D5717"/>
    <w:rsid w:val="008E44A9"/>
    <w:rsid w:val="008E6B4D"/>
    <w:rsid w:val="008E6BFF"/>
    <w:rsid w:val="008F21AF"/>
    <w:rsid w:val="008F2400"/>
    <w:rsid w:val="008F61BA"/>
    <w:rsid w:val="008F6E3C"/>
    <w:rsid w:val="008F7C55"/>
    <w:rsid w:val="0090338C"/>
    <w:rsid w:val="00907147"/>
    <w:rsid w:val="00912E8F"/>
    <w:rsid w:val="009148CF"/>
    <w:rsid w:val="00914A23"/>
    <w:rsid w:val="00930280"/>
    <w:rsid w:val="00930754"/>
    <w:rsid w:val="00931164"/>
    <w:rsid w:val="00934F68"/>
    <w:rsid w:val="009355AC"/>
    <w:rsid w:val="00935F38"/>
    <w:rsid w:val="00937586"/>
    <w:rsid w:val="00947889"/>
    <w:rsid w:val="00960E98"/>
    <w:rsid w:val="00963A82"/>
    <w:rsid w:val="00972912"/>
    <w:rsid w:val="00972CA0"/>
    <w:rsid w:val="00976D1F"/>
    <w:rsid w:val="00981C81"/>
    <w:rsid w:val="00992209"/>
    <w:rsid w:val="0099280B"/>
    <w:rsid w:val="009A2D24"/>
    <w:rsid w:val="009A456C"/>
    <w:rsid w:val="009A4B24"/>
    <w:rsid w:val="009B00E0"/>
    <w:rsid w:val="009B096A"/>
    <w:rsid w:val="009B292A"/>
    <w:rsid w:val="009B76D5"/>
    <w:rsid w:val="009C165D"/>
    <w:rsid w:val="009C37F7"/>
    <w:rsid w:val="009C3CEA"/>
    <w:rsid w:val="009C583D"/>
    <w:rsid w:val="009D2611"/>
    <w:rsid w:val="009D79D2"/>
    <w:rsid w:val="009E247C"/>
    <w:rsid w:val="009E31BA"/>
    <w:rsid w:val="009F0528"/>
    <w:rsid w:val="009F0806"/>
    <w:rsid w:val="009F0B47"/>
    <w:rsid w:val="009F233B"/>
    <w:rsid w:val="00A05D16"/>
    <w:rsid w:val="00A0659F"/>
    <w:rsid w:val="00A079BA"/>
    <w:rsid w:val="00A13A58"/>
    <w:rsid w:val="00A24084"/>
    <w:rsid w:val="00A3386D"/>
    <w:rsid w:val="00A33875"/>
    <w:rsid w:val="00A360A1"/>
    <w:rsid w:val="00A402B3"/>
    <w:rsid w:val="00A40797"/>
    <w:rsid w:val="00A544B7"/>
    <w:rsid w:val="00A618CF"/>
    <w:rsid w:val="00A62770"/>
    <w:rsid w:val="00A62EEB"/>
    <w:rsid w:val="00A660FF"/>
    <w:rsid w:val="00A6625A"/>
    <w:rsid w:val="00A73395"/>
    <w:rsid w:val="00A82B4C"/>
    <w:rsid w:val="00A93A4C"/>
    <w:rsid w:val="00A94D5D"/>
    <w:rsid w:val="00AA1D9B"/>
    <w:rsid w:val="00AA2543"/>
    <w:rsid w:val="00AA3804"/>
    <w:rsid w:val="00AA55C2"/>
    <w:rsid w:val="00AB0ACA"/>
    <w:rsid w:val="00AB1D41"/>
    <w:rsid w:val="00AC199F"/>
    <w:rsid w:val="00AC5E9A"/>
    <w:rsid w:val="00AC704B"/>
    <w:rsid w:val="00AD2B2A"/>
    <w:rsid w:val="00AD553E"/>
    <w:rsid w:val="00AD5848"/>
    <w:rsid w:val="00AE5ADA"/>
    <w:rsid w:val="00AF0E22"/>
    <w:rsid w:val="00AF6145"/>
    <w:rsid w:val="00B01386"/>
    <w:rsid w:val="00B01BB5"/>
    <w:rsid w:val="00B04AF4"/>
    <w:rsid w:val="00B05214"/>
    <w:rsid w:val="00B0736F"/>
    <w:rsid w:val="00B11D36"/>
    <w:rsid w:val="00B12E79"/>
    <w:rsid w:val="00B14837"/>
    <w:rsid w:val="00B26889"/>
    <w:rsid w:val="00B30D97"/>
    <w:rsid w:val="00B31738"/>
    <w:rsid w:val="00B3181A"/>
    <w:rsid w:val="00B35A7C"/>
    <w:rsid w:val="00B450D1"/>
    <w:rsid w:val="00B53D47"/>
    <w:rsid w:val="00B54A25"/>
    <w:rsid w:val="00B618C3"/>
    <w:rsid w:val="00B63379"/>
    <w:rsid w:val="00B63652"/>
    <w:rsid w:val="00B668B0"/>
    <w:rsid w:val="00B70B41"/>
    <w:rsid w:val="00B70F5C"/>
    <w:rsid w:val="00B71873"/>
    <w:rsid w:val="00B75AE5"/>
    <w:rsid w:val="00B800C0"/>
    <w:rsid w:val="00B8132B"/>
    <w:rsid w:val="00B84C5A"/>
    <w:rsid w:val="00B858F5"/>
    <w:rsid w:val="00B85ADA"/>
    <w:rsid w:val="00B93668"/>
    <w:rsid w:val="00BA68C6"/>
    <w:rsid w:val="00BB12F1"/>
    <w:rsid w:val="00BB276E"/>
    <w:rsid w:val="00BB2839"/>
    <w:rsid w:val="00BB3FEE"/>
    <w:rsid w:val="00BB5BE0"/>
    <w:rsid w:val="00BB5EB0"/>
    <w:rsid w:val="00BB7A27"/>
    <w:rsid w:val="00BC245A"/>
    <w:rsid w:val="00BC340C"/>
    <w:rsid w:val="00BD16FA"/>
    <w:rsid w:val="00BD41C3"/>
    <w:rsid w:val="00BD488B"/>
    <w:rsid w:val="00BD7CCC"/>
    <w:rsid w:val="00BE002A"/>
    <w:rsid w:val="00BE1BC9"/>
    <w:rsid w:val="00BE5CDA"/>
    <w:rsid w:val="00BE608F"/>
    <w:rsid w:val="00BF23BB"/>
    <w:rsid w:val="00BF33DD"/>
    <w:rsid w:val="00BF3FAC"/>
    <w:rsid w:val="00BF5755"/>
    <w:rsid w:val="00BF684B"/>
    <w:rsid w:val="00BF7D11"/>
    <w:rsid w:val="00C016F3"/>
    <w:rsid w:val="00C02705"/>
    <w:rsid w:val="00C15193"/>
    <w:rsid w:val="00C15609"/>
    <w:rsid w:val="00C15F6A"/>
    <w:rsid w:val="00C22D7D"/>
    <w:rsid w:val="00C23EA7"/>
    <w:rsid w:val="00C256F3"/>
    <w:rsid w:val="00C26329"/>
    <w:rsid w:val="00C270A2"/>
    <w:rsid w:val="00C315B5"/>
    <w:rsid w:val="00C32D3A"/>
    <w:rsid w:val="00C35E28"/>
    <w:rsid w:val="00C363C4"/>
    <w:rsid w:val="00C426AF"/>
    <w:rsid w:val="00C436C7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258A"/>
    <w:rsid w:val="00C6412C"/>
    <w:rsid w:val="00C64C6B"/>
    <w:rsid w:val="00C65138"/>
    <w:rsid w:val="00C66F2E"/>
    <w:rsid w:val="00C6785C"/>
    <w:rsid w:val="00C70FD1"/>
    <w:rsid w:val="00C7297A"/>
    <w:rsid w:val="00C733AA"/>
    <w:rsid w:val="00C83027"/>
    <w:rsid w:val="00C84B8A"/>
    <w:rsid w:val="00C85E65"/>
    <w:rsid w:val="00C87CA1"/>
    <w:rsid w:val="00C911B4"/>
    <w:rsid w:val="00C91B3B"/>
    <w:rsid w:val="00C94262"/>
    <w:rsid w:val="00C976E1"/>
    <w:rsid w:val="00CA148E"/>
    <w:rsid w:val="00CA3A9A"/>
    <w:rsid w:val="00CB4097"/>
    <w:rsid w:val="00CB6BC1"/>
    <w:rsid w:val="00CB7021"/>
    <w:rsid w:val="00CD3294"/>
    <w:rsid w:val="00CD4524"/>
    <w:rsid w:val="00CD784D"/>
    <w:rsid w:val="00CE63D7"/>
    <w:rsid w:val="00CF40F8"/>
    <w:rsid w:val="00D008DA"/>
    <w:rsid w:val="00D0416F"/>
    <w:rsid w:val="00D05851"/>
    <w:rsid w:val="00D10FED"/>
    <w:rsid w:val="00D11736"/>
    <w:rsid w:val="00D12EE8"/>
    <w:rsid w:val="00D15FF1"/>
    <w:rsid w:val="00D167F4"/>
    <w:rsid w:val="00D2092A"/>
    <w:rsid w:val="00D2216D"/>
    <w:rsid w:val="00D25A2D"/>
    <w:rsid w:val="00D31A6F"/>
    <w:rsid w:val="00D33293"/>
    <w:rsid w:val="00D353D1"/>
    <w:rsid w:val="00D367DB"/>
    <w:rsid w:val="00D36E05"/>
    <w:rsid w:val="00D44F27"/>
    <w:rsid w:val="00D45304"/>
    <w:rsid w:val="00D461C7"/>
    <w:rsid w:val="00D50424"/>
    <w:rsid w:val="00D57D3E"/>
    <w:rsid w:val="00D64F26"/>
    <w:rsid w:val="00D843F4"/>
    <w:rsid w:val="00D9477F"/>
    <w:rsid w:val="00DA409F"/>
    <w:rsid w:val="00DB016A"/>
    <w:rsid w:val="00DB4AD9"/>
    <w:rsid w:val="00DC23CF"/>
    <w:rsid w:val="00DC6562"/>
    <w:rsid w:val="00DD5D9A"/>
    <w:rsid w:val="00DE07A5"/>
    <w:rsid w:val="00DE130D"/>
    <w:rsid w:val="00DE24CF"/>
    <w:rsid w:val="00DE3D9F"/>
    <w:rsid w:val="00DE407C"/>
    <w:rsid w:val="00DE651F"/>
    <w:rsid w:val="00DE7036"/>
    <w:rsid w:val="00DE7C7D"/>
    <w:rsid w:val="00DF2992"/>
    <w:rsid w:val="00DF2D0C"/>
    <w:rsid w:val="00E01B9D"/>
    <w:rsid w:val="00E04F5E"/>
    <w:rsid w:val="00E0522E"/>
    <w:rsid w:val="00E0601E"/>
    <w:rsid w:val="00E120F4"/>
    <w:rsid w:val="00E155F9"/>
    <w:rsid w:val="00E17172"/>
    <w:rsid w:val="00E21182"/>
    <w:rsid w:val="00E3181C"/>
    <w:rsid w:val="00E3280A"/>
    <w:rsid w:val="00E372AF"/>
    <w:rsid w:val="00E37D68"/>
    <w:rsid w:val="00E40EAE"/>
    <w:rsid w:val="00E436AC"/>
    <w:rsid w:val="00E44FF8"/>
    <w:rsid w:val="00E5066A"/>
    <w:rsid w:val="00E52CF9"/>
    <w:rsid w:val="00E6241E"/>
    <w:rsid w:val="00E63F34"/>
    <w:rsid w:val="00E659EA"/>
    <w:rsid w:val="00E6715A"/>
    <w:rsid w:val="00E75DC9"/>
    <w:rsid w:val="00E81610"/>
    <w:rsid w:val="00E84910"/>
    <w:rsid w:val="00E85B28"/>
    <w:rsid w:val="00E91976"/>
    <w:rsid w:val="00E947A6"/>
    <w:rsid w:val="00E97FC7"/>
    <w:rsid w:val="00EA0690"/>
    <w:rsid w:val="00EA351F"/>
    <w:rsid w:val="00EA3956"/>
    <w:rsid w:val="00EA5571"/>
    <w:rsid w:val="00EC02A5"/>
    <w:rsid w:val="00EC176B"/>
    <w:rsid w:val="00EC33CD"/>
    <w:rsid w:val="00EC5BE5"/>
    <w:rsid w:val="00ED2650"/>
    <w:rsid w:val="00ED721A"/>
    <w:rsid w:val="00EE393D"/>
    <w:rsid w:val="00EF01CF"/>
    <w:rsid w:val="00EF6A66"/>
    <w:rsid w:val="00EF7AF9"/>
    <w:rsid w:val="00F01495"/>
    <w:rsid w:val="00F01EE6"/>
    <w:rsid w:val="00F10138"/>
    <w:rsid w:val="00F13F92"/>
    <w:rsid w:val="00F22ECA"/>
    <w:rsid w:val="00F240E8"/>
    <w:rsid w:val="00F244FA"/>
    <w:rsid w:val="00F3278A"/>
    <w:rsid w:val="00F3363A"/>
    <w:rsid w:val="00F366A2"/>
    <w:rsid w:val="00F41A9D"/>
    <w:rsid w:val="00F44F43"/>
    <w:rsid w:val="00F450E1"/>
    <w:rsid w:val="00F50DF4"/>
    <w:rsid w:val="00F51AE7"/>
    <w:rsid w:val="00F57AFE"/>
    <w:rsid w:val="00F62630"/>
    <w:rsid w:val="00F6278E"/>
    <w:rsid w:val="00F63C41"/>
    <w:rsid w:val="00F63E96"/>
    <w:rsid w:val="00F701E3"/>
    <w:rsid w:val="00F706C7"/>
    <w:rsid w:val="00F71F8C"/>
    <w:rsid w:val="00F80362"/>
    <w:rsid w:val="00F8143B"/>
    <w:rsid w:val="00F839B6"/>
    <w:rsid w:val="00F86AD4"/>
    <w:rsid w:val="00F92EE4"/>
    <w:rsid w:val="00FA0113"/>
    <w:rsid w:val="00FA12B2"/>
    <w:rsid w:val="00FA3B74"/>
    <w:rsid w:val="00FA7610"/>
    <w:rsid w:val="00FB02BD"/>
    <w:rsid w:val="00FB398F"/>
    <w:rsid w:val="00FB4EF8"/>
    <w:rsid w:val="00FB6692"/>
    <w:rsid w:val="00FB78DD"/>
    <w:rsid w:val="00FC125E"/>
    <w:rsid w:val="00FC3EF3"/>
    <w:rsid w:val="00FD2049"/>
    <w:rsid w:val="00FD2140"/>
    <w:rsid w:val="00FD5BDE"/>
    <w:rsid w:val="00FD68EC"/>
    <w:rsid w:val="00FE0476"/>
    <w:rsid w:val="00FE24A5"/>
    <w:rsid w:val="00FE31E5"/>
    <w:rsid w:val="00FF18EC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,"/>
  <w:listSeparator w:val=";"/>
  <w14:docId w14:val="749E9073"/>
  <w15:chartTrackingRefBased/>
  <w15:docId w15:val="{61773520-894E-4976-8B1A-D3B61937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milidoni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n/MethodologicalDetails?m=2114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n/KeyFiguresList?s=5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n/8.CYSTAT-DB/8.CYSTAT-DB__Services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n/SubthemeStatistics?s=50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E98AC-E320-4DF1-B64B-B1201589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3668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3</cp:revision>
  <cp:lastPrinted>2023-08-22T14:14:00Z</cp:lastPrinted>
  <dcterms:created xsi:type="dcterms:W3CDTF">2024-11-14T06:59:00Z</dcterms:created>
  <dcterms:modified xsi:type="dcterms:W3CDTF">2024-11-15T09:54:00Z</dcterms:modified>
</cp:coreProperties>
</file>