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7735" w14:textId="57221940" w:rsidR="00055FDF" w:rsidRPr="00AE0687" w:rsidRDefault="009D1F93" w:rsidP="00055FDF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10 Μαΐου</w:t>
      </w:r>
      <w:r w:rsidR="009A4645">
        <w:rPr>
          <w:rFonts w:ascii="Verdana" w:hAnsi="Verdana" w:cs="Arial"/>
          <w:sz w:val="18"/>
          <w:szCs w:val="18"/>
          <w:lang w:val="el-GR"/>
        </w:rPr>
        <w:t>, 2023</w:t>
      </w:r>
    </w:p>
    <w:p w14:paraId="3AF2F250" w14:textId="77777777" w:rsidR="00055FDF" w:rsidRPr="0091631A" w:rsidRDefault="00055FDF" w:rsidP="00055FDF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1546BA89" w14:textId="77777777" w:rsidR="00055FDF" w:rsidRPr="00CF40F8" w:rsidRDefault="00055FDF" w:rsidP="00055FDF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556EDA95" w14:textId="77777777" w:rsidR="00055FDF" w:rsidRPr="005C36C3" w:rsidRDefault="00055FDF" w:rsidP="00055FDF">
      <w:pPr>
        <w:rPr>
          <w:rFonts w:ascii="Verdana" w:eastAsia="Malgun Gothic" w:hAnsi="Verdana" w:cs="Arial"/>
          <w:lang w:val="el-GR"/>
        </w:rPr>
      </w:pPr>
    </w:p>
    <w:p w14:paraId="18C4648B" w14:textId="26508653" w:rsidR="00055FDF" w:rsidRPr="008963EA" w:rsidRDefault="00055FDF" w:rsidP="00055FDF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ΟΔΙΚΕΣ ΜΕΤΑΦΟΡΕΣ ΦΟΡΤΙΟΥ</w:t>
      </w:r>
      <w:r w:rsidRPr="00CF3135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 w:rsidR="005A5024">
        <w:rPr>
          <w:rFonts w:ascii="Verdana" w:hAnsi="Verdana"/>
          <w:szCs w:val="22"/>
          <w:shd w:val="clear" w:color="auto" w:fill="FFFFFF"/>
        </w:rPr>
        <w:t>4</w:t>
      </w:r>
      <w:r>
        <w:rPr>
          <w:rFonts w:ascii="Verdana" w:hAnsi="Verdana"/>
          <w:szCs w:val="22"/>
          <w:shd w:val="clear" w:color="auto" w:fill="FFFFFF"/>
        </w:rPr>
        <w:t>ο ΤΡΙΜΗΝΟ 202</w:t>
      </w:r>
      <w:r w:rsidR="00C6742A">
        <w:rPr>
          <w:rFonts w:ascii="Verdana" w:hAnsi="Verdana"/>
          <w:szCs w:val="22"/>
          <w:shd w:val="clear" w:color="auto" w:fill="FFFFFF"/>
        </w:rPr>
        <w:t>2</w:t>
      </w:r>
    </w:p>
    <w:p w14:paraId="4151D6E1" w14:textId="77777777" w:rsidR="00055FDF" w:rsidRDefault="00055FDF" w:rsidP="00055FDF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BAD39EB" w14:textId="0673EFBF" w:rsidR="00055FDF" w:rsidRPr="00716401" w:rsidRDefault="00055FDF" w:rsidP="00055FDF">
      <w:pPr>
        <w:jc w:val="center"/>
        <w:rPr>
          <w:rFonts w:ascii="Verdana" w:eastAsia="Malgun Gothic" w:hAnsi="Verdana" w:cs="Arial"/>
          <w:b/>
          <w:lang w:val="el-GR"/>
        </w:rPr>
      </w:pPr>
      <w:r>
        <w:rPr>
          <w:rFonts w:ascii="Verdana" w:eastAsia="Malgun Gothic" w:hAnsi="Verdana" w:cs="Arial"/>
          <w:b/>
          <w:lang w:val="el-GR"/>
        </w:rPr>
        <w:t>Μεταφορές εντός Κύπρου +</w:t>
      </w:r>
      <w:r w:rsidR="005A5024">
        <w:rPr>
          <w:rFonts w:ascii="Verdana" w:eastAsia="Malgun Gothic" w:hAnsi="Verdana" w:cs="Arial"/>
          <w:b/>
          <w:lang w:val="el-GR"/>
        </w:rPr>
        <w:t>23,8</w:t>
      </w:r>
      <w:r>
        <w:rPr>
          <w:rFonts w:ascii="Verdana" w:eastAsia="Malgun Gothic" w:hAnsi="Verdana" w:cs="Arial"/>
          <w:b/>
          <w:lang w:val="el-GR"/>
        </w:rPr>
        <w:t>% και από και προς Κύπρο +</w:t>
      </w:r>
      <w:r w:rsidR="005A5024">
        <w:rPr>
          <w:rFonts w:ascii="Verdana" w:eastAsia="Malgun Gothic" w:hAnsi="Verdana" w:cs="Arial"/>
          <w:b/>
          <w:lang w:val="el-GR"/>
        </w:rPr>
        <w:t>21,6</w:t>
      </w:r>
      <w:r>
        <w:rPr>
          <w:rFonts w:ascii="Verdana" w:eastAsia="Malgun Gothic" w:hAnsi="Verdana" w:cs="Arial"/>
          <w:b/>
          <w:lang w:val="el-GR"/>
        </w:rPr>
        <w:t xml:space="preserve">% </w:t>
      </w:r>
    </w:p>
    <w:p w14:paraId="3F93F7D0" w14:textId="77777777" w:rsidR="00055FDF" w:rsidRPr="00AD1654" w:rsidRDefault="00055FDF" w:rsidP="00055FDF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A96C1C0" w14:textId="6893096C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ότι έχει εκδώσει νεότερα στοιχεία για τις οδικές μεταφορές φορτίου για το </w:t>
      </w:r>
      <w:r w:rsidR="005A5024">
        <w:rPr>
          <w:rFonts w:ascii="Verdana" w:hAnsi="Verdana"/>
          <w:sz w:val="18"/>
          <w:szCs w:val="18"/>
          <w:shd w:val="clear" w:color="auto" w:fill="FFFFFF"/>
          <w:lang w:val="el-GR"/>
        </w:rPr>
        <w:t>τέταρτο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τρίμη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νο του 202</w:t>
      </w:r>
      <w:r w:rsidR="00065D67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493BEC2" w14:textId="77777777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30A1AC6" w14:textId="3F0BF012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περίοδο </w:t>
      </w:r>
      <w:r w:rsidR="005A5024">
        <w:rPr>
          <w:rFonts w:ascii="Verdana" w:hAnsi="Verdana"/>
          <w:sz w:val="18"/>
          <w:szCs w:val="18"/>
          <w:shd w:val="clear" w:color="auto" w:fill="FFFFFF"/>
          <w:lang w:val="el-GR"/>
        </w:rPr>
        <w:t>Οκτωβρίου-Δεκεμβρίου</w:t>
      </w:r>
      <w:r w:rsidR="00C6742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το συνολικό βάρος των προϊόντων που μεταφέρθηκαν οδικώς εντός Κύπρου παρουσίασε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A5024">
        <w:rPr>
          <w:rFonts w:ascii="Verdana" w:hAnsi="Verdana"/>
          <w:sz w:val="18"/>
          <w:szCs w:val="18"/>
          <w:shd w:val="clear" w:color="auto" w:fill="FFFFFF"/>
          <w:lang w:val="el-GR"/>
        </w:rPr>
        <w:t>23,8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σύγκριση με την αντίστοιχη περίοδο του 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C6742A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το βάρος του φορτίου που μεταφέρθηκε οδικώς από και προς την Κύπρο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επίσης 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σημείωσε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A5024">
        <w:rPr>
          <w:rFonts w:ascii="Verdana" w:hAnsi="Verdana"/>
          <w:sz w:val="18"/>
          <w:szCs w:val="18"/>
          <w:shd w:val="clear" w:color="auto" w:fill="FFFFFF"/>
          <w:lang w:val="el-GR"/>
        </w:rPr>
        <w:t>21,6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%.</w:t>
      </w:r>
    </w:p>
    <w:p w14:paraId="15B21957" w14:textId="77777777" w:rsidR="00055FDF" w:rsidRDefault="00055FDF" w:rsidP="00055FDF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7D3F32DE" w14:textId="663C9DFF" w:rsidR="00100C1B" w:rsidRPr="00E565FC" w:rsidRDefault="00100C1B" w:rsidP="00100C1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περίοδο Ιανουαρίου-</w:t>
      </w:r>
      <w:r w:rsidR="000970D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Δεκεμβρίου 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το συνολικό βάρος των προϊόντων που μεταφέρθηκαν οδικώς εντός Κύπρου παρουσίασε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752BAD"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970D0">
        <w:rPr>
          <w:rFonts w:ascii="Verdana" w:hAnsi="Verdana"/>
          <w:sz w:val="18"/>
          <w:szCs w:val="18"/>
          <w:shd w:val="clear" w:color="auto" w:fill="FFFFFF"/>
          <w:lang w:val="el-GR"/>
        </w:rPr>
        <w:t>39,3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σύγκριση με την αντίστοιχη περίοδο του 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το βάρος του φορτίου που μεταφέρθηκε οδικώς από και προς την Κύπρο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επίσης 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σημείωσε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970D0">
        <w:rPr>
          <w:rFonts w:ascii="Verdana" w:hAnsi="Verdana"/>
          <w:sz w:val="18"/>
          <w:szCs w:val="18"/>
          <w:shd w:val="clear" w:color="auto" w:fill="FFFFFF"/>
          <w:lang w:val="el-GR"/>
        </w:rPr>
        <w:t>28,5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%.</w:t>
      </w:r>
    </w:p>
    <w:p w14:paraId="0524555E" w14:textId="4E8C28BB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20362F9" w14:textId="77777777" w:rsidR="00E36467" w:rsidRDefault="00E36467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DEB9EC9" w14:textId="2F3A1226" w:rsidR="00055FDF" w:rsidRDefault="002D576C" w:rsidP="002D576C">
      <w:pPr>
        <w:jc w:val="center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  <w:drawing>
          <wp:inline distT="0" distB="0" distL="0" distR="0" wp14:anchorId="6BE265AB" wp14:editId="0B469E78">
            <wp:extent cx="6084570" cy="4383405"/>
            <wp:effectExtent l="0" t="0" r="0" b="0"/>
            <wp:docPr id="364695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438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7623B" w14:textId="77777777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EC049C6" w14:textId="3D2D76DB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4358042" w14:textId="63862F81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DD9454D" w14:textId="034461DC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16AE1F3" w14:textId="2C6B2DDA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CAD771" w14:textId="4EB7DC52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E8C208F" w14:textId="60CA07EE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19F2A93" w14:textId="77777777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1DB10B0" w14:textId="77777777" w:rsidR="00055FDF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tbl>
      <w:tblPr>
        <w:tblW w:w="10475" w:type="dxa"/>
        <w:jc w:val="center"/>
        <w:tblLook w:val="04A0" w:firstRow="1" w:lastRow="0" w:firstColumn="1" w:lastColumn="0" w:noHBand="0" w:noVBand="1"/>
      </w:tblPr>
      <w:tblGrid>
        <w:gridCol w:w="2695"/>
        <w:gridCol w:w="1208"/>
        <w:gridCol w:w="1214"/>
        <w:gridCol w:w="1214"/>
        <w:gridCol w:w="1216"/>
        <w:gridCol w:w="476"/>
        <w:gridCol w:w="552"/>
        <w:gridCol w:w="717"/>
        <w:gridCol w:w="591"/>
        <w:gridCol w:w="583"/>
        <w:gridCol w:w="9"/>
      </w:tblGrid>
      <w:tr w:rsidR="00E47794" w:rsidRPr="00E47794" w14:paraId="5FE03493" w14:textId="77777777" w:rsidTr="00075B24">
        <w:trPr>
          <w:trHeight w:val="480"/>
          <w:jc w:val="center"/>
        </w:trPr>
        <w:tc>
          <w:tcPr>
            <w:tcW w:w="7547" w:type="dxa"/>
            <w:gridSpan w:val="5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4C775C6C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Πίν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ακας 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6DE2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37FE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CA49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982" w14:textId="77777777" w:rsidR="00E47794" w:rsidRPr="00E47794" w:rsidRDefault="00E47794" w:rsidP="00E477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C4C9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47794" w:rsidRPr="00E47794" w14:paraId="50D53974" w14:textId="77777777" w:rsidTr="00075B24">
        <w:trPr>
          <w:gridAfter w:val="1"/>
          <w:wAfter w:w="9" w:type="dxa"/>
          <w:trHeight w:val="450"/>
          <w:jc w:val="center"/>
        </w:trPr>
        <w:tc>
          <w:tcPr>
            <w:tcW w:w="2695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374DD846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Οδικές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αφορές </w:t>
            </w: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                                         </w:t>
            </w:r>
            <w:proofErr w:type="gram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  (</w:t>
            </w:r>
            <w:proofErr w:type="spellStart"/>
            <w:proofErr w:type="gram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χιλιάδες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τόνοι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406ECC59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30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75A240C7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2022</w:t>
            </w:r>
          </w:p>
        </w:tc>
        <w:tc>
          <w:tcPr>
            <w:tcW w:w="476" w:type="dxa"/>
            <w:tcBorders>
              <w:top w:val="single" w:sz="8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1950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2443" w:type="dxa"/>
            <w:gridSpan w:val="4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F831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αβολή</w:t>
            </w:r>
          </w:p>
        </w:tc>
      </w:tr>
      <w:tr w:rsidR="00E47794" w:rsidRPr="00E47794" w14:paraId="752E57E5" w14:textId="77777777" w:rsidTr="00075B24">
        <w:trPr>
          <w:gridAfter w:val="1"/>
          <w:wAfter w:w="9" w:type="dxa"/>
          <w:trHeight w:val="315"/>
          <w:jc w:val="center"/>
        </w:trPr>
        <w:tc>
          <w:tcPr>
            <w:tcW w:w="2695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1F0A0630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vAlign w:val="center"/>
            <w:hideMark/>
          </w:tcPr>
          <w:p w14:paraId="5E9C1A41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8" w:space="0" w:color="305496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25A82002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B1E3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70151E0A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(%)</w:t>
            </w:r>
          </w:p>
        </w:tc>
      </w:tr>
      <w:tr w:rsidR="00E47794" w:rsidRPr="00E47794" w14:paraId="2A30D6B1" w14:textId="77777777" w:rsidTr="00075B24">
        <w:trPr>
          <w:gridAfter w:val="1"/>
          <w:wAfter w:w="9" w:type="dxa"/>
          <w:trHeight w:val="300"/>
          <w:jc w:val="center"/>
        </w:trPr>
        <w:tc>
          <w:tcPr>
            <w:tcW w:w="2695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0DEEEC8C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21F5702F" w14:textId="2FB6EEE2" w:rsidR="00E47794" w:rsidRPr="00022FE7" w:rsidRDefault="00022FE7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FDD6CD3" w14:textId="01556950" w:rsidR="00E47794" w:rsidRPr="00022FE7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</w:t>
            </w:r>
            <w:r w:rsidR="00022FE7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Δεκ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CA4CBDE" w14:textId="1FB9EB6C" w:rsidR="00E47794" w:rsidRPr="00E47794" w:rsidRDefault="00022FE7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692DEF18" w14:textId="4014F0F7" w:rsidR="00E47794" w:rsidRPr="00E47794" w:rsidRDefault="00022FE7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Δεκ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7B1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443" w:type="dxa"/>
            <w:gridSpan w:val="4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F153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2022/2021</w:t>
            </w:r>
          </w:p>
        </w:tc>
      </w:tr>
      <w:tr w:rsidR="00E47794" w:rsidRPr="00E47794" w14:paraId="4198ECCC" w14:textId="77777777" w:rsidTr="00075B24">
        <w:trPr>
          <w:trHeight w:val="315"/>
          <w:jc w:val="center"/>
        </w:trPr>
        <w:tc>
          <w:tcPr>
            <w:tcW w:w="2695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2EA92077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294F38BE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5F409DC0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4CF0A897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47807A87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66F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630B7E8C" w14:textId="4E479D08" w:rsidR="00E47794" w:rsidRPr="00E47794" w:rsidRDefault="00022FE7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4B02B2FA" w14:textId="1F7F77FC" w:rsidR="00E47794" w:rsidRPr="00E47794" w:rsidRDefault="00022FE7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Δεκ</w:t>
            </w:r>
          </w:p>
        </w:tc>
      </w:tr>
      <w:tr w:rsidR="00E47794" w:rsidRPr="00E47794" w14:paraId="091D9D73" w14:textId="77777777" w:rsidTr="00075B24">
        <w:trPr>
          <w:trHeight w:val="499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2EFE" w14:textId="77777777" w:rsidR="00E47794" w:rsidRPr="00E47794" w:rsidRDefault="00E47794" w:rsidP="00E47794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Εντός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πρου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9ACA" w14:textId="0580C714" w:rsidR="00E47794" w:rsidRPr="00022FE7" w:rsidRDefault="00022FE7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7.338,2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3364" w14:textId="09BEAA13" w:rsidR="00E47794" w:rsidRPr="00022FE7" w:rsidRDefault="00022FE7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27.642,9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4E67" w14:textId="10781F1A" w:rsidR="00E47794" w:rsidRPr="00022FE7" w:rsidRDefault="00022FE7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9.086,8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C5C5" w14:textId="39F3AA56" w:rsidR="00E47794" w:rsidRPr="00022FE7" w:rsidRDefault="00022FE7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38.51</w:t>
            </w:r>
            <w:r w:rsidR="00805FD8"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9</w:t>
            </w: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,2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F640" w14:textId="77777777" w:rsidR="00E47794" w:rsidRPr="00E47794" w:rsidRDefault="00E4779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CD5E" w14:textId="3BD94B85" w:rsidR="00E47794" w:rsidRPr="00022FE7" w:rsidRDefault="00022FE7" w:rsidP="00E47794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23,8</w:t>
            </w:r>
          </w:p>
        </w:tc>
        <w:tc>
          <w:tcPr>
            <w:tcW w:w="1183" w:type="dxa"/>
            <w:gridSpan w:val="3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5A01" w14:textId="2C46EFD9" w:rsidR="00E47794" w:rsidRPr="00022FE7" w:rsidRDefault="00022FE7" w:rsidP="00E47794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39,3</w:t>
            </w:r>
          </w:p>
        </w:tc>
      </w:tr>
      <w:tr w:rsidR="00E47794" w:rsidRPr="00E47794" w14:paraId="6716A71D" w14:textId="77777777" w:rsidTr="00075B24">
        <w:trPr>
          <w:trHeight w:val="499"/>
          <w:jc w:val="center"/>
        </w:trPr>
        <w:tc>
          <w:tcPr>
            <w:tcW w:w="2695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02E0A63" w14:textId="77777777" w:rsidR="00E47794" w:rsidRPr="00E47794" w:rsidRDefault="00E47794" w:rsidP="00E47794">
            <w:pPr>
              <w:ind w:left="-389" w:firstLineChars="316" w:firstLine="569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Από και π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ρος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την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προ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15147FE" w14:textId="650C7E32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76438E72" w14:textId="3DDCFBAE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8BCADF1" w14:textId="586E0C39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8,6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969BA37" w14:textId="0BA35085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32,8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08198449" w14:textId="77777777" w:rsidR="00E47794" w:rsidRPr="00E47794" w:rsidRDefault="00E4779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5F48FC1" w14:textId="7C6F786B" w:rsidR="00E47794" w:rsidRPr="005A5024" w:rsidRDefault="005A5024" w:rsidP="00E47794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21,6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223BB189" w14:textId="25D97D13" w:rsidR="00E47794" w:rsidRPr="005A5024" w:rsidRDefault="005A5024" w:rsidP="00E47794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28,5</w:t>
            </w:r>
          </w:p>
        </w:tc>
      </w:tr>
      <w:tr w:rsidR="00E47794" w:rsidRPr="00E47794" w14:paraId="4B322B6A" w14:textId="77777777" w:rsidTr="00075B24">
        <w:trPr>
          <w:trHeight w:val="300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F546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744B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3073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5F08" w14:textId="77777777" w:rsidR="00E47794" w:rsidRPr="00E47794" w:rsidRDefault="00E47794" w:rsidP="00E47794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2AC" w14:textId="77777777" w:rsidR="00E47794" w:rsidRPr="00E47794" w:rsidRDefault="00E47794" w:rsidP="00E47794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D3E" w14:textId="77777777" w:rsidR="00E47794" w:rsidRPr="00E47794" w:rsidRDefault="00E47794" w:rsidP="00E47794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2F54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78F" w14:textId="77777777" w:rsidR="00E47794" w:rsidRPr="00E47794" w:rsidRDefault="00E47794" w:rsidP="00E47794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018" w14:textId="77777777" w:rsidR="00E47794" w:rsidRPr="00E47794" w:rsidRDefault="00E47794" w:rsidP="00E47794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45B7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47794" w:rsidRPr="00E47794" w14:paraId="6C6EDBF2" w14:textId="77777777" w:rsidTr="00075B24">
        <w:trPr>
          <w:trHeight w:val="300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0341" w14:textId="395FBBCB" w:rsid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  <w:p w14:paraId="28B42899" w14:textId="228644DC" w:rsidR="004D59FF" w:rsidRDefault="004D59FF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  <w:p w14:paraId="140C6625" w14:textId="77777777" w:rsidR="004D59FF" w:rsidRPr="004D59FF" w:rsidRDefault="004D59FF" w:rsidP="00E47794">
            <w:pPr>
              <w:rPr>
                <w:rFonts w:ascii="Times New Roman" w:eastAsia="Times New Roman" w:hAnsi="Times New Roman"/>
                <w:sz w:val="20"/>
                <w:szCs w:val="20"/>
                <w:lang w:val="el-GR" w:eastAsia="en-CY" w:bidi="he-IL"/>
              </w:rPr>
            </w:pPr>
          </w:p>
          <w:p w14:paraId="5EB84DBF" w14:textId="7C63108E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l-GR" w:eastAsia="en-CY" w:bidi="he-I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7E70" w14:textId="77777777" w:rsidR="00E47794" w:rsidRPr="00E47794" w:rsidRDefault="00E47794" w:rsidP="00E477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77AA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7A97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D7C9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0732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E673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A916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CA1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47794" w:rsidRPr="00E47794" w14:paraId="5DCD51AC" w14:textId="77777777" w:rsidTr="00075B24">
        <w:trPr>
          <w:trHeight w:val="480"/>
          <w:jc w:val="center"/>
        </w:trPr>
        <w:tc>
          <w:tcPr>
            <w:tcW w:w="7547" w:type="dxa"/>
            <w:gridSpan w:val="5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73F8BC7C" w14:textId="77777777" w:rsidR="00E47794" w:rsidRPr="00E47794" w:rsidRDefault="00E47794" w:rsidP="00E47794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Πίν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ακας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2863DEB4" w14:textId="77777777" w:rsidR="00E47794" w:rsidRPr="00E47794" w:rsidRDefault="00E47794" w:rsidP="00E47794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1A636A65" w14:textId="77777777" w:rsidR="00E47794" w:rsidRPr="00E47794" w:rsidRDefault="00E47794" w:rsidP="00E47794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72F577B6" w14:textId="77777777" w:rsidR="00E47794" w:rsidRPr="00E47794" w:rsidRDefault="00E47794" w:rsidP="00E47794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4D9" w14:textId="77777777" w:rsidR="00E47794" w:rsidRPr="00E47794" w:rsidRDefault="00E47794" w:rsidP="00E47794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A9AE" w14:textId="77777777" w:rsidR="00E47794" w:rsidRPr="00E47794" w:rsidRDefault="00E47794" w:rsidP="00E47794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47794" w:rsidRPr="00E47794" w14:paraId="3CE3DABE" w14:textId="77777777" w:rsidTr="00075B24">
        <w:trPr>
          <w:gridAfter w:val="1"/>
          <w:wAfter w:w="9" w:type="dxa"/>
          <w:trHeight w:val="450"/>
          <w:jc w:val="center"/>
        </w:trPr>
        <w:tc>
          <w:tcPr>
            <w:tcW w:w="2695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28C32F0B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Οδικές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αφορές </w:t>
            </w: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                            </w:t>
            </w:r>
            <w:proofErr w:type="gram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  (</w:t>
            </w:r>
            <w:proofErr w:type="spellStart"/>
            <w:proofErr w:type="gram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εκ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. </w:t>
            </w: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τονοχιλιόμετρ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62F080A0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30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3F836CD7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5178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443" w:type="dxa"/>
            <w:gridSpan w:val="4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2882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αβολή</w:t>
            </w:r>
          </w:p>
        </w:tc>
      </w:tr>
      <w:tr w:rsidR="00E47794" w:rsidRPr="00E47794" w14:paraId="40032A31" w14:textId="77777777" w:rsidTr="00075B24">
        <w:trPr>
          <w:gridAfter w:val="1"/>
          <w:wAfter w:w="9" w:type="dxa"/>
          <w:trHeight w:val="315"/>
          <w:jc w:val="center"/>
        </w:trPr>
        <w:tc>
          <w:tcPr>
            <w:tcW w:w="2695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0C4B8ADC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vAlign w:val="center"/>
            <w:hideMark/>
          </w:tcPr>
          <w:p w14:paraId="491AD99C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8" w:space="0" w:color="305496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261B1EA6" w14:textId="77777777" w:rsidR="00E47794" w:rsidRPr="00E47794" w:rsidRDefault="00E47794" w:rsidP="00E47794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8C22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60D3FFA4" w14:textId="77777777" w:rsidR="00E47794" w:rsidRPr="00E47794" w:rsidRDefault="00E47794" w:rsidP="00E47794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(%)</w:t>
            </w:r>
          </w:p>
        </w:tc>
      </w:tr>
      <w:tr w:rsidR="00022FE7" w:rsidRPr="00E47794" w14:paraId="302C3A1E" w14:textId="77777777" w:rsidTr="00075B24">
        <w:trPr>
          <w:gridAfter w:val="1"/>
          <w:wAfter w:w="9" w:type="dxa"/>
          <w:trHeight w:val="300"/>
          <w:jc w:val="center"/>
        </w:trPr>
        <w:tc>
          <w:tcPr>
            <w:tcW w:w="2695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54767E0E" w14:textId="77777777" w:rsidR="00022FE7" w:rsidRPr="00E47794" w:rsidRDefault="00022FE7" w:rsidP="00022FE7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60CEBA46" w14:textId="5214066F" w:rsidR="00022FE7" w:rsidRPr="00E47794" w:rsidRDefault="00022FE7" w:rsidP="00022FE7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75CCEB70" w14:textId="0AE1AD37" w:rsidR="00022FE7" w:rsidRPr="00E47794" w:rsidRDefault="00022FE7" w:rsidP="00022FE7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Δεκ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17129FD" w14:textId="49F94A33" w:rsidR="00022FE7" w:rsidRPr="00E47794" w:rsidRDefault="00022FE7" w:rsidP="00022FE7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7D64A3F3" w14:textId="52F12412" w:rsidR="00022FE7" w:rsidRPr="00E47794" w:rsidRDefault="00022FE7" w:rsidP="00022FE7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Δεκ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A7B4" w14:textId="77777777" w:rsidR="00022FE7" w:rsidRPr="00E47794" w:rsidRDefault="00022FE7" w:rsidP="00022FE7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443" w:type="dxa"/>
            <w:gridSpan w:val="4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852C6" w14:textId="77777777" w:rsidR="00022FE7" w:rsidRPr="00E47794" w:rsidRDefault="00022FE7" w:rsidP="00022FE7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2022/2021</w:t>
            </w:r>
          </w:p>
        </w:tc>
      </w:tr>
      <w:tr w:rsidR="00022FE7" w:rsidRPr="00E47794" w14:paraId="29A5E2C6" w14:textId="77777777" w:rsidTr="00075B24">
        <w:trPr>
          <w:trHeight w:val="315"/>
          <w:jc w:val="center"/>
        </w:trPr>
        <w:tc>
          <w:tcPr>
            <w:tcW w:w="2695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2BBE4F9D" w14:textId="77777777" w:rsidR="00022FE7" w:rsidRPr="00E47794" w:rsidRDefault="00022FE7" w:rsidP="00022FE7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3F011526" w14:textId="77777777" w:rsidR="00022FE7" w:rsidRPr="00E47794" w:rsidRDefault="00022FE7" w:rsidP="00022FE7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279527DA" w14:textId="77777777" w:rsidR="00022FE7" w:rsidRPr="00E47794" w:rsidRDefault="00022FE7" w:rsidP="00022FE7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20268FE4" w14:textId="77777777" w:rsidR="00022FE7" w:rsidRPr="00E47794" w:rsidRDefault="00022FE7" w:rsidP="00022FE7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026AF26D" w14:textId="77777777" w:rsidR="00022FE7" w:rsidRPr="00E47794" w:rsidRDefault="00022FE7" w:rsidP="00022FE7">
            <w:pP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F5D8" w14:textId="77777777" w:rsidR="00022FE7" w:rsidRPr="00E47794" w:rsidRDefault="00022FE7" w:rsidP="00022FE7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2CFE4CCB" w14:textId="2DDED402" w:rsidR="00022FE7" w:rsidRPr="00E47794" w:rsidRDefault="00022FE7" w:rsidP="00022FE7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32D4D2C0" w14:textId="105A0427" w:rsidR="00022FE7" w:rsidRPr="00E47794" w:rsidRDefault="00022FE7" w:rsidP="00022FE7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Ιαν-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Δεκ</w:t>
            </w:r>
          </w:p>
        </w:tc>
      </w:tr>
      <w:tr w:rsidR="00E47794" w:rsidRPr="00E47794" w14:paraId="21713C04" w14:textId="77777777" w:rsidTr="00075B24">
        <w:trPr>
          <w:trHeight w:val="499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834B" w14:textId="77777777" w:rsidR="00E47794" w:rsidRPr="00E47794" w:rsidRDefault="00E47794" w:rsidP="00E47794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Εντός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πρου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CB63" w14:textId="2B8D9319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171,2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4119" w14:textId="069F6277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703,2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3566" w14:textId="08D34BF2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236,9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5150" w14:textId="2EAE47FF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923,3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39EF" w14:textId="77777777" w:rsidR="00E47794" w:rsidRPr="00E47794" w:rsidRDefault="00E4779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77CA" w14:textId="3939FFB3" w:rsidR="00E47794" w:rsidRPr="005A5024" w:rsidRDefault="005A5024" w:rsidP="00E47794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38,4</w:t>
            </w:r>
          </w:p>
        </w:tc>
        <w:tc>
          <w:tcPr>
            <w:tcW w:w="1183" w:type="dxa"/>
            <w:gridSpan w:val="3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364DC" w14:textId="6E5F4FA4" w:rsidR="00E47794" w:rsidRPr="005A5024" w:rsidRDefault="005A5024" w:rsidP="00E47794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31,3</w:t>
            </w:r>
          </w:p>
        </w:tc>
      </w:tr>
      <w:tr w:rsidR="00E47794" w:rsidRPr="00E47794" w14:paraId="276AC617" w14:textId="77777777" w:rsidTr="00075B24">
        <w:trPr>
          <w:trHeight w:val="499"/>
          <w:jc w:val="center"/>
        </w:trPr>
        <w:tc>
          <w:tcPr>
            <w:tcW w:w="2695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018351B" w14:textId="77777777" w:rsidR="00E47794" w:rsidRPr="00E47794" w:rsidRDefault="00E47794" w:rsidP="00E47794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Από και π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ρος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την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προ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0BBA0383" w14:textId="15B551D9" w:rsidR="00E47794" w:rsidRPr="005A5024" w:rsidRDefault="00E4779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5,</w:t>
            </w:r>
            <w:r w:rsidR="005A502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7A255CA1" w14:textId="5596551B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28,1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065F747E" w14:textId="708B6162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704BDBF" w14:textId="3D0ECA3B" w:rsidR="00E47794" w:rsidRPr="005A5024" w:rsidRDefault="005A502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25,6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2BF0162A" w14:textId="77777777" w:rsidR="00E47794" w:rsidRPr="00E47794" w:rsidRDefault="00E47794" w:rsidP="00E4779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348F1191" w14:textId="43591D5C" w:rsidR="00E47794" w:rsidRPr="005A5024" w:rsidRDefault="005A5024" w:rsidP="00E47794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27,4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6FA1A603" w14:textId="1B6470D2" w:rsidR="00E47794" w:rsidRPr="005A5024" w:rsidRDefault="005A5024" w:rsidP="00E47794">
            <w:pPr>
              <w:jc w:val="center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-8,8</w:t>
            </w:r>
          </w:p>
        </w:tc>
      </w:tr>
    </w:tbl>
    <w:p w14:paraId="43033F8E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6EAA08FE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C27F362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73B0BADC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5DFD75F8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5FA3823C" w14:textId="77777777" w:rsidR="00055FDF" w:rsidRPr="00C6742A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1EC81B27" w14:textId="77777777" w:rsidR="00055FDF" w:rsidRPr="00AD1654" w:rsidRDefault="00055FDF" w:rsidP="00055FD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E565F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7DC67B75" w14:textId="77777777" w:rsidR="00055FDF" w:rsidRPr="00AE0687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27B44F8" w14:textId="11DD5775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2D576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0E11B58A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86E21A2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Σκοπός της Έρευνας Οδικών Μεταφορών</w:t>
      </w:r>
      <w:r w:rsidRPr="00B90A3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Φορτίου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είναι η συλλογή στατιστικών στοιχείων σχετικά με τις μεταφορές εμπορευμάτων που εκτελούνται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οδικώς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εντός Κύπρου ή από και προς την Κύπρο με μηχανοκίνητα οδικά μέσα μεταφοράς, εγγεγραμμένα στο Τμήμα Οδικών Μεταφορών.</w:t>
      </w:r>
    </w:p>
    <w:p w14:paraId="140D2E0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8AB84C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σωτερικού επιλέγεται δείγμα από τον κατάλογο των εγγεγραμμένων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φορτηγών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Καλύπτονται οι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οδικές μεταφορές φορτίου που γίνονται από οχήματα με ωφέλιμο φορτίο πάνω από 3 τόνους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Το δείγμα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χωρίζεται σε 9 κατηγορίες ανάλογα με το </w:t>
      </w:r>
      <w:r w:rsidRPr="00B90A3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ωφέλιμο φορτίο του οχήματος και τον τύπο της μεταφοράς (δημόσιας ή ιδιωτικής χρήσης) και καλύπτει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καθεμιά από τις 52 εβδομάδες του έτους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4711B60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D80644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ξωτερικού καλύπτουν όλες τις οδικές μεταφορές φορτίου που γίνονται από και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προς την Κύπρο, κατά τη διάρκεια του χρόνου.</w:t>
      </w:r>
    </w:p>
    <w:p w14:paraId="119329A5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5B16779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στοιχεία που καταρτίζονται αποστέλλονται στη </w:t>
      </w:r>
      <w:proofErr w:type="spellStart"/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σύμφωνα με τον Κανονισμό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(ΕΕ) αριθ. 70/2012 σχετικά με τις στατιστικές καταγραφές των οδικών μεταφορών εμπορευμάτων.</w:t>
      </w:r>
    </w:p>
    <w:p w14:paraId="11DB6035" w14:textId="77777777" w:rsidR="00055FDF" w:rsidRPr="00505E93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8067D2A" w14:textId="4D753004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2D576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1BFC78AB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3FAE0BBE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απογραφόμενη μονάδα είναι το μηχανοκίνητο όχημα οδικής μεταφοράς φορτίου.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κάθε όχημα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συλλέγονται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στοιχεία που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αφορούν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τα χαρακτηριστικά του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, τη διαδρομή και το εμπόρευμα.</w:t>
      </w:r>
    </w:p>
    <w:p w14:paraId="130546C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C78F019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σωτερικού η συλλογή των στοιχείων γίνεται κατά τη διάρκεια όλου του χρόνου με τηλεφωνικές συνεντεύξεις από απογραφείς, ενώ για 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ξωτερικού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στοιχεία συμπληρώνονται σε ειδικό έντυπο 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από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τους οδηγούς στο λιμάνι Λεμεσού και συλλέγονται από τους λ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ειτουργούς του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Τμήματος Τελωνείων.</w:t>
      </w:r>
    </w:p>
    <w:p w14:paraId="569FC493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A451EE8" w14:textId="77777777" w:rsidR="00055FDF" w:rsidRPr="00986E1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986E1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58BF8C83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77E5C7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 </w:t>
      </w:r>
      <w:proofErr w:type="spellStart"/>
      <w:r w:rsidRPr="00986E1F">
        <w:rPr>
          <w:rFonts w:ascii="Verdana" w:hAnsi="Verdana"/>
          <w:i/>
          <w:iCs/>
          <w:sz w:val="18"/>
          <w:szCs w:val="18"/>
          <w:shd w:val="clear" w:color="auto" w:fill="FFFFFF"/>
          <w:lang w:val="el-GR"/>
        </w:rPr>
        <w:t>τονοχιλιόμετρο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(</w:t>
      </w:r>
      <w:proofErr w:type="spellStart"/>
      <w:r w:rsidRPr="00986E1F">
        <w:rPr>
          <w:rFonts w:ascii="Verdana" w:hAnsi="Verdana"/>
          <w:sz w:val="18"/>
          <w:szCs w:val="18"/>
          <w:shd w:val="clear" w:color="auto" w:fill="FFFFFF"/>
          <w:lang w:val="el-GR"/>
        </w:rPr>
        <w:t>tkm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είναι μονάδα μέτρησης των μεταφορών φορτίου που αντιπροσωπεύει τη μεταφορά ενός τόνου εμπορευμάτων με δεδομένο τρόπο μεταφοράς σε απόσταση ενός χιλιομέτρου. </w:t>
      </w:r>
    </w:p>
    <w:p w14:paraId="55AD7FF8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0495DE56" w14:textId="77777777" w:rsidR="00055FDF" w:rsidRPr="00AE0687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7F4F4E" w14:textId="77777777" w:rsidR="00055FDF" w:rsidRPr="00AE0687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AE0687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23121072" w14:textId="0489996B" w:rsidR="00055FDF" w:rsidRDefault="00055FDF" w:rsidP="00055FDF">
      <w:pPr>
        <w:rPr>
          <w:rFonts w:ascii="Verdana" w:hAnsi="Verdana"/>
          <w:color w:val="0000FF"/>
          <w:sz w:val="18"/>
          <w:szCs w:val="18"/>
          <w:u w:val="single"/>
          <w:lang w:val="el-GR"/>
        </w:rPr>
      </w:pPr>
      <w:r w:rsidRPr="00772102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772102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Υπηρεσίες</w:t>
        </w:r>
      </w:hyperlink>
    </w:p>
    <w:p w14:paraId="05E66FB5" w14:textId="77777777" w:rsidR="004E5B5F" w:rsidRPr="00AC2590" w:rsidRDefault="00000000" w:rsidP="004E5B5F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4E5B5F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4E5B5F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4E5B5F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4E5B5F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070DA63B" w14:textId="77777777" w:rsidR="00055FDF" w:rsidRPr="00772102" w:rsidRDefault="00000000" w:rsidP="00055FDF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055FDF" w:rsidRPr="00772102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Προκαθορισμένοι Πίνακες</w:t>
        </w:r>
      </w:hyperlink>
      <w:r w:rsidR="00055FDF" w:rsidRPr="00772102">
        <w:rPr>
          <w:rFonts w:ascii="Verdana" w:hAnsi="Verdana"/>
          <w:sz w:val="18"/>
          <w:szCs w:val="18"/>
          <w:lang w:val="el-GR"/>
        </w:rPr>
        <w:t xml:space="preserve"> (</w:t>
      </w:r>
      <w:r w:rsidR="00055FDF" w:rsidRPr="00772102">
        <w:rPr>
          <w:rFonts w:ascii="Verdana" w:hAnsi="Verdana"/>
          <w:sz w:val="18"/>
          <w:szCs w:val="18"/>
        </w:rPr>
        <w:t>Excel</w:t>
      </w:r>
      <w:r w:rsidR="00055FDF" w:rsidRPr="00772102">
        <w:rPr>
          <w:rFonts w:ascii="Verdana" w:hAnsi="Verdana"/>
          <w:sz w:val="18"/>
          <w:szCs w:val="18"/>
          <w:lang w:val="el-GR"/>
        </w:rPr>
        <w:t>)</w:t>
      </w:r>
    </w:p>
    <w:p w14:paraId="31AEDD7B" w14:textId="77777777" w:rsidR="00055FDF" w:rsidRDefault="00055FDF" w:rsidP="00055FDF">
      <w:pPr>
        <w:jc w:val="both"/>
        <w:rPr>
          <w:rFonts w:ascii="Verdana" w:hAnsi="Verdana"/>
          <w:sz w:val="18"/>
          <w:szCs w:val="18"/>
          <w:lang w:val="el-GR"/>
        </w:rPr>
      </w:pPr>
    </w:p>
    <w:p w14:paraId="1C738C6E" w14:textId="43E522EC" w:rsidR="00055FDF" w:rsidRPr="00EF518C" w:rsidRDefault="00EF518C" w:rsidP="00055FDF">
      <w:pPr>
        <w:jc w:val="both"/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  <w:r w:rsidRPr="00EF518C"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  <w:t xml:space="preserve">Οι </w:t>
      </w:r>
      <w:r w:rsidRPr="00EF518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Προκαθορισμένοι Πίνακες</w:t>
      </w:r>
      <w:r w:rsidRPr="00EF518C"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  <w:t xml:space="preserve"> σε μορφή Excel περιλαμβάνουν στοιχεία μέχρι και το τέταρτο τρίμηνο του 2022. Για το πρώτο τρίμηνο του 2023 και μετέπειτα, η ενημέρωση θα γίνεται μόνο στη Βάση Δεδομένων CYSTAT-DB.</w:t>
      </w:r>
    </w:p>
    <w:p w14:paraId="6F631BDD" w14:textId="77777777" w:rsidR="00063A61" w:rsidRPr="00063A61" w:rsidRDefault="00063A61" w:rsidP="00055FDF">
      <w:pPr>
        <w:jc w:val="both"/>
        <w:rPr>
          <w:rFonts w:ascii="Verdana" w:hAnsi="Verdana"/>
          <w:sz w:val="18"/>
          <w:szCs w:val="18"/>
          <w:lang w:val="el-GR"/>
        </w:rPr>
      </w:pPr>
    </w:p>
    <w:p w14:paraId="17DF1C26" w14:textId="77777777" w:rsidR="00055FDF" w:rsidRPr="00AE0687" w:rsidRDefault="00055FDF" w:rsidP="00055FDF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65479C85" w14:textId="77777777" w:rsidR="00055FDF" w:rsidRPr="00184E21" w:rsidRDefault="00055FDF" w:rsidP="00055FDF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.: </w:t>
      </w:r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>22602240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12" w:history="1"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amilidoni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@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cystat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mof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gov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cy</w:t>
        </w:r>
      </w:hyperlink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6D12487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730765" w14:textId="64EFAB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9E7F8F" w14:textId="3090719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632D4A" w14:textId="67CD2B8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0BA3FF" w14:textId="6A9F52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20F27F" w14:textId="7403E40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4FBDFA" w14:textId="12380D2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5CF872" w14:textId="08B3E324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D5A8" w14:textId="77777777" w:rsidR="0038480F" w:rsidRDefault="0038480F" w:rsidP="00FB398F">
      <w:r>
        <w:separator/>
      </w:r>
    </w:p>
  </w:endnote>
  <w:endnote w:type="continuationSeparator" w:id="0">
    <w:p w14:paraId="50A954CD" w14:textId="77777777" w:rsidR="0038480F" w:rsidRDefault="0038480F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EF518C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FEE3" w14:textId="77777777" w:rsidR="0038480F" w:rsidRDefault="0038480F" w:rsidP="00FB398F">
      <w:r>
        <w:separator/>
      </w:r>
    </w:p>
  </w:footnote>
  <w:footnote w:type="continuationSeparator" w:id="0">
    <w:p w14:paraId="5AAF1A8D" w14:textId="77777777" w:rsidR="0038480F" w:rsidRDefault="0038480F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7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9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1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10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9C51F99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4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2FE7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5FDF"/>
    <w:rsid w:val="000563D3"/>
    <w:rsid w:val="00057E44"/>
    <w:rsid w:val="00061299"/>
    <w:rsid w:val="00063A61"/>
    <w:rsid w:val="00065D67"/>
    <w:rsid w:val="00070576"/>
    <w:rsid w:val="000752BB"/>
    <w:rsid w:val="00075B24"/>
    <w:rsid w:val="00081ADF"/>
    <w:rsid w:val="000834F9"/>
    <w:rsid w:val="00084A02"/>
    <w:rsid w:val="00084BF7"/>
    <w:rsid w:val="000870E9"/>
    <w:rsid w:val="000932CF"/>
    <w:rsid w:val="00096ED8"/>
    <w:rsid w:val="000970D0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0C1B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A5C3F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493F"/>
    <w:rsid w:val="00297E6B"/>
    <w:rsid w:val="002A1D1C"/>
    <w:rsid w:val="002A4D64"/>
    <w:rsid w:val="002B4969"/>
    <w:rsid w:val="002B6554"/>
    <w:rsid w:val="002D05F0"/>
    <w:rsid w:val="002D2829"/>
    <w:rsid w:val="002D576C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480F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55F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D59FF"/>
    <w:rsid w:val="004E2393"/>
    <w:rsid w:val="004E3745"/>
    <w:rsid w:val="004E42BE"/>
    <w:rsid w:val="004E4F42"/>
    <w:rsid w:val="004E5B5F"/>
    <w:rsid w:val="004E63D5"/>
    <w:rsid w:val="004F03FD"/>
    <w:rsid w:val="004F21F0"/>
    <w:rsid w:val="004F52F0"/>
    <w:rsid w:val="004F6250"/>
    <w:rsid w:val="004F677C"/>
    <w:rsid w:val="004F6D8F"/>
    <w:rsid w:val="00505503"/>
    <w:rsid w:val="0051107B"/>
    <w:rsid w:val="00512F9C"/>
    <w:rsid w:val="005262B4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A5024"/>
    <w:rsid w:val="005B2A67"/>
    <w:rsid w:val="005B3DCD"/>
    <w:rsid w:val="005B4AD4"/>
    <w:rsid w:val="005C2798"/>
    <w:rsid w:val="005C36C3"/>
    <w:rsid w:val="005C4F7E"/>
    <w:rsid w:val="005C56EE"/>
    <w:rsid w:val="005D1714"/>
    <w:rsid w:val="005D2207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025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468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2BAD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5FD8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5585"/>
    <w:rsid w:val="008B65BD"/>
    <w:rsid w:val="008B7900"/>
    <w:rsid w:val="008C71BF"/>
    <w:rsid w:val="008C7FE0"/>
    <w:rsid w:val="008D4BAB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A2D24"/>
    <w:rsid w:val="009A456C"/>
    <w:rsid w:val="009A4645"/>
    <w:rsid w:val="009B00E0"/>
    <w:rsid w:val="009B292A"/>
    <w:rsid w:val="009B76D5"/>
    <w:rsid w:val="009C165D"/>
    <w:rsid w:val="009C3CEA"/>
    <w:rsid w:val="009C583D"/>
    <w:rsid w:val="009C7AFC"/>
    <w:rsid w:val="009D1F93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2985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2BF1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42FC"/>
    <w:rsid w:val="00B75AE5"/>
    <w:rsid w:val="00B763FF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4B7C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42A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03A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808C4"/>
    <w:rsid w:val="00DA7D12"/>
    <w:rsid w:val="00DC23CF"/>
    <w:rsid w:val="00DC6562"/>
    <w:rsid w:val="00DD0115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BB0"/>
    <w:rsid w:val="00E04F5E"/>
    <w:rsid w:val="00E0522E"/>
    <w:rsid w:val="00E120F4"/>
    <w:rsid w:val="00E17172"/>
    <w:rsid w:val="00E3181C"/>
    <w:rsid w:val="00E3280A"/>
    <w:rsid w:val="00E36467"/>
    <w:rsid w:val="00E372AF"/>
    <w:rsid w:val="00E37D68"/>
    <w:rsid w:val="00E40EAE"/>
    <w:rsid w:val="00E436AC"/>
    <w:rsid w:val="00E44F7A"/>
    <w:rsid w:val="00E44FF8"/>
    <w:rsid w:val="00E47794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219F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47ED"/>
    <w:rsid w:val="00EF518C"/>
    <w:rsid w:val="00EF6A47"/>
    <w:rsid w:val="00EF7AF9"/>
    <w:rsid w:val="00F00952"/>
    <w:rsid w:val="00F01495"/>
    <w:rsid w:val="00F10138"/>
    <w:rsid w:val="00F13F92"/>
    <w:rsid w:val="00F14205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67C5B"/>
    <w:rsid w:val="00F701E3"/>
    <w:rsid w:val="00F71008"/>
    <w:rsid w:val="00F71F8C"/>
    <w:rsid w:val="00F85DA8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4E9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ilidoni@cystat.mof.gov.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Services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17</cp:revision>
  <cp:lastPrinted>2023-05-10T08:51:00Z</cp:lastPrinted>
  <dcterms:created xsi:type="dcterms:W3CDTF">2022-06-09T08:07:00Z</dcterms:created>
  <dcterms:modified xsi:type="dcterms:W3CDTF">2023-05-10T08:53:00Z</dcterms:modified>
</cp:coreProperties>
</file>