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746E6" w14:textId="3FA2AB17" w:rsidR="00113CE5" w:rsidRPr="00D750CA" w:rsidRDefault="00B819AE" w:rsidP="00113CE5">
      <w:pPr>
        <w:tabs>
          <w:tab w:val="left" w:pos="1080"/>
          <w:tab w:val="left" w:pos="7088"/>
        </w:tabs>
        <w:jc w:val="right"/>
        <w:rPr>
          <w:rFonts w:ascii="Verdana" w:eastAsia="Malgun Gothic" w:hAnsi="Verdana" w:cs="Arial"/>
          <w:sz w:val="18"/>
          <w:szCs w:val="18"/>
          <w:lang w:val="el-GR"/>
        </w:rPr>
      </w:pPr>
      <w:r w:rsidRPr="0001127E">
        <w:rPr>
          <w:rFonts w:ascii="Verdana" w:hAnsi="Verdana" w:cs="Arial"/>
          <w:sz w:val="18"/>
          <w:szCs w:val="18"/>
          <w:lang w:val="el-GR"/>
        </w:rPr>
        <w:t>17</w:t>
      </w:r>
      <w:r w:rsidR="00C1132E" w:rsidRPr="0001127E">
        <w:rPr>
          <w:rFonts w:ascii="Verdana" w:hAnsi="Verdana" w:cs="Arial"/>
          <w:sz w:val="18"/>
          <w:szCs w:val="18"/>
          <w:lang w:val="el-GR"/>
        </w:rPr>
        <w:t xml:space="preserve"> </w:t>
      </w:r>
      <w:r w:rsidRPr="0001127E">
        <w:rPr>
          <w:rFonts w:ascii="Verdana" w:hAnsi="Verdana" w:cs="Arial"/>
          <w:sz w:val="18"/>
          <w:szCs w:val="18"/>
          <w:lang w:val="el-GR"/>
        </w:rPr>
        <w:t>Οκτωβρίου</w:t>
      </w:r>
      <w:r w:rsidR="00113CE5" w:rsidRPr="0001127E">
        <w:rPr>
          <w:rFonts w:ascii="Verdana" w:hAnsi="Verdana" w:cs="Arial"/>
          <w:sz w:val="18"/>
          <w:szCs w:val="18"/>
          <w:lang w:val="el-GR"/>
        </w:rPr>
        <w:t xml:space="preserve">, </w:t>
      </w:r>
      <w:r w:rsidR="00113CE5" w:rsidRPr="0001127E">
        <w:rPr>
          <w:rFonts w:ascii="Verdana" w:eastAsia="Malgun Gothic" w:hAnsi="Verdana" w:cs="Arial"/>
          <w:sz w:val="18"/>
          <w:szCs w:val="18"/>
          <w:lang w:val="el-GR"/>
        </w:rPr>
        <w:t>202</w:t>
      </w:r>
      <w:r w:rsidR="00C1132E" w:rsidRPr="0001127E">
        <w:rPr>
          <w:rFonts w:ascii="Verdana" w:eastAsia="Malgun Gothic" w:hAnsi="Verdana" w:cs="Arial"/>
          <w:sz w:val="18"/>
          <w:szCs w:val="18"/>
          <w:lang w:val="el-GR"/>
        </w:rPr>
        <w:t>4</w:t>
      </w:r>
    </w:p>
    <w:p w14:paraId="5AD7A7DD" w14:textId="77777777" w:rsidR="00113CE5" w:rsidRPr="00336C36" w:rsidRDefault="00113CE5" w:rsidP="00113CE5">
      <w:pPr>
        <w:jc w:val="center"/>
        <w:rPr>
          <w:rFonts w:ascii="Verdana" w:eastAsia="Malgun Gothic" w:hAnsi="Verdana" w:cs="Arial"/>
          <w:b/>
          <w:sz w:val="24"/>
          <w:szCs w:val="24"/>
          <w:lang w:val="el-GR"/>
        </w:rPr>
      </w:pPr>
    </w:p>
    <w:p w14:paraId="1E4FBFFA" w14:textId="77777777" w:rsidR="00113CE5" w:rsidRPr="00CF40F8" w:rsidRDefault="00113CE5" w:rsidP="00113CE5">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74848DF8" w14:textId="77777777" w:rsidR="00113CE5" w:rsidRDefault="00113CE5" w:rsidP="00113CE5">
      <w:pPr>
        <w:rPr>
          <w:rFonts w:ascii="Verdana" w:eastAsia="Malgun Gothic" w:hAnsi="Verdana" w:cs="Arial"/>
          <w:lang w:val="el-GR"/>
        </w:rPr>
      </w:pPr>
    </w:p>
    <w:p w14:paraId="1C474D1F" w14:textId="77777777" w:rsidR="00113CE5" w:rsidRDefault="00113CE5" w:rsidP="00113CE5">
      <w:pPr>
        <w:jc w:val="center"/>
        <w:rPr>
          <w:rFonts w:ascii="Verdana" w:eastAsia="Malgun Gothic" w:hAnsi="Verdana" w:cs="Arial"/>
          <w:u w:val="single"/>
          <w:lang w:val="el-GR"/>
        </w:rPr>
      </w:pPr>
      <w:r>
        <w:rPr>
          <w:rFonts w:ascii="Verdana" w:eastAsia="Malgun Gothic" w:hAnsi="Verdana" w:cs="Arial"/>
          <w:u w:val="single"/>
          <w:lang w:val="el-GR"/>
        </w:rPr>
        <w:t>ΕΡΕΥΝΑ ΕΙΣΟΔΗΜΑΤΟΣ ΚΑΙ ΣΥΝΘΗΚΩΝ ΔΙΑΒΙΩΣΗΣ ΤΩΝ ΝΟΙΚΟΚΥΡΙΩΝ:</w:t>
      </w:r>
    </w:p>
    <w:p w14:paraId="766652A2" w14:textId="753DACFB" w:rsidR="00113CE5" w:rsidRPr="00B819AE" w:rsidRDefault="00113CE5" w:rsidP="00113CE5">
      <w:pPr>
        <w:jc w:val="center"/>
        <w:rPr>
          <w:rFonts w:ascii="Verdana" w:eastAsia="Malgun Gothic" w:hAnsi="Verdana" w:cs="Arial"/>
          <w:sz w:val="18"/>
          <w:szCs w:val="18"/>
          <w:u w:val="single"/>
          <w:lang w:val="el-GR"/>
        </w:rPr>
      </w:pPr>
      <w:r w:rsidRPr="00D750CA">
        <w:rPr>
          <w:rFonts w:ascii="Verdana" w:eastAsia="Malgun Gothic" w:hAnsi="Verdana" w:cs="Arial"/>
          <w:b/>
          <w:bCs/>
          <w:u w:val="single"/>
          <w:lang w:val="el-GR"/>
        </w:rPr>
        <w:t>ΥΛΙΚΗ ΚΑΙ ΚΟΙΝΩΝΙΚΗ ΣΤΕΡΗΣΗ</w:t>
      </w:r>
      <w:r>
        <w:rPr>
          <w:rFonts w:ascii="Verdana" w:eastAsia="Malgun Gothic" w:hAnsi="Verdana" w:cs="Arial"/>
          <w:b/>
          <w:bCs/>
          <w:u w:val="single"/>
          <w:lang w:val="el-GR"/>
        </w:rPr>
        <w:t xml:space="preserve"> 202</w:t>
      </w:r>
      <w:r w:rsidR="00391A60" w:rsidRPr="00B819AE">
        <w:rPr>
          <w:rFonts w:ascii="Verdana" w:eastAsia="Malgun Gothic" w:hAnsi="Verdana" w:cs="Arial"/>
          <w:b/>
          <w:bCs/>
          <w:u w:val="single"/>
          <w:lang w:val="el-GR"/>
        </w:rPr>
        <w:t>3</w:t>
      </w:r>
    </w:p>
    <w:p w14:paraId="4E7D0FC8" w14:textId="77777777" w:rsidR="00113CE5" w:rsidRPr="00D750CA" w:rsidRDefault="00113CE5" w:rsidP="00113CE5">
      <w:pPr>
        <w:pStyle w:val="Heading6"/>
        <w:tabs>
          <w:tab w:val="clear" w:pos="6840"/>
        </w:tabs>
        <w:jc w:val="left"/>
        <w:rPr>
          <w:rFonts w:ascii="Verdana" w:eastAsia="Malgun Gothic" w:hAnsi="Verdana" w:cs="Arial"/>
          <w:b w:val="0"/>
          <w:sz w:val="18"/>
          <w:szCs w:val="18"/>
          <w:u w:val="none"/>
        </w:rPr>
      </w:pPr>
    </w:p>
    <w:p w14:paraId="2ED33A1C" w14:textId="77777777" w:rsidR="00113CE5" w:rsidRPr="00D750CA" w:rsidRDefault="00113CE5" w:rsidP="00113CE5">
      <w:pPr>
        <w:rPr>
          <w:rFonts w:ascii="Verdana" w:hAnsi="Verdana"/>
          <w:sz w:val="18"/>
          <w:szCs w:val="18"/>
          <w:lang w:val="el-GR"/>
        </w:rPr>
      </w:pPr>
    </w:p>
    <w:p w14:paraId="7868FE77" w14:textId="77777777" w:rsidR="00113CE5" w:rsidRPr="00D750CA" w:rsidRDefault="00113CE5" w:rsidP="00113CE5">
      <w:pPr>
        <w:pStyle w:val="Heading6"/>
        <w:tabs>
          <w:tab w:val="clear" w:pos="6840"/>
        </w:tabs>
        <w:jc w:val="both"/>
        <w:rPr>
          <w:rFonts w:ascii="Verdana" w:eastAsia="Malgun Gothic" w:hAnsi="Verdana" w:cs="Arial"/>
          <w:bCs w:val="0"/>
          <w:sz w:val="18"/>
          <w:szCs w:val="18"/>
        </w:rPr>
      </w:pPr>
      <w:r w:rsidRPr="00D750CA">
        <w:rPr>
          <w:rFonts w:ascii="Verdana" w:eastAsia="Malgun Gothic" w:hAnsi="Verdana" w:cs="Arial"/>
          <w:bCs w:val="0"/>
          <w:sz w:val="18"/>
          <w:szCs w:val="18"/>
        </w:rPr>
        <w:t xml:space="preserve">Σοβαρή </w:t>
      </w:r>
      <w:r>
        <w:rPr>
          <w:rFonts w:ascii="Verdana" w:eastAsia="Malgun Gothic" w:hAnsi="Verdana" w:cs="Arial"/>
          <w:bCs w:val="0"/>
          <w:sz w:val="18"/>
          <w:szCs w:val="18"/>
        </w:rPr>
        <w:t>Υ</w:t>
      </w:r>
      <w:r w:rsidRPr="00D750CA">
        <w:rPr>
          <w:rFonts w:ascii="Verdana" w:eastAsia="Malgun Gothic" w:hAnsi="Verdana" w:cs="Arial"/>
          <w:bCs w:val="0"/>
          <w:sz w:val="18"/>
          <w:szCs w:val="18"/>
        </w:rPr>
        <w:t xml:space="preserve">λική και </w:t>
      </w:r>
      <w:r>
        <w:rPr>
          <w:rFonts w:ascii="Verdana" w:eastAsia="Malgun Gothic" w:hAnsi="Verdana" w:cs="Arial"/>
          <w:bCs w:val="0"/>
          <w:sz w:val="18"/>
          <w:szCs w:val="18"/>
        </w:rPr>
        <w:t>Κ</w:t>
      </w:r>
      <w:r w:rsidRPr="00D750CA">
        <w:rPr>
          <w:rFonts w:ascii="Verdana" w:eastAsia="Malgun Gothic" w:hAnsi="Verdana" w:cs="Arial"/>
          <w:bCs w:val="0"/>
          <w:sz w:val="18"/>
          <w:szCs w:val="18"/>
        </w:rPr>
        <w:t xml:space="preserve">οινωνική </w:t>
      </w:r>
      <w:r>
        <w:rPr>
          <w:rFonts w:ascii="Verdana" w:eastAsia="Malgun Gothic" w:hAnsi="Verdana" w:cs="Arial"/>
          <w:bCs w:val="0"/>
          <w:sz w:val="18"/>
          <w:szCs w:val="18"/>
        </w:rPr>
        <w:t>Σ</w:t>
      </w:r>
      <w:r w:rsidRPr="00D750CA">
        <w:rPr>
          <w:rFonts w:ascii="Verdana" w:eastAsia="Malgun Gothic" w:hAnsi="Verdana" w:cs="Arial"/>
          <w:bCs w:val="0"/>
          <w:sz w:val="18"/>
          <w:szCs w:val="18"/>
        </w:rPr>
        <w:t>τέρηση</w:t>
      </w:r>
    </w:p>
    <w:p w14:paraId="6EF70135" w14:textId="77777777" w:rsidR="00113CE5" w:rsidRPr="00D750CA" w:rsidRDefault="00113CE5" w:rsidP="00113CE5">
      <w:pPr>
        <w:jc w:val="both"/>
        <w:rPr>
          <w:rFonts w:ascii="Verdana" w:hAnsi="Verdana" w:cs="Arial"/>
          <w:sz w:val="18"/>
          <w:szCs w:val="18"/>
          <w:lang w:val="el-GR"/>
        </w:rPr>
      </w:pPr>
    </w:p>
    <w:p w14:paraId="14F63057" w14:textId="1AD79C65" w:rsidR="00113CE5" w:rsidRPr="003E0519" w:rsidRDefault="00113CE5" w:rsidP="00113CE5">
      <w:pPr>
        <w:jc w:val="both"/>
        <w:rPr>
          <w:rFonts w:ascii="Verdana" w:hAnsi="Verdana" w:cs="Arial"/>
          <w:sz w:val="18"/>
          <w:szCs w:val="18"/>
          <w:lang w:val="el-GR"/>
        </w:rPr>
      </w:pPr>
      <w:r w:rsidRPr="00D750CA">
        <w:rPr>
          <w:rFonts w:ascii="Verdana" w:hAnsi="Verdana" w:cs="Arial"/>
          <w:sz w:val="18"/>
          <w:szCs w:val="18"/>
          <w:lang w:val="el-GR"/>
        </w:rPr>
        <w:t>Με βάση τα αποτελέσματα της Έρευνας Εισοδήματος και Συνθηκών Διαβίωσης των Νοικοκυριών 202</w:t>
      </w:r>
      <w:r w:rsidR="00391A60" w:rsidRPr="00391A60">
        <w:rPr>
          <w:rFonts w:ascii="Verdana" w:hAnsi="Verdana" w:cs="Arial"/>
          <w:sz w:val="18"/>
          <w:szCs w:val="18"/>
          <w:lang w:val="el-GR"/>
        </w:rPr>
        <w:t>3</w:t>
      </w:r>
      <w:r w:rsidRPr="00D750CA">
        <w:rPr>
          <w:rFonts w:ascii="Verdana" w:hAnsi="Verdana" w:cs="Arial"/>
          <w:sz w:val="18"/>
          <w:szCs w:val="18"/>
          <w:lang w:val="el-GR"/>
        </w:rPr>
        <w:t>,</w:t>
      </w:r>
      <w:r w:rsidR="00847733" w:rsidRPr="00847733">
        <w:rPr>
          <w:rFonts w:ascii="Verdana" w:hAnsi="Verdana" w:cs="Arial"/>
          <w:sz w:val="18"/>
          <w:szCs w:val="18"/>
          <w:lang w:val="el-GR"/>
        </w:rPr>
        <w:t xml:space="preserve"> </w:t>
      </w:r>
      <w:r w:rsidR="003E0519" w:rsidRPr="003E0519">
        <w:rPr>
          <w:rFonts w:ascii="Verdana" w:hAnsi="Verdana" w:cs="Arial"/>
          <w:sz w:val="18"/>
          <w:szCs w:val="18"/>
          <w:lang w:val="el-GR"/>
        </w:rPr>
        <w:t xml:space="preserve">  </w:t>
      </w:r>
      <w:r w:rsidRPr="00D750CA">
        <w:rPr>
          <w:rFonts w:ascii="Verdana" w:hAnsi="Verdana" w:cs="Arial"/>
          <w:sz w:val="18"/>
          <w:szCs w:val="18"/>
          <w:lang w:val="el-GR"/>
        </w:rPr>
        <w:t>2,</w:t>
      </w:r>
      <w:r w:rsidR="00391A60" w:rsidRPr="00391A60">
        <w:rPr>
          <w:rFonts w:ascii="Verdana" w:hAnsi="Verdana" w:cs="Arial"/>
          <w:sz w:val="18"/>
          <w:szCs w:val="18"/>
          <w:lang w:val="el-GR"/>
        </w:rPr>
        <w:t>4</w:t>
      </w:r>
      <w:r w:rsidRPr="00D750CA">
        <w:rPr>
          <w:rFonts w:ascii="Verdana" w:hAnsi="Verdana" w:cs="Arial"/>
          <w:sz w:val="18"/>
          <w:szCs w:val="18"/>
          <w:lang w:val="el-GR"/>
        </w:rPr>
        <w:t>% του πληθυσμού (2</w:t>
      </w:r>
      <w:r w:rsidR="00391A60" w:rsidRPr="00391A60">
        <w:rPr>
          <w:rFonts w:ascii="Verdana" w:hAnsi="Verdana" w:cs="Arial"/>
          <w:sz w:val="18"/>
          <w:szCs w:val="18"/>
          <w:lang w:val="el-GR"/>
        </w:rPr>
        <w:t>2</w:t>
      </w:r>
      <w:r w:rsidRPr="00D750CA">
        <w:rPr>
          <w:rFonts w:ascii="Verdana" w:hAnsi="Verdana" w:cs="Arial"/>
          <w:sz w:val="18"/>
          <w:szCs w:val="18"/>
          <w:lang w:val="el-GR"/>
        </w:rPr>
        <w:t>.000 άτομα) διαβιούσαν σε συνθήκες σοβαρής υλικής και κοινωνικής στέρησης σε σχέση με 2,</w:t>
      </w:r>
      <w:r w:rsidR="00391A60" w:rsidRPr="00391A60">
        <w:rPr>
          <w:rFonts w:ascii="Verdana" w:hAnsi="Verdana" w:cs="Arial"/>
          <w:sz w:val="18"/>
          <w:szCs w:val="18"/>
          <w:lang w:val="el-GR"/>
        </w:rPr>
        <w:t>7</w:t>
      </w:r>
      <w:r w:rsidRPr="00D750CA">
        <w:rPr>
          <w:rFonts w:ascii="Verdana" w:hAnsi="Verdana" w:cs="Arial"/>
          <w:sz w:val="18"/>
          <w:szCs w:val="18"/>
          <w:lang w:val="el-GR"/>
        </w:rPr>
        <w:t>% το 202</w:t>
      </w:r>
      <w:r w:rsidR="00391A60" w:rsidRPr="00391A60">
        <w:rPr>
          <w:rFonts w:ascii="Verdana" w:hAnsi="Verdana" w:cs="Arial"/>
          <w:sz w:val="18"/>
          <w:szCs w:val="18"/>
          <w:lang w:val="el-GR"/>
        </w:rPr>
        <w:t>2</w:t>
      </w:r>
      <w:r w:rsidRPr="00D750CA">
        <w:rPr>
          <w:rFonts w:ascii="Verdana" w:hAnsi="Verdana" w:cs="Arial"/>
          <w:sz w:val="18"/>
          <w:szCs w:val="18"/>
          <w:lang w:val="el-GR"/>
        </w:rPr>
        <w:t xml:space="preserve">. </w:t>
      </w:r>
      <w:r w:rsidRPr="00D750CA">
        <w:rPr>
          <w:rFonts w:ascii="Verdana" w:eastAsia="Malgun Gothic" w:hAnsi="Verdana" w:cs="Arial"/>
          <w:sz w:val="18"/>
          <w:szCs w:val="18"/>
          <w:lang w:val="el-GR"/>
        </w:rPr>
        <w:t xml:space="preserve">Ο δείκτης αυτός παρουσιάζει το ποσοστό του πληθυσμού που στερείται, λόγω οικονομικών δυσκολιών, τουλάχιστον 7 είδη από έναν κατάλογο </w:t>
      </w:r>
      <w:r w:rsidRPr="003E0519">
        <w:rPr>
          <w:rFonts w:ascii="Verdana" w:eastAsia="Malgun Gothic" w:hAnsi="Verdana" w:cs="Arial"/>
          <w:sz w:val="18"/>
          <w:szCs w:val="18"/>
          <w:lang w:val="el-GR"/>
        </w:rPr>
        <w:t>13</w:t>
      </w:r>
      <w:r w:rsidRPr="00D750CA">
        <w:rPr>
          <w:rFonts w:ascii="Verdana" w:eastAsia="Malgun Gothic" w:hAnsi="Verdana" w:cs="Arial"/>
          <w:sz w:val="18"/>
          <w:szCs w:val="18"/>
          <w:lang w:val="el-GR"/>
        </w:rPr>
        <w:t xml:space="preserve"> αγαθών, υπηρεσιών και κοινωνικών δραστηριοτήτων που εξετάζονται στην εν λόγω έρευνα</w:t>
      </w:r>
      <w:bookmarkStart w:id="0" w:name="_Hlk140045689"/>
      <w:r w:rsidRPr="00D750CA">
        <w:rPr>
          <w:rFonts w:ascii="Verdana" w:eastAsia="Malgun Gothic" w:hAnsi="Verdana" w:cs="Arial"/>
          <w:sz w:val="18"/>
          <w:szCs w:val="18"/>
          <w:lang w:val="el-GR"/>
        </w:rPr>
        <w:t xml:space="preserve"> (περισσότερες πληροφορίες για τη μέθοδο υπολογισμού του δείκτη παρατίθενται στις μεθοδολογικές πληροφορίες). </w:t>
      </w:r>
    </w:p>
    <w:p w14:paraId="43A9243D" w14:textId="77777777" w:rsidR="00113CE5" w:rsidRPr="00D750CA" w:rsidRDefault="00113CE5" w:rsidP="00113CE5">
      <w:pPr>
        <w:jc w:val="both"/>
        <w:rPr>
          <w:rFonts w:ascii="Verdana" w:eastAsia="Malgun Gothic" w:hAnsi="Verdana" w:cs="Arial"/>
          <w:sz w:val="18"/>
          <w:szCs w:val="18"/>
          <w:lang w:val="el-GR"/>
        </w:rPr>
      </w:pPr>
    </w:p>
    <w:bookmarkEnd w:id="0"/>
    <w:p w14:paraId="4AE01F90" w14:textId="3F299219" w:rsidR="00113CE5" w:rsidRPr="00D750CA" w:rsidRDefault="00113CE5" w:rsidP="00113CE5">
      <w:pPr>
        <w:jc w:val="both"/>
        <w:rPr>
          <w:rFonts w:ascii="Verdana" w:hAnsi="Verdana" w:cs="Arial"/>
          <w:sz w:val="18"/>
          <w:szCs w:val="18"/>
          <w:lang w:val="el-GR"/>
        </w:rPr>
      </w:pPr>
      <w:r w:rsidRPr="00D750CA">
        <w:rPr>
          <w:rFonts w:ascii="Verdana" w:hAnsi="Verdana" w:cs="Arial"/>
          <w:sz w:val="18"/>
          <w:szCs w:val="18"/>
          <w:lang w:val="el-GR"/>
        </w:rPr>
        <w:t>Το Διάγραμμα 1, παρουσιάζει την εξέλιξη του δείκτη από το 2015 μέχρι και το 202</w:t>
      </w:r>
      <w:r w:rsidR="00391A60" w:rsidRPr="00391A60">
        <w:rPr>
          <w:rFonts w:ascii="Verdana" w:hAnsi="Verdana" w:cs="Arial"/>
          <w:sz w:val="18"/>
          <w:szCs w:val="18"/>
          <w:lang w:val="el-GR"/>
        </w:rPr>
        <w:t>3</w:t>
      </w:r>
      <w:r w:rsidRPr="00D750CA">
        <w:rPr>
          <w:rFonts w:ascii="Verdana" w:hAnsi="Verdana" w:cs="Arial"/>
          <w:sz w:val="18"/>
          <w:szCs w:val="18"/>
          <w:lang w:val="el-GR"/>
        </w:rPr>
        <w:t xml:space="preserve">, στην Κύπρο και στην ΕΕ27. Από το 2015, ο εν λόγω δείκτης στην Κύπρο παραμένει σταθερά κάτω από τον μέσο όρο της ΕΕ27 και διαγράφει καθοδική πορεία. </w:t>
      </w:r>
    </w:p>
    <w:p w14:paraId="1327A444" w14:textId="77777777" w:rsidR="00113CE5" w:rsidRDefault="00113CE5" w:rsidP="00113CE5">
      <w:pPr>
        <w:jc w:val="both"/>
        <w:rPr>
          <w:rFonts w:ascii="Verdana" w:eastAsia="Malgun Gothic" w:hAnsi="Verdana" w:cs="Arial"/>
          <w:sz w:val="18"/>
          <w:szCs w:val="18"/>
          <w:lang w:val="el-GR"/>
        </w:rPr>
      </w:pPr>
    </w:p>
    <w:p w14:paraId="72D58D15" w14:textId="77777777" w:rsidR="00113CE5" w:rsidRPr="00D750CA" w:rsidRDefault="00113CE5" w:rsidP="00113CE5">
      <w:pPr>
        <w:jc w:val="both"/>
        <w:rPr>
          <w:rFonts w:ascii="Verdana" w:eastAsia="Malgun Gothic" w:hAnsi="Verdana" w:cs="Arial"/>
          <w:sz w:val="18"/>
          <w:szCs w:val="18"/>
          <w:lang w:val="el-GR"/>
        </w:rPr>
      </w:pPr>
    </w:p>
    <w:p w14:paraId="05924A4E" w14:textId="6598938E" w:rsidR="00113CE5" w:rsidRPr="00D750CA" w:rsidRDefault="003456A2" w:rsidP="00113CE5">
      <w:pPr>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1C69CAE5" wp14:editId="40750DA0">
            <wp:extent cx="6078220" cy="4572635"/>
            <wp:effectExtent l="0" t="0" r="0" b="0"/>
            <wp:docPr id="18113505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572635"/>
                    </a:xfrm>
                    <a:prstGeom prst="rect">
                      <a:avLst/>
                    </a:prstGeom>
                    <a:noFill/>
                  </pic:spPr>
                </pic:pic>
              </a:graphicData>
            </a:graphic>
          </wp:inline>
        </w:drawing>
      </w:r>
    </w:p>
    <w:p w14:paraId="5839468F" w14:textId="77777777" w:rsidR="00113CE5" w:rsidRPr="00D750CA" w:rsidRDefault="00113CE5" w:rsidP="00113CE5">
      <w:pPr>
        <w:jc w:val="both"/>
        <w:rPr>
          <w:rFonts w:ascii="Verdana" w:eastAsia="Malgun Gothic" w:hAnsi="Verdana" w:cs="Arial"/>
          <w:sz w:val="18"/>
          <w:szCs w:val="18"/>
          <w:lang w:val="el-GR"/>
        </w:rPr>
      </w:pPr>
    </w:p>
    <w:p w14:paraId="58471018" w14:textId="64E781DD" w:rsidR="00113CE5" w:rsidRPr="00D750CA" w:rsidRDefault="00113CE5" w:rsidP="00113CE5">
      <w:pPr>
        <w:jc w:val="both"/>
        <w:rPr>
          <w:rFonts w:ascii="Verdana" w:hAnsi="Verdana" w:cs="Arial"/>
          <w:sz w:val="18"/>
          <w:szCs w:val="18"/>
          <w:lang w:val="el-GR"/>
        </w:rPr>
      </w:pPr>
      <w:r w:rsidRPr="0001127E">
        <w:rPr>
          <w:rFonts w:ascii="Verdana" w:hAnsi="Verdana" w:cs="Arial"/>
          <w:sz w:val="18"/>
          <w:szCs w:val="18"/>
          <w:lang w:val="el-GR"/>
        </w:rPr>
        <w:lastRenderedPageBreak/>
        <w:t>Στο Διάγραμμα 2 παρουσιάζεται ο δείκτης της σοβαρής υλικής και κοινωνικής στέρησης κατά ομάδα ηλικίας για τα έτη 2015-202</w:t>
      </w:r>
      <w:r w:rsidR="00391A60" w:rsidRPr="0001127E">
        <w:rPr>
          <w:rFonts w:ascii="Verdana" w:hAnsi="Verdana" w:cs="Arial"/>
          <w:sz w:val="18"/>
          <w:szCs w:val="18"/>
          <w:lang w:val="el-GR"/>
        </w:rPr>
        <w:t>3</w:t>
      </w:r>
      <w:r w:rsidRPr="0001127E">
        <w:rPr>
          <w:rFonts w:ascii="Verdana" w:hAnsi="Verdana" w:cs="Arial"/>
          <w:sz w:val="18"/>
          <w:szCs w:val="18"/>
          <w:lang w:val="el-GR"/>
        </w:rPr>
        <w:t>. Από τα στοιχεία της έρευνας προκύπτει ότι τα παιδιά ηλικίας κάτω των 18 ετών</w:t>
      </w:r>
      <w:r w:rsidR="006861EE" w:rsidRPr="0001127E">
        <w:rPr>
          <w:rFonts w:ascii="Verdana" w:hAnsi="Verdana" w:cs="Arial"/>
          <w:sz w:val="18"/>
          <w:szCs w:val="18"/>
          <w:lang w:val="el-GR"/>
        </w:rPr>
        <w:t>,</w:t>
      </w:r>
      <w:r w:rsidRPr="0001127E">
        <w:rPr>
          <w:rFonts w:ascii="Verdana" w:hAnsi="Verdana" w:cs="Arial"/>
          <w:sz w:val="18"/>
          <w:szCs w:val="18"/>
          <w:lang w:val="el-GR"/>
        </w:rPr>
        <w:t xml:space="preserve"> </w:t>
      </w:r>
      <w:r w:rsidR="00C34BC8" w:rsidRPr="0001127E">
        <w:rPr>
          <w:rFonts w:ascii="Verdana" w:hAnsi="Verdana" w:cs="Arial"/>
          <w:sz w:val="18"/>
          <w:szCs w:val="18"/>
          <w:lang w:val="el-GR"/>
        </w:rPr>
        <w:t xml:space="preserve">αν και </w:t>
      </w:r>
      <w:r w:rsidRPr="0001127E">
        <w:rPr>
          <w:rFonts w:ascii="Verdana" w:hAnsi="Verdana" w:cs="Arial"/>
          <w:sz w:val="18"/>
          <w:szCs w:val="18"/>
          <w:lang w:val="el-GR"/>
        </w:rPr>
        <w:t xml:space="preserve">διαχρονικά </w:t>
      </w:r>
      <w:r w:rsidR="00B819AE" w:rsidRPr="0001127E">
        <w:rPr>
          <w:rFonts w:ascii="Verdana" w:hAnsi="Verdana" w:cs="Arial"/>
          <w:sz w:val="18"/>
          <w:szCs w:val="18"/>
          <w:lang w:val="el-GR"/>
        </w:rPr>
        <w:t xml:space="preserve">καταγράφουν </w:t>
      </w:r>
      <w:r w:rsidRPr="0001127E">
        <w:rPr>
          <w:rFonts w:ascii="Verdana" w:hAnsi="Verdana" w:cs="Arial"/>
          <w:sz w:val="18"/>
          <w:szCs w:val="18"/>
          <w:lang w:val="el-GR"/>
        </w:rPr>
        <w:t xml:space="preserve">τα ψηλότερα ποσοστά, </w:t>
      </w:r>
      <w:r w:rsidR="00C34BC8" w:rsidRPr="0001127E">
        <w:rPr>
          <w:rFonts w:ascii="Verdana" w:hAnsi="Verdana" w:cs="Arial"/>
          <w:sz w:val="18"/>
          <w:szCs w:val="18"/>
          <w:lang w:val="el-GR"/>
        </w:rPr>
        <w:t xml:space="preserve">το 2023 το ποσοστό τους </w:t>
      </w:r>
      <w:r w:rsidR="00F51354" w:rsidRPr="0001127E">
        <w:rPr>
          <w:rFonts w:ascii="Verdana" w:hAnsi="Verdana" w:cs="Arial"/>
          <w:sz w:val="18"/>
          <w:szCs w:val="18"/>
          <w:lang w:val="el-GR"/>
        </w:rPr>
        <w:t>μειώθηκε κατά 1,6 ποσοστιαίες μονάδες (</w:t>
      </w:r>
      <w:r w:rsidR="00C34BC8" w:rsidRPr="0001127E">
        <w:rPr>
          <w:rFonts w:ascii="Verdana" w:hAnsi="Verdana" w:cs="Arial"/>
          <w:sz w:val="18"/>
          <w:szCs w:val="18"/>
          <w:lang w:val="el-GR"/>
        </w:rPr>
        <w:t>από 4,4% το 2022</w:t>
      </w:r>
      <w:r w:rsidR="00F51354" w:rsidRPr="0001127E">
        <w:rPr>
          <w:rFonts w:ascii="Verdana" w:hAnsi="Verdana" w:cs="Arial"/>
          <w:sz w:val="18"/>
          <w:szCs w:val="18"/>
          <w:lang w:val="el-GR"/>
        </w:rPr>
        <w:t xml:space="preserve"> σε 2,8% το 2023),</w:t>
      </w:r>
      <w:r w:rsidR="00B819AE" w:rsidRPr="0001127E">
        <w:rPr>
          <w:rFonts w:ascii="Verdana" w:hAnsi="Verdana" w:cs="Arial"/>
          <w:sz w:val="18"/>
          <w:szCs w:val="18"/>
          <w:lang w:val="el-GR"/>
        </w:rPr>
        <w:t xml:space="preserve"> πλησιάζοντας έτσι </w:t>
      </w:r>
      <w:r w:rsidR="00F51354" w:rsidRPr="0001127E">
        <w:rPr>
          <w:rFonts w:ascii="Verdana" w:hAnsi="Verdana" w:cs="Arial"/>
          <w:sz w:val="18"/>
          <w:szCs w:val="18"/>
          <w:lang w:val="el-GR"/>
        </w:rPr>
        <w:t>τα ποσοστά των</w:t>
      </w:r>
      <w:r w:rsidR="00B819AE" w:rsidRPr="0001127E">
        <w:rPr>
          <w:rFonts w:ascii="Verdana" w:hAnsi="Verdana" w:cs="Arial"/>
          <w:sz w:val="18"/>
          <w:szCs w:val="18"/>
          <w:lang w:val="el-GR"/>
        </w:rPr>
        <w:t xml:space="preserve"> άλλ</w:t>
      </w:r>
      <w:r w:rsidR="00F51354" w:rsidRPr="0001127E">
        <w:rPr>
          <w:rFonts w:ascii="Verdana" w:hAnsi="Verdana" w:cs="Arial"/>
          <w:sz w:val="18"/>
          <w:szCs w:val="18"/>
          <w:lang w:val="el-GR"/>
        </w:rPr>
        <w:t>ων</w:t>
      </w:r>
      <w:r w:rsidR="00B819AE" w:rsidRPr="0001127E">
        <w:rPr>
          <w:rFonts w:ascii="Verdana" w:hAnsi="Verdana" w:cs="Arial"/>
          <w:sz w:val="18"/>
          <w:szCs w:val="18"/>
          <w:lang w:val="el-GR"/>
        </w:rPr>
        <w:t xml:space="preserve"> ηλικιακ</w:t>
      </w:r>
      <w:r w:rsidR="00F51354" w:rsidRPr="0001127E">
        <w:rPr>
          <w:rFonts w:ascii="Verdana" w:hAnsi="Verdana" w:cs="Arial"/>
          <w:sz w:val="18"/>
          <w:szCs w:val="18"/>
          <w:lang w:val="el-GR"/>
        </w:rPr>
        <w:t>ών</w:t>
      </w:r>
      <w:r w:rsidR="00B819AE" w:rsidRPr="0001127E">
        <w:rPr>
          <w:rFonts w:ascii="Verdana" w:hAnsi="Verdana" w:cs="Arial"/>
          <w:sz w:val="18"/>
          <w:szCs w:val="18"/>
          <w:lang w:val="el-GR"/>
        </w:rPr>
        <w:t xml:space="preserve"> ομάδ</w:t>
      </w:r>
      <w:r w:rsidR="00F51354" w:rsidRPr="0001127E">
        <w:rPr>
          <w:rFonts w:ascii="Verdana" w:hAnsi="Verdana" w:cs="Arial"/>
          <w:sz w:val="18"/>
          <w:szCs w:val="18"/>
          <w:lang w:val="el-GR"/>
        </w:rPr>
        <w:t>ων</w:t>
      </w:r>
      <w:r w:rsidR="00C34BC8" w:rsidRPr="0001127E">
        <w:rPr>
          <w:rFonts w:ascii="Verdana" w:hAnsi="Verdana" w:cs="Arial"/>
          <w:sz w:val="18"/>
          <w:szCs w:val="18"/>
          <w:lang w:val="el-GR"/>
        </w:rPr>
        <w:t>.</w:t>
      </w:r>
      <w:r w:rsidRPr="0001127E">
        <w:rPr>
          <w:rFonts w:ascii="Verdana" w:hAnsi="Verdana" w:cs="Arial"/>
          <w:sz w:val="18"/>
          <w:szCs w:val="18"/>
          <w:lang w:val="el-GR"/>
        </w:rPr>
        <w:t xml:space="preserve"> Ακολουθούν τα άτομα στις ηλικίες 18-64 ετών με ποσοστό 2,</w:t>
      </w:r>
      <w:r w:rsidR="00391A60" w:rsidRPr="0001127E">
        <w:rPr>
          <w:rFonts w:ascii="Verdana" w:hAnsi="Verdana" w:cs="Arial"/>
          <w:sz w:val="18"/>
          <w:szCs w:val="18"/>
          <w:lang w:val="el-GR"/>
        </w:rPr>
        <w:t>4</w:t>
      </w:r>
      <w:r w:rsidRPr="0001127E">
        <w:rPr>
          <w:rFonts w:ascii="Verdana" w:hAnsi="Verdana" w:cs="Arial"/>
          <w:sz w:val="18"/>
          <w:szCs w:val="18"/>
          <w:lang w:val="el-GR"/>
        </w:rPr>
        <w:t xml:space="preserve">% και τα άτομα 65 ετών και άνω με ποσοστό </w:t>
      </w:r>
      <w:r w:rsidR="00391A60" w:rsidRPr="0001127E">
        <w:rPr>
          <w:rFonts w:ascii="Verdana" w:hAnsi="Verdana" w:cs="Arial"/>
          <w:sz w:val="18"/>
          <w:szCs w:val="18"/>
          <w:lang w:val="el-GR"/>
        </w:rPr>
        <w:t>1</w:t>
      </w:r>
      <w:r w:rsidRPr="0001127E">
        <w:rPr>
          <w:rFonts w:ascii="Verdana" w:hAnsi="Verdana" w:cs="Arial"/>
          <w:sz w:val="18"/>
          <w:szCs w:val="18"/>
          <w:lang w:val="el-GR"/>
        </w:rPr>
        <w:t>,9%.  Από το 2015, η μεγαλύτερη βελτίωση παρατηρείται στα παιδιά</w:t>
      </w:r>
      <w:r w:rsidR="003E0519" w:rsidRPr="0001127E">
        <w:rPr>
          <w:rFonts w:ascii="Verdana" w:hAnsi="Verdana" w:cs="Arial"/>
          <w:sz w:val="18"/>
          <w:szCs w:val="18"/>
          <w:lang w:val="el-GR"/>
        </w:rPr>
        <w:t>,</w:t>
      </w:r>
      <w:r w:rsidRPr="0001127E">
        <w:rPr>
          <w:rFonts w:ascii="Verdana" w:hAnsi="Verdana" w:cs="Arial"/>
          <w:sz w:val="18"/>
          <w:szCs w:val="18"/>
          <w:lang w:val="el-GR"/>
        </w:rPr>
        <w:t xml:space="preserve"> με σταδιακή μείωση του ποσοστού τους κατά </w:t>
      </w:r>
      <w:r w:rsidR="00391A60" w:rsidRPr="0001127E">
        <w:rPr>
          <w:rFonts w:ascii="Verdana" w:hAnsi="Verdana" w:cs="Arial"/>
          <w:sz w:val="18"/>
          <w:szCs w:val="18"/>
          <w:lang w:val="el-GR"/>
        </w:rPr>
        <w:t>7,6</w:t>
      </w:r>
      <w:r w:rsidRPr="0001127E">
        <w:rPr>
          <w:rFonts w:ascii="Verdana" w:hAnsi="Verdana" w:cs="Arial"/>
          <w:sz w:val="18"/>
          <w:szCs w:val="18"/>
          <w:lang w:val="el-GR"/>
        </w:rPr>
        <w:t xml:space="preserve"> ποσοστιαίες μονάδες (από 10,4% το 2015 σε </w:t>
      </w:r>
      <w:r w:rsidR="00391A60" w:rsidRPr="0001127E">
        <w:rPr>
          <w:rFonts w:ascii="Verdana" w:hAnsi="Verdana" w:cs="Arial"/>
          <w:sz w:val="18"/>
          <w:szCs w:val="18"/>
          <w:lang w:val="el-GR"/>
        </w:rPr>
        <w:t>2,8</w:t>
      </w:r>
      <w:r w:rsidRPr="0001127E">
        <w:rPr>
          <w:rFonts w:ascii="Verdana" w:hAnsi="Verdana" w:cs="Arial"/>
          <w:sz w:val="18"/>
          <w:szCs w:val="18"/>
          <w:lang w:val="el-GR"/>
        </w:rPr>
        <w:t>% το 202</w:t>
      </w:r>
      <w:r w:rsidR="006861EE" w:rsidRPr="0001127E">
        <w:rPr>
          <w:rFonts w:ascii="Verdana" w:hAnsi="Verdana" w:cs="Arial"/>
          <w:sz w:val="18"/>
          <w:szCs w:val="18"/>
          <w:lang w:val="el-GR"/>
        </w:rPr>
        <w:t>3</w:t>
      </w:r>
      <w:r w:rsidRPr="0001127E">
        <w:rPr>
          <w:rFonts w:ascii="Verdana" w:hAnsi="Verdana" w:cs="Arial"/>
          <w:sz w:val="18"/>
          <w:szCs w:val="18"/>
          <w:lang w:val="el-GR"/>
        </w:rPr>
        <w:t>) και στα άτομα ηλικίας 18-64 ετών, με μείωση κατά 5,</w:t>
      </w:r>
      <w:r w:rsidR="00391A60" w:rsidRPr="0001127E">
        <w:rPr>
          <w:rFonts w:ascii="Verdana" w:hAnsi="Verdana" w:cs="Arial"/>
          <w:sz w:val="18"/>
          <w:szCs w:val="18"/>
          <w:lang w:val="el-GR"/>
        </w:rPr>
        <w:t>8</w:t>
      </w:r>
      <w:r w:rsidRPr="0001127E">
        <w:rPr>
          <w:rFonts w:ascii="Verdana" w:hAnsi="Verdana" w:cs="Arial"/>
          <w:sz w:val="18"/>
          <w:szCs w:val="18"/>
          <w:lang w:val="el-GR"/>
        </w:rPr>
        <w:t xml:space="preserve"> ποσοστιαίες μονάδες (από 8,2% σε 2,</w:t>
      </w:r>
      <w:r w:rsidR="00391A60" w:rsidRPr="0001127E">
        <w:rPr>
          <w:rFonts w:ascii="Verdana" w:hAnsi="Verdana" w:cs="Arial"/>
          <w:sz w:val="18"/>
          <w:szCs w:val="18"/>
          <w:lang w:val="el-GR"/>
        </w:rPr>
        <w:t>4</w:t>
      </w:r>
      <w:r w:rsidRPr="0001127E">
        <w:rPr>
          <w:rFonts w:ascii="Verdana" w:hAnsi="Verdana" w:cs="Arial"/>
          <w:sz w:val="18"/>
          <w:szCs w:val="18"/>
          <w:lang w:val="el-GR"/>
        </w:rPr>
        <w:t xml:space="preserve">%). </w:t>
      </w:r>
      <w:r w:rsidR="003D5FFB" w:rsidRPr="0001127E">
        <w:rPr>
          <w:rFonts w:ascii="Verdana" w:hAnsi="Verdana" w:cs="Arial"/>
          <w:sz w:val="18"/>
          <w:szCs w:val="18"/>
          <w:lang w:val="el-GR"/>
        </w:rPr>
        <w:t>Παρόλο που τ</w:t>
      </w:r>
      <w:r w:rsidR="00B819AE" w:rsidRPr="0001127E">
        <w:rPr>
          <w:rFonts w:ascii="Verdana" w:hAnsi="Verdana" w:cs="Arial"/>
          <w:sz w:val="18"/>
          <w:szCs w:val="18"/>
          <w:lang w:val="el-GR"/>
        </w:rPr>
        <w:t>α άτομα 65 ετών και άνω, παρουσιάζο</w:t>
      </w:r>
      <w:r w:rsidR="003D5FFB" w:rsidRPr="0001127E">
        <w:rPr>
          <w:rFonts w:ascii="Verdana" w:hAnsi="Verdana" w:cs="Arial"/>
          <w:sz w:val="18"/>
          <w:szCs w:val="18"/>
          <w:lang w:val="el-GR"/>
        </w:rPr>
        <w:t>υν</w:t>
      </w:r>
      <w:r w:rsidR="00B819AE" w:rsidRPr="0001127E">
        <w:rPr>
          <w:rFonts w:ascii="Verdana" w:hAnsi="Verdana" w:cs="Arial"/>
          <w:sz w:val="18"/>
          <w:szCs w:val="18"/>
          <w:lang w:val="el-GR"/>
        </w:rPr>
        <w:t xml:space="preserve"> διαχρονικά τα χαμηλότερα ποσοστά σοβαρής υλικής και κοινωνικής στέρησης</w:t>
      </w:r>
      <w:r w:rsidR="00A94AFC" w:rsidRPr="0001127E">
        <w:rPr>
          <w:rFonts w:ascii="Verdana" w:hAnsi="Verdana" w:cs="Arial"/>
          <w:sz w:val="18"/>
          <w:szCs w:val="18"/>
          <w:lang w:val="el-GR"/>
        </w:rPr>
        <w:t>, το 2023 παρατηρείται μια αύξηση του ποσοστού</w:t>
      </w:r>
      <w:r w:rsidR="003D5FFB" w:rsidRPr="0001127E">
        <w:rPr>
          <w:rFonts w:ascii="Verdana" w:hAnsi="Verdana" w:cs="Arial"/>
          <w:sz w:val="18"/>
          <w:szCs w:val="18"/>
          <w:lang w:val="el-GR"/>
        </w:rPr>
        <w:t xml:space="preserve"> τους</w:t>
      </w:r>
      <w:r w:rsidR="00A94AFC" w:rsidRPr="0001127E">
        <w:rPr>
          <w:rFonts w:ascii="Verdana" w:hAnsi="Verdana" w:cs="Arial"/>
          <w:sz w:val="18"/>
          <w:szCs w:val="18"/>
          <w:lang w:val="el-GR"/>
        </w:rPr>
        <w:t xml:space="preserve">, κατά 1,0 ποσοστιαία μονάδα </w:t>
      </w:r>
      <w:r w:rsidR="000F1B6C" w:rsidRPr="0001127E">
        <w:rPr>
          <w:rFonts w:ascii="Verdana" w:hAnsi="Verdana" w:cs="Arial"/>
          <w:sz w:val="18"/>
          <w:szCs w:val="18"/>
          <w:lang w:val="el-GR"/>
        </w:rPr>
        <w:t>(</w:t>
      </w:r>
      <w:r w:rsidR="00A94AFC" w:rsidRPr="0001127E">
        <w:rPr>
          <w:rFonts w:ascii="Verdana" w:hAnsi="Verdana" w:cs="Arial"/>
          <w:sz w:val="18"/>
          <w:szCs w:val="18"/>
          <w:lang w:val="el-GR"/>
        </w:rPr>
        <w:t>από 0,9% σε 1,9%)</w:t>
      </w:r>
      <w:r w:rsidR="00B819AE" w:rsidRPr="0001127E">
        <w:rPr>
          <w:rFonts w:ascii="Verdana" w:hAnsi="Verdana" w:cs="Arial"/>
          <w:sz w:val="18"/>
          <w:szCs w:val="18"/>
          <w:lang w:val="el-GR"/>
        </w:rPr>
        <w:t>.</w:t>
      </w:r>
    </w:p>
    <w:p w14:paraId="39413AB1" w14:textId="77777777" w:rsidR="00113CE5" w:rsidRDefault="00113CE5" w:rsidP="00113CE5">
      <w:pPr>
        <w:jc w:val="both"/>
        <w:rPr>
          <w:rFonts w:ascii="Verdana" w:hAnsi="Verdana" w:cs="Arial"/>
          <w:sz w:val="18"/>
          <w:szCs w:val="18"/>
          <w:lang w:val="el-GR"/>
        </w:rPr>
      </w:pPr>
    </w:p>
    <w:p w14:paraId="16756734" w14:textId="77777777" w:rsidR="00113CE5" w:rsidRPr="007A3DCE" w:rsidRDefault="00113CE5" w:rsidP="00113CE5">
      <w:pPr>
        <w:jc w:val="both"/>
        <w:rPr>
          <w:rFonts w:ascii="Verdana" w:hAnsi="Verdana" w:cs="Arial"/>
          <w:sz w:val="18"/>
          <w:szCs w:val="18"/>
          <w:lang w:val="el-GR"/>
        </w:rPr>
      </w:pPr>
    </w:p>
    <w:p w14:paraId="3104F3A2" w14:textId="6230518B" w:rsidR="00113CE5" w:rsidRPr="007A3DCE" w:rsidRDefault="00391A60" w:rsidP="00113CE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149277DB" wp14:editId="0221B52E">
            <wp:extent cx="6078220" cy="4846955"/>
            <wp:effectExtent l="0" t="0" r="0" b="0"/>
            <wp:docPr id="589073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4846955"/>
                    </a:xfrm>
                    <a:prstGeom prst="rect">
                      <a:avLst/>
                    </a:prstGeom>
                    <a:noFill/>
                  </pic:spPr>
                </pic:pic>
              </a:graphicData>
            </a:graphic>
          </wp:inline>
        </w:drawing>
      </w:r>
    </w:p>
    <w:p w14:paraId="26035B1B" w14:textId="77777777" w:rsidR="00113CE5" w:rsidRPr="007A3DCE" w:rsidRDefault="00113CE5" w:rsidP="00113CE5">
      <w:pPr>
        <w:jc w:val="both"/>
        <w:rPr>
          <w:rFonts w:ascii="Verdana" w:hAnsi="Verdana" w:cs="Arial"/>
          <w:sz w:val="18"/>
          <w:szCs w:val="18"/>
          <w:lang w:val="el-GR"/>
        </w:rPr>
      </w:pPr>
    </w:p>
    <w:p w14:paraId="69CAD8B2" w14:textId="77777777" w:rsidR="00113CE5" w:rsidRDefault="00113CE5" w:rsidP="00113CE5">
      <w:pPr>
        <w:jc w:val="both"/>
        <w:rPr>
          <w:rFonts w:ascii="Verdana" w:hAnsi="Verdana" w:cs="Arial"/>
          <w:sz w:val="18"/>
          <w:szCs w:val="18"/>
          <w:lang w:val="el-GR"/>
        </w:rPr>
      </w:pPr>
    </w:p>
    <w:p w14:paraId="25E82638" w14:textId="77777777" w:rsidR="00113CE5" w:rsidRPr="007A3DCE" w:rsidRDefault="00113CE5" w:rsidP="00113CE5">
      <w:pPr>
        <w:jc w:val="both"/>
        <w:rPr>
          <w:rFonts w:ascii="Verdana" w:hAnsi="Verdana" w:cs="Arial"/>
          <w:sz w:val="18"/>
          <w:szCs w:val="18"/>
          <w:lang w:val="el-GR"/>
        </w:rPr>
      </w:pPr>
    </w:p>
    <w:p w14:paraId="560EE7FE" w14:textId="77777777" w:rsidR="00113CE5" w:rsidRPr="00D750CA" w:rsidRDefault="00113CE5" w:rsidP="00113CE5">
      <w:pPr>
        <w:jc w:val="both"/>
        <w:rPr>
          <w:rFonts w:ascii="Verdana" w:hAnsi="Verdana" w:cs="Arial"/>
          <w:b/>
          <w:bCs/>
          <w:sz w:val="18"/>
          <w:szCs w:val="18"/>
          <w:u w:val="single"/>
          <w:lang w:val="el-GR"/>
        </w:rPr>
      </w:pPr>
    </w:p>
    <w:p w14:paraId="14E6D737" w14:textId="77777777" w:rsidR="00113CE5" w:rsidRPr="00D750CA" w:rsidRDefault="00113CE5" w:rsidP="00113CE5">
      <w:pPr>
        <w:jc w:val="both"/>
        <w:rPr>
          <w:rFonts w:ascii="Verdana" w:hAnsi="Verdana" w:cs="Arial"/>
          <w:b/>
          <w:bCs/>
          <w:sz w:val="18"/>
          <w:szCs w:val="18"/>
          <w:u w:val="single"/>
          <w:lang w:val="el-GR"/>
        </w:rPr>
      </w:pPr>
      <w:r w:rsidRPr="00D750CA">
        <w:rPr>
          <w:rFonts w:ascii="Verdana" w:hAnsi="Verdana" w:cs="Arial"/>
          <w:b/>
          <w:bCs/>
          <w:sz w:val="18"/>
          <w:szCs w:val="18"/>
          <w:u w:val="single"/>
          <w:lang w:val="el-GR"/>
        </w:rPr>
        <w:t xml:space="preserve">Στέρηση </w:t>
      </w:r>
      <w:r>
        <w:rPr>
          <w:rFonts w:ascii="Verdana" w:hAnsi="Verdana" w:cs="Arial"/>
          <w:b/>
          <w:bCs/>
          <w:sz w:val="18"/>
          <w:szCs w:val="18"/>
          <w:u w:val="single"/>
          <w:lang w:val="el-GR"/>
        </w:rPr>
        <w:t>Α</w:t>
      </w:r>
      <w:r w:rsidRPr="00D750CA">
        <w:rPr>
          <w:rFonts w:ascii="Verdana" w:hAnsi="Verdana" w:cs="Arial"/>
          <w:b/>
          <w:bCs/>
          <w:sz w:val="18"/>
          <w:szCs w:val="18"/>
          <w:u w:val="single"/>
          <w:lang w:val="el-GR"/>
        </w:rPr>
        <w:t xml:space="preserve">γαθών, </w:t>
      </w:r>
      <w:r>
        <w:rPr>
          <w:rFonts w:ascii="Verdana" w:hAnsi="Verdana" w:cs="Arial"/>
          <w:b/>
          <w:bCs/>
          <w:sz w:val="18"/>
          <w:szCs w:val="18"/>
          <w:u w:val="single"/>
          <w:lang w:val="el-GR"/>
        </w:rPr>
        <w:t>Υ</w:t>
      </w:r>
      <w:r w:rsidRPr="00D750CA">
        <w:rPr>
          <w:rFonts w:ascii="Verdana" w:hAnsi="Verdana" w:cs="Arial"/>
          <w:b/>
          <w:bCs/>
          <w:sz w:val="18"/>
          <w:szCs w:val="18"/>
          <w:u w:val="single"/>
          <w:lang w:val="el-GR"/>
        </w:rPr>
        <w:t xml:space="preserve">πηρεσιών και </w:t>
      </w:r>
      <w:r>
        <w:rPr>
          <w:rFonts w:ascii="Verdana" w:hAnsi="Verdana" w:cs="Arial"/>
          <w:b/>
          <w:bCs/>
          <w:sz w:val="18"/>
          <w:szCs w:val="18"/>
          <w:u w:val="single"/>
          <w:lang w:val="el-GR"/>
        </w:rPr>
        <w:t>Κ</w:t>
      </w:r>
      <w:r w:rsidRPr="00D750CA">
        <w:rPr>
          <w:rFonts w:ascii="Verdana" w:hAnsi="Verdana" w:cs="Arial"/>
          <w:b/>
          <w:bCs/>
          <w:sz w:val="18"/>
          <w:szCs w:val="18"/>
          <w:u w:val="single"/>
          <w:lang w:val="el-GR"/>
        </w:rPr>
        <w:t xml:space="preserve">οινωνικών </w:t>
      </w:r>
      <w:r>
        <w:rPr>
          <w:rFonts w:ascii="Verdana" w:hAnsi="Verdana" w:cs="Arial"/>
          <w:b/>
          <w:bCs/>
          <w:sz w:val="18"/>
          <w:szCs w:val="18"/>
          <w:u w:val="single"/>
          <w:lang w:val="el-GR"/>
        </w:rPr>
        <w:t>Δ</w:t>
      </w:r>
      <w:r w:rsidRPr="00D750CA">
        <w:rPr>
          <w:rFonts w:ascii="Verdana" w:hAnsi="Verdana" w:cs="Arial"/>
          <w:b/>
          <w:bCs/>
          <w:sz w:val="18"/>
          <w:szCs w:val="18"/>
          <w:u w:val="single"/>
          <w:lang w:val="el-GR"/>
        </w:rPr>
        <w:t xml:space="preserve">ραστηριοτήτων κατά </w:t>
      </w:r>
      <w:r>
        <w:rPr>
          <w:rFonts w:ascii="Verdana" w:hAnsi="Verdana" w:cs="Arial"/>
          <w:b/>
          <w:bCs/>
          <w:sz w:val="18"/>
          <w:szCs w:val="18"/>
          <w:u w:val="single"/>
          <w:lang w:val="el-GR"/>
        </w:rPr>
        <w:t>Σ</w:t>
      </w:r>
      <w:r w:rsidRPr="00D750CA">
        <w:rPr>
          <w:rFonts w:ascii="Verdana" w:hAnsi="Verdana" w:cs="Arial"/>
          <w:b/>
          <w:bCs/>
          <w:sz w:val="18"/>
          <w:szCs w:val="18"/>
          <w:u w:val="single"/>
          <w:lang w:val="el-GR"/>
        </w:rPr>
        <w:t>υνιστώσα</w:t>
      </w:r>
    </w:p>
    <w:p w14:paraId="76DB0795" w14:textId="77777777" w:rsidR="00113CE5" w:rsidRPr="00D750CA" w:rsidRDefault="00113CE5" w:rsidP="00113CE5">
      <w:pPr>
        <w:jc w:val="both"/>
        <w:rPr>
          <w:rFonts w:ascii="Verdana" w:hAnsi="Verdana" w:cs="Arial"/>
          <w:b/>
          <w:bCs/>
          <w:sz w:val="18"/>
          <w:szCs w:val="18"/>
          <w:u w:val="single"/>
          <w:lang w:val="el-GR"/>
        </w:rPr>
      </w:pPr>
    </w:p>
    <w:p w14:paraId="4BBEDE95" w14:textId="17625816" w:rsidR="00113CE5" w:rsidRPr="00D750CA" w:rsidRDefault="00113CE5" w:rsidP="00113CE5">
      <w:pPr>
        <w:jc w:val="both"/>
        <w:rPr>
          <w:rFonts w:ascii="Verdana" w:hAnsi="Verdana" w:cs="Arial"/>
          <w:sz w:val="18"/>
          <w:szCs w:val="18"/>
          <w:lang w:val="el-GR"/>
        </w:rPr>
      </w:pPr>
      <w:r w:rsidRPr="00D750CA">
        <w:rPr>
          <w:rFonts w:ascii="Verdana" w:hAnsi="Verdana" w:cs="Arial"/>
          <w:sz w:val="18"/>
          <w:szCs w:val="18"/>
          <w:lang w:val="el-GR"/>
        </w:rPr>
        <w:t>Στο Διάγραμμα 3 παρουσιάζονται τα ποσοστά του πληθυσμού με υλικές και κοινωνικές στερήσεις κατά συνιστώσα στέρησης για τα έτη 202</w:t>
      </w:r>
      <w:r w:rsidR="001A28FA">
        <w:rPr>
          <w:rFonts w:ascii="Verdana" w:hAnsi="Verdana" w:cs="Arial"/>
          <w:sz w:val="18"/>
          <w:szCs w:val="18"/>
          <w:lang w:val="el-GR"/>
        </w:rPr>
        <w:t>2</w:t>
      </w:r>
      <w:r w:rsidRPr="00D750CA">
        <w:rPr>
          <w:rFonts w:ascii="Verdana" w:hAnsi="Verdana" w:cs="Arial"/>
          <w:sz w:val="18"/>
          <w:szCs w:val="18"/>
          <w:lang w:val="el-GR"/>
        </w:rPr>
        <w:t xml:space="preserve"> και 202</w:t>
      </w:r>
      <w:r w:rsidR="001A28FA">
        <w:rPr>
          <w:rFonts w:ascii="Verdana" w:hAnsi="Verdana" w:cs="Arial"/>
          <w:sz w:val="18"/>
          <w:szCs w:val="18"/>
          <w:lang w:val="el-GR"/>
        </w:rPr>
        <w:t>3</w:t>
      </w:r>
      <w:r w:rsidRPr="00D750CA">
        <w:rPr>
          <w:rFonts w:ascii="Verdana" w:hAnsi="Verdana" w:cs="Arial"/>
          <w:sz w:val="18"/>
          <w:szCs w:val="18"/>
          <w:lang w:val="el-GR"/>
        </w:rPr>
        <w:t xml:space="preserve"> στην Κύπρο και του μέσου όρου της ΕΕ27 για το 202</w:t>
      </w:r>
      <w:r w:rsidR="001A28FA">
        <w:rPr>
          <w:rFonts w:ascii="Verdana" w:hAnsi="Verdana" w:cs="Arial"/>
          <w:sz w:val="18"/>
          <w:szCs w:val="18"/>
          <w:lang w:val="el-GR"/>
        </w:rPr>
        <w:t>3</w:t>
      </w:r>
      <w:r w:rsidRPr="00D750CA">
        <w:rPr>
          <w:rFonts w:ascii="Verdana" w:hAnsi="Verdana" w:cs="Arial"/>
          <w:sz w:val="18"/>
          <w:szCs w:val="18"/>
          <w:lang w:val="el-GR"/>
        </w:rPr>
        <w:t>.</w:t>
      </w:r>
    </w:p>
    <w:p w14:paraId="746DD2EB" w14:textId="77777777" w:rsidR="00113CE5" w:rsidRPr="00D750CA" w:rsidRDefault="00113CE5" w:rsidP="00113CE5">
      <w:pPr>
        <w:jc w:val="both"/>
        <w:rPr>
          <w:rFonts w:ascii="Verdana" w:hAnsi="Verdana" w:cs="Arial"/>
          <w:sz w:val="18"/>
          <w:szCs w:val="18"/>
          <w:lang w:val="el-GR"/>
        </w:rPr>
      </w:pPr>
    </w:p>
    <w:p w14:paraId="34416494" w14:textId="2DA1D168" w:rsidR="00113CE5" w:rsidRDefault="00113CE5" w:rsidP="00113CE5">
      <w:pPr>
        <w:jc w:val="both"/>
        <w:rPr>
          <w:rFonts w:ascii="Verdana" w:hAnsi="Verdana" w:cs="Arial"/>
          <w:sz w:val="18"/>
          <w:szCs w:val="18"/>
          <w:lang w:val="el-GR"/>
        </w:rPr>
      </w:pPr>
      <w:r w:rsidRPr="00D750CA">
        <w:rPr>
          <w:rFonts w:ascii="Verdana" w:hAnsi="Verdana" w:cs="Arial"/>
          <w:sz w:val="18"/>
          <w:szCs w:val="18"/>
          <w:lang w:val="el-GR"/>
        </w:rPr>
        <w:t>Με βάση τα στοιχεία αυτά, διαπιστώνεται κυρίως η οικονομική αδυναμία του πληθυσμού, για αντιμετώπιση έκτακτων αλλά αναγκαίων δαπανών με 3</w:t>
      </w:r>
      <w:r w:rsidR="001A28FA">
        <w:rPr>
          <w:rFonts w:ascii="Verdana" w:hAnsi="Verdana" w:cs="Arial"/>
          <w:sz w:val="18"/>
          <w:szCs w:val="18"/>
          <w:lang w:val="el-GR"/>
        </w:rPr>
        <w:t>7,6</w:t>
      </w:r>
      <w:r w:rsidRPr="00D750CA">
        <w:rPr>
          <w:rFonts w:ascii="Verdana" w:hAnsi="Verdana" w:cs="Arial"/>
          <w:sz w:val="18"/>
          <w:szCs w:val="18"/>
          <w:lang w:val="el-GR"/>
        </w:rPr>
        <w:t>% (</w:t>
      </w:r>
      <w:r w:rsidRPr="00D750CA">
        <w:rPr>
          <w:rFonts w:ascii="Verdana" w:hAnsi="Verdana" w:cs="Arial"/>
          <w:sz w:val="18"/>
          <w:szCs w:val="18"/>
        </w:rPr>
        <w:t>EE</w:t>
      </w:r>
      <w:r w:rsidRPr="00D750CA">
        <w:rPr>
          <w:rFonts w:ascii="Verdana" w:hAnsi="Verdana" w:cs="Arial"/>
          <w:sz w:val="18"/>
          <w:szCs w:val="18"/>
          <w:lang w:val="el-GR"/>
        </w:rPr>
        <w:t>27: 31,</w:t>
      </w:r>
      <w:r w:rsidR="001A28FA">
        <w:rPr>
          <w:rFonts w:ascii="Verdana" w:hAnsi="Verdana" w:cs="Arial"/>
          <w:sz w:val="18"/>
          <w:szCs w:val="18"/>
          <w:lang w:val="el-GR"/>
        </w:rPr>
        <w:t>2</w:t>
      </w:r>
      <w:r w:rsidRPr="00D750CA">
        <w:rPr>
          <w:rFonts w:ascii="Verdana" w:hAnsi="Verdana" w:cs="Arial"/>
          <w:sz w:val="18"/>
          <w:szCs w:val="18"/>
          <w:lang w:val="el-GR"/>
        </w:rPr>
        <w:t>%), για πληρωμή μιας βδομάδας διακοπών με 3</w:t>
      </w:r>
      <w:r w:rsidR="001A28FA">
        <w:rPr>
          <w:rFonts w:ascii="Verdana" w:hAnsi="Verdana" w:cs="Arial"/>
          <w:sz w:val="18"/>
          <w:szCs w:val="18"/>
          <w:lang w:val="el-GR"/>
        </w:rPr>
        <w:t>6</w:t>
      </w:r>
      <w:r w:rsidRPr="00D750CA">
        <w:rPr>
          <w:rFonts w:ascii="Verdana" w:hAnsi="Verdana" w:cs="Arial"/>
          <w:sz w:val="18"/>
          <w:szCs w:val="18"/>
          <w:lang w:val="el-GR"/>
        </w:rPr>
        <w:t>,</w:t>
      </w:r>
      <w:r w:rsidR="001A28FA">
        <w:rPr>
          <w:rFonts w:ascii="Verdana" w:hAnsi="Verdana" w:cs="Arial"/>
          <w:sz w:val="18"/>
          <w:szCs w:val="18"/>
          <w:lang w:val="el-GR"/>
        </w:rPr>
        <w:t>0</w:t>
      </w:r>
      <w:r w:rsidRPr="00D750CA">
        <w:rPr>
          <w:rFonts w:ascii="Verdana" w:hAnsi="Verdana" w:cs="Arial"/>
          <w:sz w:val="18"/>
          <w:szCs w:val="18"/>
          <w:lang w:val="el-GR"/>
        </w:rPr>
        <w:t>% (</w:t>
      </w:r>
      <w:r w:rsidRPr="00D750CA">
        <w:rPr>
          <w:rFonts w:ascii="Verdana" w:hAnsi="Verdana" w:cs="Arial"/>
          <w:sz w:val="18"/>
          <w:szCs w:val="18"/>
        </w:rPr>
        <w:t>EE</w:t>
      </w:r>
      <w:r w:rsidRPr="00D750CA">
        <w:rPr>
          <w:rFonts w:ascii="Verdana" w:hAnsi="Verdana" w:cs="Arial"/>
          <w:sz w:val="18"/>
          <w:szCs w:val="18"/>
          <w:lang w:val="el-GR"/>
        </w:rPr>
        <w:t>27: 28,</w:t>
      </w:r>
      <w:r w:rsidR="001A28FA">
        <w:rPr>
          <w:rFonts w:ascii="Verdana" w:hAnsi="Verdana" w:cs="Arial"/>
          <w:sz w:val="18"/>
          <w:szCs w:val="18"/>
          <w:lang w:val="el-GR"/>
        </w:rPr>
        <w:t>5</w:t>
      </w:r>
      <w:r w:rsidRPr="00D750CA">
        <w:rPr>
          <w:rFonts w:ascii="Verdana" w:hAnsi="Verdana" w:cs="Arial"/>
          <w:sz w:val="18"/>
          <w:szCs w:val="18"/>
          <w:lang w:val="el-GR"/>
        </w:rPr>
        <w:t xml:space="preserve">%) και για να αντικαθιστά φθαρμένα έπιπλα με </w:t>
      </w:r>
      <w:r w:rsidR="00146E82">
        <w:rPr>
          <w:rFonts w:ascii="Verdana" w:hAnsi="Verdana" w:cs="Arial"/>
          <w:sz w:val="18"/>
          <w:szCs w:val="18"/>
          <w:lang w:val="el-GR"/>
        </w:rPr>
        <w:t>29,6</w:t>
      </w:r>
      <w:r w:rsidRPr="00D750CA">
        <w:rPr>
          <w:rFonts w:ascii="Verdana" w:hAnsi="Verdana" w:cs="Arial"/>
          <w:sz w:val="18"/>
          <w:szCs w:val="18"/>
          <w:lang w:val="el-GR"/>
        </w:rPr>
        <w:t>% (</w:t>
      </w:r>
      <w:r w:rsidRPr="00D750CA">
        <w:rPr>
          <w:rFonts w:ascii="Verdana" w:hAnsi="Verdana" w:cs="Arial"/>
          <w:sz w:val="18"/>
          <w:szCs w:val="18"/>
        </w:rPr>
        <w:t>EE</w:t>
      </w:r>
      <w:r w:rsidRPr="00D750CA">
        <w:rPr>
          <w:rFonts w:ascii="Verdana" w:hAnsi="Verdana" w:cs="Arial"/>
          <w:sz w:val="18"/>
          <w:szCs w:val="18"/>
          <w:lang w:val="el-GR"/>
        </w:rPr>
        <w:t>27:</w:t>
      </w:r>
      <w:r w:rsidR="00146E82">
        <w:rPr>
          <w:rFonts w:ascii="Verdana" w:hAnsi="Verdana" w:cs="Arial"/>
          <w:sz w:val="18"/>
          <w:szCs w:val="18"/>
          <w:lang w:val="el-GR"/>
        </w:rPr>
        <w:t>21,2</w:t>
      </w:r>
      <w:r w:rsidRPr="00D750CA">
        <w:rPr>
          <w:rFonts w:ascii="Verdana" w:hAnsi="Verdana" w:cs="Arial"/>
          <w:sz w:val="18"/>
          <w:szCs w:val="18"/>
          <w:lang w:val="el-GR"/>
        </w:rPr>
        <w:t>%).</w:t>
      </w:r>
    </w:p>
    <w:p w14:paraId="4BBC481F" w14:textId="77777777" w:rsidR="00113CE5" w:rsidRDefault="00113CE5" w:rsidP="00113CE5">
      <w:pPr>
        <w:jc w:val="both"/>
        <w:rPr>
          <w:rFonts w:ascii="Verdana" w:hAnsi="Verdana" w:cs="Arial"/>
          <w:sz w:val="18"/>
          <w:szCs w:val="18"/>
          <w:lang w:val="el-GR"/>
        </w:rPr>
      </w:pPr>
    </w:p>
    <w:p w14:paraId="1127BC9C" w14:textId="77777777" w:rsidR="00113CE5" w:rsidRDefault="00113CE5" w:rsidP="00113CE5">
      <w:pPr>
        <w:jc w:val="both"/>
        <w:rPr>
          <w:rFonts w:ascii="Verdana" w:hAnsi="Verdana" w:cs="Arial"/>
          <w:sz w:val="18"/>
          <w:szCs w:val="18"/>
          <w:lang w:val="el-GR"/>
        </w:rPr>
      </w:pPr>
    </w:p>
    <w:p w14:paraId="3C7B5D00" w14:textId="77777777" w:rsidR="00113CE5" w:rsidRDefault="00113CE5" w:rsidP="00113CE5">
      <w:pPr>
        <w:jc w:val="both"/>
        <w:rPr>
          <w:rFonts w:ascii="Verdana" w:hAnsi="Verdana" w:cs="Arial"/>
          <w:sz w:val="18"/>
          <w:szCs w:val="18"/>
          <w:lang w:val="el-GR"/>
        </w:rPr>
      </w:pPr>
    </w:p>
    <w:p w14:paraId="63ABA8E8" w14:textId="77777777" w:rsidR="00113CE5" w:rsidRDefault="00113CE5" w:rsidP="00113CE5">
      <w:pPr>
        <w:jc w:val="both"/>
        <w:rPr>
          <w:rFonts w:ascii="Verdana" w:hAnsi="Verdana" w:cs="Arial"/>
          <w:sz w:val="18"/>
          <w:szCs w:val="18"/>
          <w:lang w:val="el-GR"/>
        </w:rPr>
      </w:pPr>
    </w:p>
    <w:p w14:paraId="4B7BB94D" w14:textId="77777777" w:rsidR="00113CE5" w:rsidRDefault="00113CE5" w:rsidP="00113CE5">
      <w:pPr>
        <w:jc w:val="both"/>
        <w:rPr>
          <w:rFonts w:ascii="Verdana" w:hAnsi="Verdana" w:cs="Arial"/>
          <w:sz w:val="18"/>
          <w:szCs w:val="18"/>
          <w:lang w:val="el-GR"/>
        </w:rPr>
      </w:pPr>
    </w:p>
    <w:p w14:paraId="6480A3D3" w14:textId="77777777" w:rsidR="00113CE5" w:rsidRDefault="00113CE5" w:rsidP="00113CE5">
      <w:pPr>
        <w:jc w:val="both"/>
        <w:rPr>
          <w:rFonts w:ascii="Verdana" w:hAnsi="Verdana" w:cs="Arial"/>
          <w:sz w:val="18"/>
          <w:szCs w:val="18"/>
          <w:lang w:val="el-GR"/>
        </w:rPr>
      </w:pPr>
    </w:p>
    <w:p w14:paraId="3619C239" w14:textId="77777777" w:rsidR="00113CE5" w:rsidRDefault="00113CE5" w:rsidP="00113CE5">
      <w:pPr>
        <w:jc w:val="both"/>
        <w:rPr>
          <w:rFonts w:ascii="Verdana" w:hAnsi="Verdana" w:cs="Arial"/>
          <w:sz w:val="18"/>
          <w:szCs w:val="18"/>
          <w:lang w:val="el-GR"/>
        </w:rPr>
      </w:pPr>
    </w:p>
    <w:p w14:paraId="153CE61E" w14:textId="77777777" w:rsidR="00113CE5" w:rsidRDefault="00113CE5" w:rsidP="00113CE5">
      <w:pPr>
        <w:jc w:val="both"/>
        <w:rPr>
          <w:rFonts w:ascii="Verdana" w:hAnsi="Verdana" w:cs="Arial"/>
          <w:sz w:val="18"/>
          <w:szCs w:val="18"/>
          <w:lang w:val="el-GR"/>
        </w:rPr>
      </w:pPr>
    </w:p>
    <w:p w14:paraId="19A5322B" w14:textId="7E2E935F" w:rsidR="00113CE5" w:rsidRPr="007A3DCE" w:rsidRDefault="00146E82" w:rsidP="00113CE5">
      <w:pPr>
        <w:jc w:val="center"/>
        <w:rPr>
          <w:rFonts w:ascii="Verdana" w:hAnsi="Verdana" w:cs="Arial"/>
          <w:sz w:val="18"/>
          <w:szCs w:val="18"/>
          <w:lang w:val="el-GR"/>
        </w:rPr>
      </w:pPr>
      <w:r>
        <w:rPr>
          <w:rFonts w:ascii="Verdana" w:hAnsi="Verdana" w:cs="Arial"/>
          <w:noProof/>
          <w:sz w:val="18"/>
          <w:szCs w:val="18"/>
          <w:lang w:val="el-GR"/>
        </w:rPr>
        <w:lastRenderedPageBreak/>
        <w:drawing>
          <wp:inline distT="0" distB="0" distL="0" distR="0" wp14:anchorId="2BCDA9CA" wp14:editId="45F5B506">
            <wp:extent cx="6132830" cy="8748395"/>
            <wp:effectExtent l="0" t="0" r="1270" b="0"/>
            <wp:docPr id="17298586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8748395"/>
                    </a:xfrm>
                    <a:prstGeom prst="rect">
                      <a:avLst/>
                    </a:prstGeom>
                    <a:noFill/>
                  </pic:spPr>
                </pic:pic>
              </a:graphicData>
            </a:graphic>
          </wp:inline>
        </w:drawing>
      </w:r>
    </w:p>
    <w:p w14:paraId="71825384" w14:textId="58099085" w:rsidR="00113CE5" w:rsidRPr="002229EA" w:rsidRDefault="00731BB7" w:rsidP="00113CE5">
      <w:pPr>
        <w:jc w:val="both"/>
        <w:rPr>
          <w:rFonts w:ascii="Verdana" w:hAnsi="Verdana" w:cs="Arial"/>
          <w:bCs/>
          <w:color w:val="558ED5"/>
          <w:sz w:val="16"/>
          <w:szCs w:val="16"/>
          <w:highlight w:val="yellow"/>
          <w:lang w:val="el-GR"/>
        </w:rPr>
      </w:pPr>
      <w:r w:rsidRPr="00731BB7">
        <w:rPr>
          <w:rFonts w:ascii="Verdana" w:hAnsi="Verdana" w:cs="Arial"/>
          <w:bCs/>
          <w:color w:val="558ED5"/>
          <w:sz w:val="16"/>
          <w:szCs w:val="16"/>
          <w:lang w:val="el-GR"/>
        </w:rPr>
        <w:t>*</w:t>
      </w:r>
      <w:r w:rsidR="00113CE5" w:rsidRPr="00F265D5">
        <w:rPr>
          <w:rFonts w:ascii="Verdana" w:hAnsi="Verdana" w:cs="Arial"/>
          <w:bCs/>
          <w:color w:val="558ED5"/>
          <w:sz w:val="16"/>
          <w:szCs w:val="16"/>
          <w:lang w:val="el-GR"/>
        </w:rPr>
        <w:t>Δεν υπάρχουν διαθέσιμα στοιχεία για τον μέσο όρο της ΕΕ27 για την συνιστώσα  “Να έχει δύο ζευγάρια παπούτσια στο σωστό μέγεθος”</w:t>
      </w:r>
      <w:r w:rsidR="00113CE5" w:rsidRPr="002229EA">
        <w:rPr>
          <w:rFonts w:ascii="Verdana" w:hAnsi="Verdana" w:cs="Arial"/>
          <w:bCs/>
          <w:color w:val="558ED5"/>
          <w:sz w:val="16"/>
          <w:szCs w:val="16"/>
          <w:lang w:val="el-GR"/>
        </w:rPr>
        <w:t>.</w:t>
      </w:r>
    </w:p>
    <w:p w14:paraId="2FCADC20" w14:textId="77777777" w:rsidR="00113CE5" w:rsidRDefault="00113CE5" w:rsidP="00113CE5">
      <w:pPr>
        <w:jc w:val="both"/>
        <w:rPr>
          <w:rFonts w:ascii="Verdana" w:hAnsi="Verdana" w:cs="Arial"/>
          <w:sz w:val="18"/>
          <w:szCs w:val="18"/>
          <w:lang w:val="el-GR"/>
        </w:rPr>
      </w:pPr>
    </w:p>
    <w:p w14:paraId="7BB8AAEB" w14:textId="77777777" w:rsidR="00113CE5" w:rsidRDefault="00113CE5" w:rsidP="00113CE5">
      <w:pPr>
        <w:jc w:val="both"/>
        <w:rPr>
          <w:rFonts w:ascii="Verdana" w:hAnsi="Verdana" w:cs="Arial"/>
          <w:sz w:val="18"/>
          <w:szCs w:val="18"/>
          <w:lang w:val="el-GR"/>
        </w:rPr>
      </w:pPr>
    </w:p>
    <w:p w14:paraId="13C45067" w14:textId="77777777" w:rsidR="001B5658" w:rsidRPr="00A0687C" w:rsidRDefault="001B5658" w:rsidP="00113CE5">
      <w:pPr>
        <w:jc w:val="both"/>
        <w:rPr>
          <w:rFonts w:ascii="Verdana" w:hAnsi="Verdana" w:cs="Arial"/>
          <w:sz w:val="18"/>
          <w:szCs w:val="18"/>
          <w:lang w:val="el-GR"/>
        </w:rPr>
      </w:pPr>
    </w:p>
    <w:p w14:paraId="7681FDC4" w14:textId="59F9B0D9" w:rsidR="00113CE5" w:rsidRPr="007A3DCE" w:rsidRDefault="00113CE5" w:rsidP="00113CE5">
      <w:pPr>
        <w:jc w:val="both"/>
        <w:rPr>
          <w:rFonts w:ascii="Verdana" w:hAnsi="Verdana" w:cs="Arial"/>
          <w:sz w:val="18"/>
          <w:szCs w:val="18"/>
          <w:lang w:val="el-GR"/>
        </w:rPr>
      </w:pPr>
      <w:r w:rsidRPr="007A3DCE">
        <w:rPr>
          <w:rFonts w:ascii="Verdana" w:hAnsi="Verdana" w:cs="Arial"/>
          <w:sz w:val="18"/>
          <w:szCs w:val="18"/>
          <w:lang w:val="el-GR"/>
        </w:rPr>
        <w:lastRenderedPageBreak/>
        <w:t xml:space="preserve">Στο Διάγραμμα 4 </w:t>
      </w:r>
      <w:bookmarkStart w:id="1" w:name="_Hlk148252146"/>
      <w:r w:rsidRPr="007A3DCE">
        <w:rPr>
          <w:rFonts w:ascii="Verdana" w:hAnsi="Verdana" w:cs="Arial"/>
          <w:sz w:val="18"/>
          <w:szCs w:val="18"/>
          <w:lang w:val="el-GR"/>
        </w:rPr>
        <w:t>παρουσιάζονται για το έτος 202</w:t>
      </w:r>
      <w:r w:rsidR="00146E82">
        <w:rPr>
          <w:rFonts w:ascii="Verdana" w:hAnsi="Verdana" w:cs="Arial"/>
          <w:sz w:val="18"/>
          <w:szCs w:val="18"/>
          <w:lang w:val="el-GR"/>
        </w:rPr>
        <w:t>3</w:t>
      </w:r>
      <w:r w:rsidRPr="007A3DCE">
        <w:rPr>
          <w:rFonts w:ascii="Verdana" w:hAnsi="Verdana" w:cs="Arial"/>
          <w:sz w:val="18"/>
          <w:szCs w:val="18"/>
          <w:lang w:val="el-GR"/>
        </w:rPr>
        <w:t>, τα ποσοστά του πληθυσμού με υλικές και κοινωνικές στερήσεις κατά συνιστώσα</w:t>
      </w:r>
      <w:bookmarkEnd w:id="1"/>
      <w:r w:rsidRPr="007A3DCE">
        <w:rPr>
          <w:rFonts w:ascii="Verdana" w:hAnsi="Verdana" w:cs="Arial"/>
          <w:sz w:val="18"/>
          <w:szCs w:val="18"/>
          <w:lang w:val="el-GR"/>
        </w:rPr>
        <w:t xml:space="preserve"> και κατά κατηγορία εισοδήματος (σύνολο, πάνω και κάτω από το χρηματικό όριο κινδύνου φτώχιας)</w:t>
      </w:r>
      <w:r w:rsidRPr="00F265D5">
        <w:rPr>
          <w:rStyle w:val="FootnoteReference"/>
          <w:rFonts w:ascii="Verdana" w:hAnsi="Verdana" w:cs="Arial"/>
          <w:b/>
          <w:bCs/>
          <w:sz w:val="18"/>
          <w:szCs w:val="18"/>
          <w:lang w:val="el-GR"/>
        </w:rPr>
        <w:footnoteReference w:id="1"/>
      </w:r>
      <w:r w:rsidRPr="007A3DCE">
        <w:rPr>
          <w:rFonts w:ascii="Verdana" w:hAnsi="Verdana" w:cs="Arial"/>
          <w:sz w:val="18"/>
          <w:szCs w:val="18"/>
          <w:lang w:val="el-GR"/>
        </w:rPr>
        <w:t xml:space="preserve">. Από το διάγραμμα είναι εμφανές ότι τα άτομα που βρίσκονται κάτω από το χρηματικό όριο κινδύνου φτώχιας (δηλαδή σε κίνδυνο φτώχιας) βρίσκονται σε δυσμενέστερη θέση από τα άτομα που βρίσκονται πάνω από το χρηματικό όριο κινδύνου φτώχιας (εκτός κινδύνου φτώχιας). </w:t>
      </w:r>
    </w:p>
    <w:p w14:paraId="73F146E7" w14:textId="77777777" w:rsidR="00113CE5" w:rsidRDefault="00113CE5" w:rsidP="00113CE5">
      <w:pPr>
        <w:jc w:val="both"/>
        <w:rPr>
          <w:rFonts w:ascii="Verdana" w:hAnsi="Verdana" w:cs="Arial"/>
          <w:sz w:val="18"/>
          <w:szCs w:val="18"/>
          <w:lang w:val="el-GR"/>
        </w:rPr>
      </w:pPr>
    </w:p>
    <w:p w14:paraId="0A3A121E" w14:textId="1A0ACEB1" w:rsidR="00113CE5" w:rsidRDefault="00113CE5" w:rsidP="00113CE5">
      <w:pPr>
        <w:jc w:val="both"/>
        <w:rPr>
          <w:rFonts w:ascii="Verdana" w:hAnsi="Verdana" w:cs="Arial"/>
          <w:sz w:val="18"/>
          <w:szCs w:val="18"/>
          <w:lang w:val="el-GR"/>
        </w:rPr>
      </w:pPr>
      <w:r w:rsidRPr="007A3DCE">
        <w:rPr>
          <w:rFonts w:ascii="Verdana" w:hAnsi="Verdana" w:cs="Arial"/>
          <w:sz w:val="18"/>
          <w:szCs w:val="18"/>
          <w:lang w:val="el-GR"/>
        </w:rPr>
        <w:t>Με βάση τα στοιχεία αυτά, διαπιστώνεται κυρίως η οικονομική αδυναμία του πληθυσμού που βρίσκεται σε κίνδυνο φτώχιας, για αντιμετώπιση έκτακτων αλλά αναγκαίων δαπανών με 76,8%, (εκτός κινδύνου φτώχιας με 3</w:t>
      </w:r>
      <w:r w:rsidR="00396ABA">
        <w:rPr>
          <w:rFonts w:ascii="Verdana" w:hAnsi="Verdana" w:cs="Arial"/>
          <w:sz w:val="18"/>
          <w:szCs w:val="18"/>
          <w:lang w:val="el-GR"/>
        </w:rPr>
        <w:t>1</w:t>
      </w:r>
      <w:r w:rsidRPr="007A3DCE">
        <w:rPr>
          <w:rFonts w:ascii="Verdana" w:hAnsi="Verdana" w:cs="Arial"/>
          <w:sz w:val="18"/>
          <w:szCs w:val="18"/>
          <w:lang w:val="el-GR"/>
        </w:rPr>
        <w:t>,</w:t>
      </w:r>
      <w:r w:rsidR="00396ABA">
        <w:rPr>
          <w:rFonts w:ascii="Verdana" w:hAnsi="Verdana" w:cs="Arial"/>
          <w:sz w:val="18"/>
          <w:szCs w:val="18"/>
          <w:lang w:val="el-GR"/>
        </w:rPr>
        <w:t>3</w:t>
      </w:r>
      <w:r w:rsidRPr="007A3DCE">
        <w:rPr>
          <w:rFonts w:ascii="Verdana" w:hAnsi="Verdana" w:cs="Arial"/>
          <w:sz w:val="18"/>
          <w:szCs w:val="18"/>
          <w:lang w:val="el-GR"/>
        </w:rPr>
        <w:t xml:space="preserve">%), για πληρωμή μιας βδομάδας διακοπών με </w:t>
      </w:r>
      <w:r w:rsidR="00396ABA">
        <w:rPr>
          <w:rFonts w:ascii="Verdana" w:hAnsi="Verdana" w:cs="Arial"/>
          <w:sz w:val="18"/>
          <w:szCs w:val="18"/>
          <w:lang w:val="el-GR"/>
        </w:rPr>
        <w:t>75,0</w:t>
      </w:r>
      <w:r w:rsidRPr="007A3DCE">
        <w:rPr>
          <w:rFonts w:ascii="Verdana" w:hAnsi="Verdana" w:cs="Arial"/>
          <w:sz w:val="18"/>
          <w:szCs w:val="18"/>
          <w:lang w:val="el-GR"/>
        </w:rPr>
        <w:t>% (</w:t>
      </w:r>
      <w:r w:rsidR="00396ABA">
        <w:rPr>
          <w:rFonts w:ascii="Verdana" w:hAnsi="Verdana" w:cs="Arial"/>
          <w:sz w:val="18"/>
          <w:szCs w:val="18"/>
          <w:lang w:val="el-GR"/>
        </w:rPr>
        <w:t>29,7</w:t>
      </w:r>
      <w:r w:rsidRPr="007A3DCE">
        <w:rPr>
          <w:rFonts w:ascii="Verdana" w:hAnsi="Verdana" w:cs="Arial"/>
          <w:sz w:val="18"/>
          <w:szCs w:val="18"/>
          <w:lang w:val="el-GR"/>
        </w:rPr>
        <w:t>% εκτός κινδύνου φτώχιας), για να αντικαθιστά φθαρμένα έπιπλα με 5</w:t>
      </w:r>
      <w:r w:rsidR="00396ABA">
        <w:rPr>
          <w:rFonts w:ascii="Verdana" w:hAnsi="Verdana" w:cs="Arial"/>
          <w:sz w:val="18"/>
          <w:szCs w:val="18"/>
          <w:lang w:val="el-GR"/>
        </w:rPr>
        <w:t>6</w:t>
      </w:r>
      <w:r w:rsidRPr="007A3DCE">
        <w:rPr>
          <w:rFonts w:ascii="Verdana" w:hAnsi="Verdana" w:cs="Arial"/>
          <w:sz w:val="18"/>
          <w:szCs w:val="18"/>
          <w:lang w:val="el-GR"/>
        </w:rPr>
        <w:t>,8% (</w:t>
      </w:r>
      <w:r w:rsidR="00396ABA">
        <w:rPr>
          <w:rFonts w:ascii="Verdana" w:hAnsi="Verdana" w:cs="Arial"/>
          <w:sz w:val="18"/>
          <w:szCs w:val="18"/>
          <w:lang w:val="el-GR"/>
        </w:rPr>
        <w:t>25</w:t>
      </w:r>
      <w:r w:rsidRPr="007A3DCE">
        <w:rPr>
          <w:rFonts w:ascii="Verdana" w:hAnsi="Verdana" w:cs="Arial"/>
          <w:sz w:val="18"/>
          <w:szCs w:val="18"/>
          <w:lang w:val="el-GR"/>
        </w:rPr>
        <w:t xml:space="preserve">,2% εκτός κινδύνου φτώχιας) και για ικανοποιητική θέρμανση με </w:t>
      </w:r>
      <w:r w:rsidR="00396ABA">
        <w:rPr>
          <w:rFonts w:ascii="Verdana" w:hAnsi="Verdana" w:cs="Arial"/>
          <w:sz w:val="18"/>
          <w:szCs w:val="18"/>
          <w:lang w:val="el-GR"/>
        </w:rPr>
        <w:t>43</w:t>
      </w:r>
      <w:r w:rsidRPr="007A3DCE">
        <w:rPr>
          <w:rFonts w:ascii="Verdana" w:hAnsi="Verdana" w:cs="Arial"/>
          <w:sz w:val="18"/>
          <w:szCs w:val="18"/>
          <w:lang w:val="el-GR"/>
        </w:rPr>
        <w:t>,6% (1</w:t>
      </w:r>
      <w:r w:rsidR="00396ABA">
        <w:rPr>
          <w:rFonts w:ascii="Verdana" w:hAnsi="Verdana" w:cs="Arial"/>
          <w:sz w:val="18"/>
          <w:szCs w:val="18"/>
          <w:lang w:val="el-GR"/>
        </w:rPr>
        <w:t>2</w:t>
      </w:r>
      <w:r w:rsidRPr="007A3DCE">
        <w:rPr>
          <w:rFonts w:ascii="Verdana" w:hAnsi="Verdana" w:cs="Arial"/>
          <w:sz w:val="18"/>
          <w:szCs w:val="18"/>
          <w:lang w:val="el-GR"/>
        </w:rPr>
        <w:t>,</w:t>
      </w:r>
      <w:r w:rsidR="00707C8C">
        <w:rPr>
          <w:rFonts w:ascii="Verdana" w:hAnsi="Verdana" w:cs="Arial"/>
          <w:sz w:val="18"/>
          <w:szCs w:val="18"/>
          <w:lang w:val="el-GR"/>
        </w:rPr>
        <w:t>6</w:t>
      </w:r>
      <w:r w:rsidRPr="007A3DCE">
        <w:rPr>
          <w:rFonts w:ascii="Verdana" w:hAnsi="Verdana" w:cs="Arial"/>
          <w:sz w:val="18"/>
          <w:szCs w:val="18"/>
          <w:lang w:val="el-GR"/>
        </w:rPr>
        <w:t>% εκτός κινδύνου φτώχιας).</w:t>
      </w:r>
    </w:p>
    <w:p w14:paraId="70D5C8A9" w14:textId="77777777" w:rsidR="00113CE5" w:rsidRDefault="00113CE5" w:rsidP="00113CE5">
      <w:pPr>
        <w:jc w:val="both"/>
        <w:rPr>
          <w:rFonts w:ascii="Verdana" w:hAnsi="Verdana" w:cs="Arial"/>
          <w:sz w:val="18"/>
          <w:szCs w:val="18"/>
          <w:lang w:val="el-GR"/>
        </w:rPr>
      </w:pPr>
    </w:p>
    <w:p w14:paraId="547FEB56" w14:textId="53BE32AB" w:rsidR="00113CE5" w:rsidRDefault="00707C8C" w:rsidP="00113CE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2F24712D" wp14:editId="17633392">
            <wp:extent cx="6132830" cy="7212330"/>
            <wp:effectExtent l="0" t="0" r="1270" b="7620"/>
            <wp:docPr id="1594723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2830" cy="7212330"/>
                    </a:xfrm>
                    <a:prstGeom prst="rect">
                      <a:avLst/>
                    </a:prstGeom>
                    <a:noFill/>
                  </pic:spPr>
                </pic:pic>
              </a:graphicData>
            </a:graphic>
          </wp:inline>
        </w:drawing>
      </w:r>
    </w:p>
    <w:p w14:paraId="4A742A78" w14:textId="77777777" w:rsidR="00113CE5" w:rsidRDefault="00113CE5" w:rsidP="00113CE5">
      <w:pPr>
        <w:jc w:val="both"/>
        <w:rPr>
          <w:rFonts w:ascii="Verdana" w:hAnsi="Verdana" w:cs="Arial"/>
          <w:sz w:val="18"/>
          <w:szCs w:val="18"/>
          <w:lang w:val="el-GR"/>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55"/>
        <w:gridCol w:w="1019"/>
        <w:gridCol w:w="801"/>
        <w:gridCol w:w="802"/>
        <w:gridCol w:w="802"/>
        <w:gridCol w:w="802"/>
        <w:gridCol w:w="802"/>
        <w:gridCol w:w="802"/>
        <w:gridCol w:w="802"/>
        <w:gridCol w:w="802"/>
        <w:gridCol w:w="728"/>
        <w:gridCol w:w="471"/>
      </w:tblGrid>
      <w:tr w:rsidR="0087251F" w:rsidRPr="00F265D5" w14:paraId="17A48832" w14:textId="6413AE24" w:rsidTr="001B5658">
        <w:trPr>
          <w:trHeight w:val="284"/>
          <w:jc w:val="center"/>
        </w:trPr>
        <w:tc>
          <w:tcPr>
            <w:tcW w:w="1974" w:type="dxa"/>
            <w:gridSpan w:val="2"/>
            <w:tcBorders>
              <w:top w:val="nil"/>
              <w:bottom w:val="single" w:sz="4" w:space="0" w:color="2F5496" w:themeColor="accent1" w:themeShade="BF"/>
            </w:tcBorders>
            <w:vAlign w:val="center"/>
          </w:tcPr>
          <w:p w14:paraId="1534855F" w14:textId="77777777" w:rsidR="0087251F" w:rsidRPr="00B362A3" w:rsidRDefault="0087251F" w:rsidP="0077172F">
            <w:pPr>
              <w:rPr>
                <w:rFonts w:ascii="Verdana" w:eastAsia="Malgun Gothic" w:hAnsi="Verdana" w:cs="Arial"/>
                <w:b/>
                <w:bCs/>
                <w:color w:val="2F5496" w:themeColor="accent1" w:themeShade="BF"/>
                <w:sz w:val="18"/>
                <w:szCs w:val="18"/>
                <w:lang w:val="el-GR"/>
              </w:rPr>
            </w:pPr>
            <w:r w:rsidRPr="00B362A3">
              <w:rPr>
                <w:rFonts w:ascii="Verdana" w:eastAsia="Malgun Gothic" w:hAnsi="Verdana" w:cs="Arial"/>
                <w:b/>
                <w:bCs/>
                <w:color w:val="2F5496" w:themeColor="accent1" w:themeShade="BF"/>
                <w:sz w:val="18"/>
                <w:szCs w:val="18"/>
                <w:lang w:val="el-GR"/>
              </w:rPr>
              <w:lastRenderedPageBreak/>
              <w:t>Πίνακας 1</w:t>
            </w:r>
          </w:p>
        </w:tc>
        <w:tc>
          <w:tcPr>
            <w:tcW w:w="801" w:type="dxa"/>
            <w:tcBorders>
              <w:top w:val="nil"/>
              <w:bottom w:val="single" w:sz="4" w:space="0" w:color="2F5496" w:themeColor="accent1" w:themeShade="BF"/>
            </w:tcBorders>
            <w:vAlign w:val="center"/>
          </w:tcPr>
          <w:p w14:paraId="1AED56F2" w14:textId="77777777" w:rsidR="0087251F" w:rsidRPr="00F265D5" w:rsidRDefault="0087251F" w:rsidP="0077172F">
            <w:pPr>
              <w:jc w:val="center"/>
              <w:rPr>
                <w:rFonts w:ascii="Verdana" w:hAnsi="Verdana"/>
                <w:b/>
                <w:color w:val="2F5496" w:themeColor="accent1" w:themeShade="BF"/>
                <w:sz w:val="18"/>
                <w:szCs w:val="18"/>
              </w:rPr>
            </w:pPr>
          </w:p>
        </w:tc>
        <w:tc>
          <w:tcPr>
            <w:tcW w:w="802" w:type="dxa"/>
            <w:tcBorders>
              <w:top w:val="nil"/>
              <w:bottom w:val="single" w:sz="4" w:space="0" w:color="2F5496" w:themeColor="accent1" w:themeShade="BF"/>
            </w:tcBorders>
            <w:vAlign w:val="center"/>
          </w:tcPr>
          <w:p w14:paraId="1E2D35B1" w14:textId="77777777" w:rsidR="0087251F" w:rsidRPr="00F265D5" w:rsidRDefault="0087251F" w:rsidP="0077172F">
            <w:pPr>
              <w:jc w:val="center"/>
              <w:rPr>
                <w:rFonts w:ascii="Verdana" w:hAnsi="Verdana"/>
                <w:b/>
                <w:color w:val="2F5496" w:themeColor="accent1" w:themeShade="BF"/>
                <w:sz w:val="18"/>
                <w:szCs w:val="18"/>
              </w:rPr>
            </w:pPr>
          </w:p>
        </w:tc>
        <w:tc>
          <w:tcPr>
            <w:tcW w:w="802" w:type="dxa"/>
            <w:tcBorders>
              <w:top w:val="nil"/>
              <w:bottom w:val="single" w:sz="4" w:space="0" w:color="2F5496" w:themeColor="accent1" w:themeShade="BF"/>
            </w:tcBorders>
            <w:vAlign w:val="center"/>
          </w:tcPr>
          <w:p w14:paraId="47718E7C" w14:textId="77777777" w:rsidR="0087251F" w:rsidRPr="00F265D5" w:rsidRDefault="0087251F" w:rsidP="0077172F">
            <w:pPr>
              <w:jc w:val="center"/>
              <w:rPr>
                <w:rFonts w:ascii="Verdana" w:hAnsi="Verdana"/>
                <w:b/>
                <w:color w:val="2F5496" w:themeColor="accent1" w:themeShade="BF"/>
                <w:sz w:val="18"/>
                <w:szCs w:val="18"/>
              </w:rPr>
            </w:pPr>
          </w:p>
        </w:tc>
        <w:tc>
          <w:tcPr>
            <w:tcW w:w="802" w:type="dxa"/>
            <w:tcBorders>
              <w:top w:val="nil"/>
              <w:bottom w:val="single" w:sz="4" w:space="0" w:color="2F5496" w:themeColor="accent1" w:themeShade="BF"/>
            </w:tcBorders>
            <w:vAlign w:val="center"/>
          </w:tcPr>
          <w:p w14:paraId="6A73F3F3" w14:textId="77777777" w:rsidR="0087251F" w:rsidRPr="00F265D5" w:rsidRDefault="0087251F" w:rsidP="0077172F">
            <w:pPr>
              <w:jc w:val="center"/>
              <w:rPr>
                <w:rFonts w:ascii="Verdana" w:hAnsi="Verdana"/>
                <w:b/>
                <w:color w:val="2F5496" w:themeColor="accent1" w:themeShade="BF"/>
                <w:sz w:val="18"/>
                <w:szCs w:val="18"/>
              </w:rPr>
            </w:pPr>
          </w:p>
        </w:tc>
        <w:tc>
          <w:tcPr>
            <w:tcW w:w="802" w:type="dxa"/>
            <w:tcBorders>
              <w:top w:val="nil"/>
              <w:bottom w:val="single" w:sz="4" w:space="0" w:color="2F5496" w:themeColor="accent1" w:themeShade="BF"/>
            </w:tcBorders>
            <w:vAlign w:val="center"/>
          </w:tcPr>
          <w:p w14:paraId="7D62A75C" w14:textId="77777777" w:rsidR="0087251F" w:rsidRPr="00F265D5" w:rsidRDefault="0087251F" w:rsidP="0077172F">
            <w:pPr>
              <w:jc w:val="center"/>
              <w:rPr>
                <w:rFonts w:ascii="Verdana" w:hAnsi="Verdana"/>
                <w:b/>
                <w:color w:val="2F5496" w:themeColor="accent1" w:themeShade="BF"/>
                <w:sz w:val="18"/>
                <w:szCs w:val="18"/>
              </w:rPr>
            </w:pPr>
          </w:p>
        </w:tc>
        <w:tc>
          <w:tcPr>
            <w:tcW w:w="802" w:type="dxa"/>
            <w:tcBorders>
              <w:top w:val="nil"/>
              <w:bottom w:val="single" w:sz="4" w:space="0" w:color="2F5496" w:themeColor="accent1" w:themeShade="BF"/>
            </w:tcBorders>
            <w:vAlign w:val="center"/>
          </w:tcPr>
          <w:p w14:paraId="4CBB7ED0" w14:textId="77777777" w:rsidR="0087251F" w:rsidRPr="00F265D5" w:rsidRDefault="0087251F" w:rsidP="0077172F">
            <w:pPr>
              <w:jc w:val="center"/>
              <w:rPr>
                <w:rFonts w:ascii="Verdana" w:hAnsi="Verdana"/>
                <w:b/>
                <w:color w:val="2F5496" w:themeColor="accent1" w:themeShade="BF"/>
                <w:sz w:val="18"/>
                <w:szCs w:val="18"/>
              </w:rPr>
            </w:pPr>
          </w:p>
        </w:tc>
        <w:tc>
          <w:tcPr>
            <w:tcW w:w="802" w:type="dxa"/>
            <w:tcBorders>
              <w:top w:val="nil"/>
              <w:bottom w:val="single" w:sz="4" w:space="0" w:color="2F5496" w:themeColor="accent1" w:themeShade="BF"/>
            </w:tcBorders>
            <w:vAlign w:val="center"/>
          </w:tcPr>
          <w:p w14:paraId="4FFCDE48" w14:textId="77777777" w:rsidR="0087251F" w:rsidRPr="00F265D5" w:rsidRDefault="0087251F" w:rsidP="0077172F">
            <w:pPr>
              <w:jc w:val="center"/>
              <w:rPr>
                <w:rFonts w:ascii="Verdana" w:hAnsi="Verdana"/>
                <w:b/>
                <w:color w:val="2F5496" w:themeColor="accent1" w:themeShade="BF"/>
                <w:sz w:val="18"/>
                <w:szCs w:val="18"/>
              </w:rPr>
            </w:pPr>
          </w:p>
        </w:tc>
        <w:tc>
          <w:tcPr>
            <w:tcW w:w="802" w:type="dxa"/>
            <w:tcBorders>
              <w:top w:val="nil"/>
              <w:bottom w:val="single" w:sz="4" w:space="0" w:color="2F5496" w:themeColor="accent1" w:themeShade="BF"/>
            </w:tcBorders>
            <w:vAlign w:val="center"/>
          </w:tcPr>
          <w:p w14:paraId="32E85F80" w14:textId="77777777" w:rsidR="0087251F" w:rsidRPr="00F265D5" w:rsidRDefault="0087251F" w:rsidP="0077172F">
            <w:pPr>
              <w:jc w:val="center"/>
              <w:rPr>
                <w:rFonts w:ascii="Verdana" w:hAnsi="Verdana"/>
                <w:b/>
                <w:color w:val="2F5496" w:themeColor="accent1" w:themeShade="BF"/>
                <w:sz w:val="18"/>
                <w:szCs w:val="18"/>
              </w:rPr>
            </w:pPr>
          </w:p>
        </w:tc>
        <w:tc>
          <w:tcPr>
            <w:tcW w:w="728" w:type="dxa"/>
            <w:tcBorders>
              <w:top w:val="nil"/>
              <w:bottom w:val="single" w:sz="4" w:space="0" w:color="2F5496" w:themeColor="accent1" w:themeShade="BF"/>
            </w:tcBorders>
          </w:tcPr>
          <w:p w14:paraId="620C83D3" w14:textId="77777777" w:rsidR="0087251F" w:rsidRPr="00F265D5" w:rsidRDefault="0087251F" w:rsidP="0077172F">
            <w:pPr>
              <w:jc w:val="center"/>
              <w:rPr>
                <w:rFonts w:ascii="Verdana" w:hAnsi="Verdana"/>
                <w:b/>
                <w:color w:val="2F5496" w:themeColor="accent1" w:themeShade="BF"/>
                <w:sz w:val="18"/>
                <w:szCs w:val="18"/>
              </w:rPr>
            </w:pPr>
          </w:p>
        </w:tc>
        <w:tc>
          <w:tcPr>
            <w:tcW w:w="471" w:type="dxa"/>
            <w:tcBorders>
              <w:top w:val="nil"/>
              <w:bottom w:val="single" w:sz="4" w:space="0" w:color="2F5496" w:themeColor="accent1" w:themeShade="BF"/>
            </w:tcBorders>
          </w:tcPr>
          <w:p w14:paraId="152A334F" w14:textId="77777777" w:rsidR="0087251F" w:rsidRPr="00F265D5" w:rsidRDefault="0087251F" w:rsidP="0077172F">
            <w:pPr>
              <w:jc w:val="center"/>
              <w:rPr>
                <w:rFonts w:ascii="Verdana" w:hAnsi="Verdana"/>
                <w:b/>
                <w:color w:val="2F5496" w:themeColor="accent1" w:themeShade="BF"/>
                <w:sz w:val="18"/>
                <w:szCs w:val="18"/>
              </w:rPr>
            </w:pPr>
          </w:p>
        </w:tc>
      </w:tr>
      <w:tr w:rsidR="0087251F" w:rsidRPr="00F265D5" w14:paraId="7239E900" w14:textId="0EFF28A1" w:rsidTr="001B5658">
        <w:trPr>
          <w:trHeight w:val="680"/>
          <w:jc w:val="center"/>
        </w:trPr>
        <w:tc>
          <w:tcPr>
            <w:tcW w:w="1974" w:type="dxa"/>
            <w:gridSpan w:val="2"/>
            <w:tcBorders>
              <w:top w:val="single" w:sz="4" w:space="0" w:color="2F5496" w:themeColor="accent1" w:themeShade="BF"/>
              <w:bottom w:val="single" w:sz="4" w:space="0" w:color="2F5496" w:themeColor="accent1" w:themeShade="BF"/>
            </w:tcBorders>
            <w:tcMar>
              <w:left w:w="28" w:type="dxa"/>
              <w:right w:w="28" w:type="dxa"/>
            </w:tcMar>
            <w:vAlign w:val="center"/>
          </w:tcPr>
          <w:p w14:paraId="1E099FB6" w14:textId="77777777" w:rsidR="0087251F" w:rsidRPr="00B362A3" w:rsidRDefault="0087251F" w:rsidP="00A0687C">
            <w:pPr>
              <w:rPr>
                <w:rFonts w:ascii="Verdana" w:eastAsia="Malgun Gothic" w:hAnsi="Verdana" w:cs="Arial"/>
                <w:b/>
                <w:bCs/>
                <w:color w:val="2F5496" w:themeColor="accent1" w:themeShade="BF"/>
                <w:sz w:val="18"/>
                <w:szCs w:val="18"/>
                <w:lang w:val="el-GR"/>
              </w:rPr>
            </w:pPr>
            <w:bookmarkStart w:id="2" w:name="_Hlk177996290"/>
            <w:r w:rsidRPr="00B362A3">
              <w:rPr>
                <w:rFonts w:ascii="Verdana" w:eastAsia="Malgun Gothic" w:hAnsi="Verdana" w:cs="Arial"/>
                <w:b/>
                <w:bCs/>
                <w:color w:val="2F5496" w:themeColor="accent1" w:themeShade="BF"/>
                <w:sz w:val="18"/>
                <w:szCs w:val="18"/>
                <w:lang w:val="el-GR"/>
              </w:rPr>
              <w:t>Σοβαρή Υλική και Κοινωνική</w:t>
            </w:r>
            <w:r>
              <w:rPr>
                <w:rFonts w:ascii="Verdana" w:eastAsia="Malgun Gothic" w:hAnsi="Verdana" w:cs="Arial"/>
                <w:b/>
                <w:bCs/>
                <w:color w:val="2F5496" w:themeColor="accent1" w:themeShade="BF"/>
                <w:sz w:val="18"/>
                <w:szCs w:val="18"/>
                <w:lang w:val="el-GR"/>
              </w:rPr>
              <w:t xml:space="preserve"> </w:t>
            </w:r>
            <w:r w:rsidRPr="00B362A3">
              <w:rPr>
                <w:rFonts w:ascii="Verdana" w:eastAsia="Malgun Gothic" w:hAnsi="Verdana" w:cs="Arial"/>
                <w:b/>
                <w:bCs/>
                <w:color w:val="2F5496" w:themeColor="accent1" w:themeShade="BF"/>
                <w:sz w:val="18"/>
                <w:szCs w:val="18"/>
                <w:lang w:val="el-GR"/>
              </w:rPr>
              <w:t>Στέρηση</w:t>
            </w:r>
          </w:p>
        </w:tc>
        <w:tc>
          <w:tcPr>
            <w:tcW w:w="801" w:type="dxa"/>
            <w:tcBorders>
              <w:top w:val="single" w:sz="4" w:space="0" w:color="2F5496" w:themeColor="accent1" w:themeShade="BF"/>
              <w:bottom w:val="single" w:sz="4" w:space="0" w:color="2F5496" w:themeColor="accent1" w:themeShade="BF"/>
            </w:tcBorders>
            <w:vAlign w:val="center"/>
          </w:tcPr>
          <w:p w14:paraId="7240CFC6" w14:textId="77777777" w:rsidR="0087251F" w:rsidRPr="00F265D5" w:rsidRDefault="0087251F" w:rsidP="0087251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2015</w:t>
            </w:r>
          </w:p>
        </w:tc>
        <w:tc>
          <w:tcPr>
            <w:tcW w:w="802" w:type="dxa"/>
            <w:tcBorders>
              <w:top w:val="single" w:sz="4" w:space="0" w:color="2F5496" w:themeColor="accent1" w:themeShade="BF"/>
              <w:bottom w:val="single" w:sz="4" w:space="0" w:color="2F5496" w:themeColor="accent1" w:themeShade="BF"/>
            </w:tcBorders>
            <w:vAlign w:val="center"/>
          </w:tcPr>
          <w:p w14:paraId="3B6FC3C9" w14:textId="77777777" w:rsidR="0087251F" w:rsidRPr="00F265D5" w:rsidRDefault="0087251F" w:rsidP="0087251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2016</w:t>
            </w:r>
          </w:p>
        </w:tc>
        <w:tc>
          <w:tcPr>
            <w:tcW w:w="802" w:type="dxa"/>
            <w:tcBorders>
              <w:top w:val="single" w:sz="4" w:space="0" w:color="2F5496" w:themeColor="accent1" w:themeShade="BF"/>
              <w:bottom w:val="single" w:sz="4" w:space="0" w:color="2F5496" w:themeColor="accent1" w:themeShade="BF"/>
            </w:tcBorders>
            <w:vAlign w:val="center"/>
          </w:tcPr>
          <w:p w14:paraId="49B6BC60" w14:textId="77777777" w:rsidR="0087251F" w:rsidRPr="00F265D5" w:rsidRDefault="0087251F" w:rsidP="0087251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2017</w:t>
            </w:r>
          </w:p>
        </w:tc>
        <w:tc>
          <w:tcPr>
            <w:tcW w:w="802" w:type="dxa"/>
            <w:tcBorders>
              <w:top w:val="single" w:sz="4" w:space="0" w:color="2F5496" w:themeColor="accent1" w:themeShade="BF"/>
              <w:bottom w:val="single" w:sz="4" w:space="0" w:color="2F5496" w:themeColor="accent1" w:themeShade="BF"/>
            </w:tcBorders>
            <w:vAlign w:val="center"/>
          </w:tcPr>
          <w:p w14:paraId="02659E39" w14:textId="77777777" w:rsidR="0087251F" w:rsidRPr="00F265D5" w:rsidRDefault="0087251F" w:rsidP="0087251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2018</w:t>
            </w:r>
          </w:p>
        </w:tc>
        <w:tc>
          <w:tcPr>
            <w:tcW w:w="802" w:type="dxa"/>
            <w:tcBorders>
              <w:top w:val="single" w:sz="4" w:space="0" w:color="2F5496" w:themeColor="accent1" w:themeShade="BF"/>
              <w:bottom w:val="single" w:sz="4" w:space="0" w:color="2F5496" w:themeColor="accent1" w:themeShade="BF"/>
            </w:tcBorders>
            <w:vAlign w:val="center"/>
          </w:tcPr>
          <w:p w14:paraId="0F73A10A" w14:textId="77777777" w:rsidR="0087251F" w:rsidRPr="00F265D5" w:rsidRDefault="0087251F" w:rsidP="0087251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2019</w:t>
            </w:r>
          </w:p>
        </w:tc>
        <w:tc>
          <w:tcPr>
            <w:tcW w:w="802" w:type="dxa"/>
            <w:tcBorders>
              <w:top w:val="single" w:sz="4" w:space="0" w:color="2F5496" w:themeColor="accent1" w:themeShade="BF"/>
              <w:bottom w:val="single" w:sz="4" w:space="0" w:color="2F5496" w:themeColor="accent1" w:themeShade="BF"/>
            </w:tcBorders>
            <w:vAlign w:val="center"/>
          </w:tcPr>
          <w:p w14:paraId="61F5B62E" w14:textId="77777777" w:rsidR="0087251F" w:rsidRPr="00F265D5" w:rsidRDefault="0087251F" w:rsidP="0087251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2020</w:t>
            </w:r>
          </w:p>
        </w:tc>
        <w:tc>
          <w:tcPr>
            <w:tcW w:w="802" w:type="dxa"/>
            <w:tcBorders>
              <w:top w:val="single" w:sz="4" w:space="0" w:color="2F5496" w:themeColor="accent1" w:themeShade="BF"/>
              <w:bottom w:val="single" w:sz="4" w:space="0" w:color="2F5496" w:themeColor="accent1" w:themeShade="BF"/>
            </w:tcBorders>
            <w:vAlign w:val="center"/>
          </w:tcPr>
          <w:p w14:paraId="2A5AE05F" w14:textId="77777777" w:rsidR="0087251F" w:rsidRPr="00F265D5" w:rsidRDefault="0087251F" w:rsidP="0087251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2021</w:t>
            </w:r>
          </w:p>
        </w:tc>
        <w:tc>
          <w:tcPr>
            <w:tcW w:w="802" w:type="dxa"/>
            <w:tcBorders>
              <w:top w:val="single" w:sz="4" w:space="0" w:color="2F5496" w:themeColor="accent1" w:themeShade="BF"/>
              <w:bottom w:val="single" w:sz="4" w:space="0" w:color="2F5496" w:themeColor="accent1" w:themeShade="BF"/>
            </w:tcBorders>
            <w:vAlign w:val="center"/>
          </w:tcPr>
          <w:p w14:paraId="7B5E784C" w14:textId="77777777" w:rsidR="0087251F" w:rsidRPr="00F265D5" w:rsidRDefault="0087251F" w:rsidP="0087251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2022</w:t>
            </w:r>
          </w:p>
        </w:tc>
        <w:tc>
          <w:tcPr>
            <w:tcW w:w="728" w:type="dxa"/>
            <w:tcBorders>
              <w:top w:val="single" w:sz="4" w:space="0" w:color="2F5496" w:themeColor="accent1" w:themeShade="BF"/>
              <w:bottom w:val="single" w:sz="4" w:space="0" w:color="2F5496" w:themeColor="accent1" w:themeShade="BF"/>
            </w:tcBorders>
            <w:vAlign w:val="center"/>
          </w:tcPr>
          <w:p w14:paraId="6DC6748A" w14:textId="575E3E10" w:rsidR="0087251F" w:rsidRPr="006B44FC" w:rsidRDefault="0087251F" w:rsidP="0087251F">
            <w:pPr>
              <w:jc w:val="center"/>
              <w:rPr>
                <w:rFonts w:ascii="Verdana" w:hAnsi="Verdana"/>
                <w:b/>
                <w:color w:val="2F5496" w:themeColor="accent1" w:themeShade="BF"/>
                <w:sz w:val="18"/>
                <w:szCs w:val="18"/>
                <w:lang w:val="el-GR"/>
              </w:rPr>
            </w:pPr>
            <w:r w:rsidRPr="00F265D5">
              <w:rPr>
                <w:rFonts w:ascii="Verdana" w:hAnsi="Verdana"/>
                <w:b/>
                <w:color w:val="2F5496" w:themeColor="accent1" w:themeShade="BF"/>
                <w:sz w:val="18"/>
                <w:szCs w:val="18"/>
              </w:rPr>
              <w:t>202</w:t>
            </w:r>
            <w:r w:rsidR="006B44FC">
              <w:rPr>
                <w:rFonts w:ascii="Verdana" w:hAnsi="Verdana"/>
                <w:b/>
                <w:color w:val="2F5496" w:themeColor="accent1" w:themeShade="BF"/>
                <w:sz w:val="18"/>
                <w:szCs w:val="18"/>
                <w:lang w:val="el-GR"/>
              </w:rPr>
              <w:t>3</w:t>
            </w:r>
          </w:p>
        </w:tc>
        <w:tc>
          <w:tcPr>
            <w:tcW w:w="471" w:type="dxa"/>
            <w:tcBorders>
              <w:top w:val="single" w:sz="4" w:space="0" w:color="2F5496" w:themeColor="accent1" w:themeShade="BF"/>
              <w:bottom w:val="single" w:sz="4" w:space="0" w:color="2F5496" w:themeColor="accent1" w:themeShade="BF"/>
            </w:tcBorders>
          </w:tcPr>
          <w:p w14:paraId="7171B9FB" w14:textId="77777777" w:rsidR="0087251F" w:rsidRPr="00F265D5" w:rsidRDefault="0087251F" w:rsidP="0087251F">
            <w:pPr>
              <w:jc w:val="center"/>
              <w:rPr>
                <w:rFonts w:ascii="Verdana" w:hAnsi="Verdana"/>
                <w:b/>
                <w:color w:val="2F5496" w:themeColor="accent1" w:themeShade="BF"/>
                <w:sz w:val="18"/>
                <w:szCs w:val="18"/>
              </w:rPr>
            </w:pPr>
          </w:p>
        </w:tc>
      </w:tr>
      <w:tr w:rsidR="006B44FC" w:rsidRPr="00F265D5" w14:paraId="14AF8E31" w14:textId="32F8C919" w:rsidTr="00F73492">
        <w:trPr>
          <w:trHeight w:val="340"/>
          <w:jc w:val="center"/>
        </w:trPr>
        <w:tc>
          <w:tcPr>
            <w:tcW w:w="955" w:type="dxa"/>
            <w:vMerge w:val="restart"/>
            <w:tcBorders>
              <w:top w:val="single" w:sz="4" w:space="0" w:color="2F5496" w:themeColor="accent1" w:themeShade="BF"/>
              <w:bottom w:val="nil"/>
            </w:tcBorders>
            <w:vAlign w:val="center"/>
          </w:tcPr>
          <w:p w14:paraId="32ACACB2" w14:textId="77777777" w:rsidR="006B44FC" w:rsidRPr="00B362A3" w:rsidRDefault="006B44FC" w:rsidP="006B44FC">
            <w:pPr>
              <w:rPr>
                <w:rFonts w:ascii="Verdana" w:eastAsia="Malgun Gothic" w:hAnsi="Verdana" w:cs="Arial"/>
                <w:b/>
                <w:color w:val="2F5496" w:themeColor="accent1" w:themeShade="BF"/>
                <w:sz w:val="18"/>
                <w:szCs w:val="18"/>
                <w:lang w:val="el-GR"/>
              </w:rPr>
            </w:pPr>
            <w:r>
              <w:rPr>
                <w:rFonts w:ascii="Verdana" w:eastAsia="Malgun Gothic" w:hAnsi="Verdana" w:cs="Arial"/>
                <w:b/>
                <w:color w:val="2F5496" w:themeColor="accent1" w:themeShade="BF"/>
                <w:sz w:val="18"/>
                <w:szCs w:val="18"/>
                <w:lang w:val="el-GR"/>
              </w:rPr>
              <w:t>Κατά Φύλο</w:t>
            </w:r>
          </w:p>
        </w:tc>
        <w:tc>
          <w:tcPr>
            <w:tcW w:w="1019" w:type="dxa"/>
            <w:tcBorders>
              <w:top w:val="single" w:sz="4" w:space="0" w:color="2F5496" w:themeColor="accent1" w:themeShade="BF"/>
              <w:bottom w:val="nil"/>
            </w:tcBorders>
            <w:vAlign w:val="center"/>
          </w:tcPr>
          <w:p w14:paraId="256A00B5" w14:textId="77777777" w:rsidR="006B44FC" w:rsidRPr="00B362A3" w:rsidRDefault="006B44FC" w:rsidP="006B44FC">
            <w:pPr>
              <w:rPr>
                <w:rFonts w:ascii="Verdana" w:eastAsia="Malgun Gothic" w:hAnsi="Verdana" w:cs="Arial"/>
                <w:bCs/>
                <w:color w:val="2F5496" w:themeColor="accent1" w:themeShade="BF"/>
                <w:sz w:val="18"/>
                <w:szCs w:val="18"/>
                <w:lang w:val="el-GR"/>
              </w:rPr>
            </w:pPr>
            <w:proofErr w:type="spellStart"/>
            <w:r w:rsidRPr="00B362A3">
              <w:rPr>
                <w:rFonts w:ascii="Verdana" w:hAnsi="Verdana"/>
                <w:bCs/>
                <w:color w:val="2F5496" w:themeColor="accent1" w:themeShade="BF"/>
                <w:sz w:val="18"/>
                <w:szCs w:val="18"/>
              </w:rPr>
              <w:t>Σύνολο</w:t>
            </w:r>
            <w:proofErr w:type="spellEnd"/>
          </w:p>
        </w:tc>
        <w:tc>
          <w:tcPr>
            <w:tcW w:w="801" w:type="dxa"/>
            <w:tcBorders>
              <w:top w:val="single" w:sz="4" w:space="0" w:color="2F5496" w:themeColor="accent1" w:themeShade="BF"/>
              <w:bottom w:val="nil"/>
            </w:tcBorders>
            <w:vAlign w:val="center"/>
          </w:tcPr>
          <w:p w14:paraId="6EA9E3A3" w14:textId="77777777" w:rsidR="006B44FC" w:rsidRPr="00F265D5" w:rsidRDefault="006B44FC" w:rsidP="00F73492">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7,9</w:t>
            </w:r>
          </w:p>
        </w:tc>
        <w:tc>
          <w:tcPr>
            <w:tcW w:w="802" w:type="dxa"/>
            <w:tcBorders>
              <w:top w:val="single" w:sz="4" w:space="0" w:color="2F5496" w:themeColor="accent1" w:themeShade="BF"/>
              <w:bottom w:val="nil"/>
            </w:tcBorders>
            <w:vAlign w:val="center"/>
          </w:tcPr>
          <w:p w14:paraId="068ED3C9"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6,6</w:t>
            </w:r>
          </w:p>
        </w:tc>
        <w:tc>
          <w:tcPr>
            <w:tcW w:w="802" w:type="dxa"/>
            <w:tcBorders>
              <w:top w:val="single" w:sz="4" w:space="0" w:color="2F5496" w:themeColor="accent1" w:themeShade="BF"/>
              <w:bottom w:val="nil"/>
            </w:tcBorders>
            <w:vAlign w:val="center"/>
          </w:tcPr>
          <w:p w14:paraId="305F8B54"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6,1</w:t>
            </w:r>
          </w:p>
        </w:tc>
        <w:tc>
          <w:tcPr>
            <w:tcW w:w="802" w:type="dxa"/>
            <w:tcBorders>
              <w:top w:val="single" w:sz="4" w:space="0" w:color="2F5496" w:themeColor="accent1" w:themeShade="BF"/>
              <w:bottom w:val="nil"/>
            </w:tcBorders>
            <w:vAlign w:val="center"/>
          </w:tcPr>
          <w:p w14:paraId="5C70F007"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3,8</w:t>
            </w:r>
          </w:p>
        </w:tc>
        <w:tc>
          <w:tcPr>
            <w:tcW w:w="802" w:type="dxa"/>
            <w:tcBorders>
              <w:top w:val="single" w:sz="4" w:space="0" w:color="2F5496" w:themeColor="accent1" w:themeShade="BF"/>
              <w:bottom w:val="nil"/>
            </w:tcBorders>
            <w:vAlign w:val="center"/>
          </w:tcPr>
          <w:p w14:paraId="73B52690"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3,2</w:t>
            </w:r>
          </w:p>
        </w:tc>
        <w:tc>
          <w:tcPr>
            <w:tcW w:w="802" w:type="dxa"/>
            <w:tcBorders>
              <w:top w:val="single" w:sz="4" w:space="0" w:color="2F5496" w:themeColor="accent1" w:themeShade="BF"/>
              <w:bottom w:val="nil"/>
            </w:tcBorders>
            <w:vAlign w:val="center"/>
          </w:tcPr>
          <w:p w14:paraId="07956358"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3,2</w:t>
            </w:r>
          </w:p>
        </w:tc>
        <w:tc>
          <w:tcPr>
            <w:tcW w:w="802" w:type="dxa"/>
            <w:tcBorders>
              <w:top w:val="single" w:sz="4" w:space="0" w:color="2F5496" w:themeColor="accent1" w:themeShade="BF"/>
              <w:bottom w:val="nil"/>
            </w:tcBorders>
            <w:vAlign w:val="center"/>
          </w:tcPr>
          <w:p w14:paraId="0910D25B"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2,6</w:t>
            </w:r>
          </w:p>
        </w:tc>
        <w:tc>
          <w:tcPr>
            <w:tcW w:w="802" w:type="dxa"/>
            <w:tcBorders>
              <w:top w:val="single" w:sz="4" w:space="0" w:color="2F5496" w:themeColor="accent1" w:themeShade="BF"/>
              <w:bottom w:val="nil"/>
            </w:tcBorders>
            <w:vAlign w:val="center"/>
          </w:tcPr>
          <w:p w14:paraId="6562A70D" w14:textId="021C005D"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2,7</w:t>
            </w:r>
          </w:p>
        </w:tc>
        <w:tc>
          <w:tcPr>
            <w:tcW w:w="728" w:type="dxa"/>
            <w:tcBorders>
              <w:top w:val="single" w:sz="4" w:space="0" w:color="2F5496" w:themeColor="accent1" w:themeShade="BF"/>
              <w:bottom w:val="nil"/>
            </w:tcBorders>
            <w:vAlign w:val="center"/>
          </w:tcPr>
          <w:p w14:paraId="0D4781C0" w14:textId="071875F8"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w:t>
            </w:r>
            <w:r w:rsidRPr="00F73492">
              <w:rPr>
                <w:rFonts w:ascii="Verdana" w:hAnsi="Verdana"/>
                <w:color w:val="2F5496" w:themeColor="accent1" w:themeShade="BF"/>
                <w:sz w:val="18"/>
                <w:szCs w:val="18"/>
              </w:rPr>
              <w:t>4</w:t>
            </w:r>
          </w:p>
        </w:tc>
        <w:tc>
          <w:tcPr>
            <w:tcW w:w="471" w:type="dxa"/>
            <w:tcBorders>
              <w:top w:val="single" w:sz="4" w:space="0" w:color="2F5496" w:themeColor="accent1" w:themeShade="BF"/>
              <w:bottom w:val="nil"/>
            </w:tcBorders>
          </w:tcPr>
          <w:p w14:paraId="0B496909" w14:textId="77777777" w:rsidR="006B44FC" w:rsidRPr="00F265D5" w:rsidRDefault="006B44FC" w:rsidP="006B44FC">
            <w:pPr>
              <w:jc w:val="center"/>
              <w:rPr>
                <w:rFonts w:ascii="Verdana" w:hAnsi="Verdana"/>
                <w:color w:val="2F5496" w:themeColor="accent1" w:themeShade="BF"/>
                <w:sz w:val="18"/>
                <w:szCs w:val="18"/>
              </w:rPr>
            </w:pPr>
          </w:p>
        </w:tc>
      </w:tr>
      <w:tr w:rsidR="006B44FC" w:rsidRPr="00F265D5" w14:paraId="6D645520" w14:textId="1A4F4049" w:rsidTr="00F73492">
        <w:trPr>
          <w:trHeight w:val="340"/>
          <w:jc w:val="center"/>
        </w:trPr>
        <w:tc>
          <w:tcPr>
            <w:tcW w:w="955" w:type="dxa"/>
            <w:vMerge/>
            <w:tcBorders>
              <w:top w:val="nil"/>
              <w:bottom w:val="nil"/>
            </w:tcBorders>
            <w:vAlign w:val="center"/>
          </w:tcPr>
          <w:p w14:paraId="2DEEB9EE" w14:textId="77777777" w:rsidR="006B44FC" w:rsidRPr="00F265D5" w:rsidRDefault="006B44FC" w:rsidP="006B44FC">
            <w:pPr>
              <w:rPr>
                <w:rFonts w:ascii="Verdana" w:eastAsia="Malgun Gothic" w:hAnsi="Verdana" w:cs="Arial"/>
                <w:b/>
                <w:color w:val="2F5496" w:themeColor="accent1" w:themeShade="BF"/>
                <w:sz w:val="18"/>
                <w:szCs w:val="18"/>
                <w:lang w:val="el-GR"/>
              </w:rPr>
            </w:pPr>
          </w:p>
        </w:tc>
        <w:tc>
          <w:tcPr>
            <w:tcW w:w="1019" w:type="dxa"/>
            <w:tcBorders>
              <w:top w:val="nil"/>
              <w:bottom w:val="nil"/>
            </w:tcBorders>
            <w:vAlign w:val="center"/>
          </w:tcPr>
          <w:p w14:paraId="3A5FA7EB" w14:textId="77777777" w:rsidR="006B44FC" w:rsidRPr="00B362A3" w:rsidRDefault="006B44FC" w:rsidP="006B44FC">
            <w:pPr>
              <w:rPr>
                <w:rFonts w:ascii="Verdana" w:eastAsia="Malgun Gothic" w:hAnsi="Verdana" w:cs="Arial"/>
                <w:bCs/>
                <w:color w:val="2F5496" w:themeColor="accent1" w:themeShade="BF"/>
                <w:sz w:val="18"/>
                <w:szCs w:val="18"/>
                <w:lang w:val="el-GR"/>
              </w:rPr>
            </w:pPr>
            <w:proofErr w:type="spellStart"/>
            <w:r w:rsidRPr="00B362A3">
              <w:rPr>
                <w:rFonts w:ascii="Verdana" w:hAnsi="Verdana"/>
                <w:bCs/>
                <w:color w:val="2F5496" w:themeColor="accent1" w:themeShade="BF"/>
                <w:sz w:val="18"/>
                <w:szCs w:val="18"/>
              </w:rPr>
              <w:t>Άντρες</w:t>
            </w:r>
            <w:proofErr w:type="spellEnd"/>
          </w:p>
        </w:tc>
        <w:tc>
          <w:tcPr>
            <w:tcW w:w="801" w:type="dxa"/>
            <w:tcBorders>
              <w:top w:val="nil"/>
              <w:bottom w:val="nil"/>
            </w:tcBorders>
            <w:vAlign w:val="center"/>
          </w:tcPr>
          <w:p w14:paraId="02B9AEA7"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8,0</w:t>
            </w:r>
          </w:p>
        </w:tc>
        <w:tc>
          <w:tcPr>
            <w:tcW w:w="802" w:type="dxa"/>
            <w:tcBorders>
              <w:top w:val="nil"/>
              <w:bottom w:val="nil"/>
            </w:tcBorders>
            <w:vAlign w:val="center"/>
          </w:tcPr>
          <w:p w14:paraId="286DECB3"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6,9</w:t>
            </w:r>
          </w:p>
        </w:tc>
        <w:tc>
          <w:tcPr>
            <w:tcW w:w="802" w:type="dxa"/>
            <w:tcBorders>
              <w:top w:val="nil"/>
              <w:bottom w:val="nil"/>
            </w:tcBorders>
            <w:vAlign w:val="center"/>
          </w:tcPr>
          <w:p w14:paraId="1C1E5311"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6,2</w:t>
            </w:r>
          </w:p>
        </w:tc>
        <w:tc>
          <w:tcPr>
            <w:tcW w:w="802" w:type="dxa"/>
            <w:tcBorders>
              <w:top w:val="nil"/>
              <w:bottom w:val="nil"/>
            </w:tcBorders>
            <w:vAlign w:val="center"/>
          </w:tcPr>
          <w:p w14:paraId="52657AF5"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3,9</w:t>
            </w:r>
          </w:p>
        </w:tc>
        <w:tc>
          <w:tcPr>
            <w:tcW w:w="802" w:type="dxa"/>
            <w:tcBorders>
              <w:top w:val="nil"/>
              <w:bottom w:val="nil"/>
            </w:tcBorders>
            <w:vAlign w:val="center"/>
          </w:tcPr>
          <w:p w14:paraId="1A2AE34C"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3,4</w:t>
            </w:r>
          </w:p>
        </w:tc>
        <w:tc>
          <w:tcPr>
            <w:tcW w:w="802" w:type="dxa"/>
            <w:tcBorders>
              <w:top w:val="nil"/>
              <w:bottom w:val="nil"/>
            </w:tcBorders>
            <w:vAlign w:val="center"/>
          </w:tcPr>
          <w:p w14:paraId="7A5E895D"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3,3</w:t>
            </w:r>
          </w:p>
        </w:tc>
        <w:tc>
          <w:tcPr>
            <w:tcW w:w="802" w:type="dxa"/>
            <w:tcBorders>
              <w:top w:val="nil"/>
              <w:bottom w:val="nil"/>
            </w:tcBorders>
            <w:vAlign w:val="center"/>
          </w:tcPr>
          <w:p w14:paraId="17C89BD0"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2,3</w:t>
            </w:r>
          </w:p>
        </w:tc>
        <w:tc>
          <w:tcPr>
            <w:tcW w:w="802" w:type="dxa"/>
            <w:tcBorders>
              <w:top w:val="nil"/>
              <w:bottom w:val="nil"/>
            </w:tcBorders>
            <w:vAlign w:val="center"/>
          </w:tcPr>
          <w:p w14:paraId="060E4B1D" w14:textId="3D79016D"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2,6</w:t>
            </w:r>
          </w:p>
        </w:tc>
        <w:tc>
          <w:tcPr>
            <w:tcW w:w="728" w:type="dxa"/>
            <w:tcBorders>
              <w:top w:val="nil"/>
              <w:bottom w:val="nil"/>
            </w:tcBorders>
            <w:vAlign w:val="center"/>
          </w:tcPr>
          <w:p w14:paraId="6D61E4F8" w14:textId="4EDF35FF"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w:t>
            </w:r>
            <w:r w:rsidRPr="00F73492">
              <w:rPr>
                <w:rFonts w:ascii="Verdana" w:hAnsi="Verdana"/>
                <w:color w:val="2F5496" w:themeColor="accent1" w:themeShade="BF"/>
                <w:sz w:val="18"/>
                <w:szCs w:val="18"/>
              </w:rPr>
              <w:t>3</w:t>
            </w:r>
          </w:p>
        </w:tc>
        <w:tc>
          <w:tcPr>
            <w:tcW w:w="471" w:type="dxa"/>
            <w:tcBorders>
              <w:top w:val="nil"/>
              <w:bottom w:val="nil"/>
            </w:tcBorders>
          </w:tcPr>
          <w:p w14:paraId="5F99DDA0" w14:textId="77777777" w:rsidR="006B44FC" w:rsidRPr="00F265D5" w:rsidRDefault="006B44FC" w:rsidP="006B44FC">
            <w:pPr>
              <w:jc w:val="center"/>
              <w:rPr>
                <w:rFonts w:ascii="Verdana" w:hAnsi="Verdana"/>
                <w:color w:val="2F5496" w:themeColor="accent1" w:themeShade="BF"/>
                <w:sz w:val="18"/>
                <w:szCs w:val="18"/>
              </w:rPr>
            </w:pPr>
          </w:p>
        </w:tc>
      </w:tr>
      <w:tr w:rsidR="006B44FC" w:rsidRPr="00F265D5" w14:paraId="72A4222A" w14:textId="2CD833BE" w:rsidTr="00F73492">
        <w:trPr>
          <w:trHeight w:val="340"/>
          <w:jc w:val="center"/>
        </w:trPr>
        <w:tc>
          <w:tcPr>
            <w:tcW w:w="955" w:type="dxa"/>
            <w:vMerge/>
            <w:tcBorders>
              <w:top w:val="nil"/>
              <w:bottom w:val="single" w:sz="4" w:space="0" w:color="2F5496" w:themeColor="accent1" w:themeShade="BF"/>
            </w:tcBorders>
            <w:vAlign w:val="center"/>
          </w:tcPr>
          <w:p w14:paraId="3D22924E" w14:textId="77777777" w:rsidR="006B44FC" w:rsidRPr="00F265D5" w:rsidRDefault="006B44FC" w:rsidP="006B44FC">
            <w:pPr>
              <w:rPr>
                <w:rFonts w:ascii="Verdana" w:eastAsia="Malgun Gothic" w:hAnsi="Verdana" w:cs="Arial"/>
                <w:b/>
                <w:color w:val="2F5496" w:themeColor="accent1" w:themeShade="BF"/>
                <w:sz w:val="18"/>
                <w:szCs w:val="18"/>
                <w:lang w:val="el-GR"/>
              </w:rPr>
            </w:pPr>
          </w:p>
        </w:tc>
        <w:tc>
          <w:tcPr>
            <w:tcW w:w="1019" w:type="dxa"/>
            <w:tcBorders>
              <w:top w:val="nil"/>
              <w:bottom w:val="single" w:sz="4" w:space="0" w:color="2F5496" w:themeColor="accent1" w:themeShade="BF"/>
            </w:tcBorders>
            <w:vAlign w:val="center"/>
          </w:tcPr>
          <w:p w14:paraId="7253808A" w14:textId="77777777" w:rsidR="006B44FC" w:rsidRPr="00B362A3" w:rsidRDefault="006B44FC" w:rsidP="006B44FC">
            <w:pPr>
              <w:rPr>
                <w:rFonts w:ascii="Verdana" w:eastAsia="Malgun Gothic" w:hAnsi="Verdana" w:cs="Arial"/>
                <w:bCs/>
                <w:color w:val="2F5496" w:themeColor="accent1" w:themeShade="BF"/>
                <w:sz w:val="18"/>
                <w:szCs w:val="18"/>
                <w:lang w:val="el-GR"/>
              </w:rPr>
            </w:pPr>
            <w:proofErr w:type="spellStart"/>
            <w:r w:rsidRPr="00B362A3">
              <w:rPr>
                <w:rFonts w:ascii="Verdana" w:hAnsi="Verdana"/>
                <w:bCs/>
                <w:color w:val="2F5496" w:themeColor="accent1" w:themeShade="BF"/>
                <w:sz w:val="18"/>
                <w:szCs w:val="18"/>
              </w:rPr>
              <w:t>Γυν</w:t>
            </w:r>
            <w:proofErr w:type="spellEnd"/>
            <w:r w:rsidRPr="00B362A3">
              <w:rPr>
                <w:rFonts w:ascii="Verdana" w:hAnsi="Verdana"/>
                <w:bCs/>
                <w:color w:val="2F5496" w:themeColor="accent1" w:themeShade="BF"/>
                <w:sz w:val="18"/>
                <w:szCs w:val="18"/>
              </w:rPr>
              <w:t>αίκες</w:t>
            </w:r>
          </w:p>
        </w:tc>
        <w:tc>
          <w:tcPr>
            <w:tcW w:w="801" w:type="dxa"/>
            <w:tcBorders>
              <w:top w:val="nil"/>
              <w:bottom w:val="single" w:sz="4" w:space="0" w:color="2F5496" w:themeColor="accent1" w:themeShade="BF"/>
            </w:tcBorders>
            <w:vAlign w:val="center"/>
          </w:tcPr>
          <w:p w14:paraId="087735E8" w14:textId="77777777" w:rsidR="006B44FC" w:rsidRPr="00F265D5" w:rsidRDefault="006B44FC" w:rsidP="00F73492">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7,8</w:t>
            </w:r>
          </w:p>
        </w:tc>
        <w:tc>
          <w:tcPr>
            <w:tcW w:w="802" w:type="dxa"/>
            <w:tcBorders>
              <w:top w:val="nil"/>
              <w:bottom w:val="single" w:sz="4" w:space="0" w:color="2F5496" w:themeColor="accent1" w:themeShade="BF"/>
            </w:tcBorders>
            <w:vAlign w:val="center"/>
          </w:tcPr>
          <w:p w14:paraId="605BBDDA"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6,3</w:t>
            </w:r>
          </w:p>
        </w:tc>
        <w:tc>
          <w:tcPr>
            <w:tcW w:w="802" w:type="dxa"/>
            <w:tcBorders>
              <w:top w:val="nil"/>
              <w:bottom w:val="single" w:sz="4" w:space="0" w:color="2F5496" w:themeColor="accent1" w:themeShade="BF"/>
            </w:tcBorders>
            <w:vAlign w:val="center"/>
          </w:tcPr>
          <w:p w14:paraId="3A8F335B"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6,1</w:t>
            </w:r>
          </w:p>
        </w:tc>
        <w:tc>
          <w:tcPr>
            <w:tcW w:w="802" w:type="dxa"/>
            <w:tcBorders>
              <w:top w:val="nil"/>
              <w:bottom w:val="single" w:sz="4" w:space="0" w:color="2F5496" w:themeColor="accent1" w:themeShade="BF"/>
            </w:tcBorders>
            <w:vAlign w:val="center"/>
          </w:tcPr>
          <w:p w14:paraId="22B1F7C3"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3,7</w:t>
            </w:r>
          </w:p>
        </w:tc>
        <w:tc>
          <w:tcPr>
            <w:tcW w:w="802" w:type="dxa"/>
            <w:tcBorders>
              <w:top w:val="nil"/>
              <w:bottom w:val="single" w:sz="4" w:space="0" w:color="2F5496" w:themeColor="accent1" w:themeShade="BF"/>
            </w:tcBorders>
            <w:vAlign w:val="center"/>
          </w:tcPr>
          <w:p w14:paraId="207AB52E"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3,0</w:t>
            </w:r>
          </w:p>
        </w:tc>
        <w:tc>
          <w:tcPr>
            <w:tcW w:w="802" w:type="dxa"/>
            <w:tcBorders>
              <w:top w:val="nil"/>
              <w:bottom w:val="single" w:sz="4" w:space="0" w:color="2F5496" w:themeColor="accent1" w:themeShade="BF"/>
            </w:tcBorders>
            <w:vAlign w:val="center"/>
          </w:tcPr>
          <w:p w14:paraId="1E85682D"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3,2</w:t>
            </w:r>
          </w:p>
        </w:tc>
        <w:tc>
          <w:tcPr>
            <w:tcW w:w="802" w:type="dxa"/>
            <w:tcBorders>
              <w:top w:val="nil"/>
              <w:bottom w:val="single" w:sz="4" w:space="0" w:color="2F5496" w:themeColor="accent1" w:themeShade="BF"/>
            </w:tcBorders>
            <w:vAlign w:val="center"/>
          </w:tcPr>
          <w:p w14:paraId="7EFA3E3E"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2,8</w:t>
            </w:r>
          </w:p>
        </w:tc>
        <w:tc>
          <w:tcPr>
            <w:tcW w:w="802" w:type="dxa"/>
            <w:tcBorders>
              <w:top w:val="nil"/>
              <w:bottom w:val="single" w:sz="4" w:space="0" w:color="2F5496" w:themeColor="accent1" w:themeShade="BF"/>
            </w:tcBorders>
            <w:vAlign w:val="center"/>
          </w:tcPr>
          <w:p w14:paraId="6132BDB1" w14:textId="22507BC6"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2,8</w:t>
            </w:r>
          </w:p>
        </w:tc>
        <w:tc>
          <w:tcPr>
            <w:tcW w:w="728" w:type="dxa"/>
            <w:tcBorders>
              <w:top w:val="nil"/>
              <w:bottom w:val="single" w:sz="4" w:space="0" w:color="2F5496" w:themeColor="accent1" w:themeShade="BF"/>
            </w:tcBorders>
            <w:vAlign w:val="center"/>
          </w:tcPr>
          <w:p w14:paraId="7D45DA15" w14:textId="51E3B8B6"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w:t>
            </w:r>
            <w:r w:rsidRPr="00F73492">
              <w:rPr>
                <w:rFonts w:ascii="Verdana" w:hAnsi="Verdana"/>
                <w:color w:val="2F5496" w:themeColor="accent1" w:themeShade="BF"/>
                <w:sz w:val="18"/>
                <w:szCs w:val="18"/>
              </w:rPr>
              <w:t>5</w:t>
            </w:r>
          </w:p>
        </w:tc>
        <w:tc>
          <w:tcPr>
            <w:tcW w:w="471" w:type="dxa"/>
            <w:tcBorders>
              <w:top w:val="nil"/>
              <w:bottom w:val="single" w:sz="4" w:space="0" w:color="2F5496" w:themeColor="accent1" w:themeShade="BF"/>
            </w:tcBorders>
          </w:tcPr>
          <w:p w14:paraId="7BCC6491" w14:textId="77777777" w:rsidR="006B44FC" w:rsidRPr="00F265D5" w:rsidRDefault="006B44FC" w:rsidP="006B44FC">
            <w:pPr>
              <w:jc w:val="center"/>
              <w:rPr>
                <w:rFonts w:ascii="Verdana" w:hAnsi="Verdana"/>
                <w:color w:val="2F5496" w:themeColor="accent1" w:themeShade="BF"/>
                <w:sz w:val="18"/>
                <w:szCs w:val="18"/>
              </w:rPr>
            </w:pPr>
          </w:p>
        </w:tc>
      </w:tr>
      <w:tr w:rsidR="006B44FC" w:rsidRPr="00F265D5" w14:paraId="59672985" w14:textId="6B3B0223" w:rsidTr="00F73492">
        <w:trPr>
          <w:trHeight w:val="340"/>
          <w:jc w:val="center"/>
        </w:trPr>
        <w:tc>
          <w:tcPr>
            <w:tcW w:w="955" w:type="dxa"/>
            <w:vMerge w:val="restart"/>
            <w:tcBorders>
              <w:top w:val="single" w:sz="4" w:space="0" w:color="2F5496" w:themeColor="accent1" w:themeShade="BF"/>
              <w:bottom w:val="nil"/>
            </w:tcBorders>
            <w:vAlign w:val="center"/>
          </w:tcPr>
          <w:p w14:paraId="1DBF908F" w14:textId="77777777" w:rsidR="006B44FC" w:rsidRPr="00F265D5" w:rsidRDefault="006B44FC" w:rsidP="006B44FC">
            <w:pPr>
              <w:rPr>
                <w:rFonts w:ascii="Verdana" w:eastAsia="Malgun Gothic" w:hAnsi="Verdana" w:cs="Arial"/>
                <w:b/>
                <w:color w:val="2F5496" w:themeColor="accent1" w:themeShade="BF"/>
                <w:sz w:val="18"/>
                <w:szCs w:val="18"/>
                <w:lang w:val="el-GR"/>
              </w:rPr>
            </w:pPr>
            <w:r>
              <w:rPr>
                <w:rFonts w:ascii="Verdana" w:eastAsia="Malgun Gothic" w:hAnsi="Verdana" w:cs="Arial"/>
                <w:b/>
                <w:color w:val="2F5496" w:themeColor="accent1" w:themeShade="BF"/>
                <w:sz w:val="18"/>
                <w:szCs w:val="18"/>
                <w:lang w:val="el-GR"/>
              </w:rPr>
              <w:t>Κατά Ομάδα Ηλικίας</w:t>
            </w:r>
          </w:p>
        </w:tc>
        <w:tc>
          <w:tcPr>
            <w:tcW w:w="1019" w:type="dxa"/>
            <w:tcBorders>
              <w:top w:val="single" w:sz="4" w:space="0" w:color="2F5496" w:themeColor="accent1" w:themeShade="BF"/>
              <w:bottom w:val="nil"/>
            </w:tcBorders>
            <w:vAlign w:val="center"/>
          </w:tcPr>
          <w:p w14:paraId="5919759F" w14:textId="77777777" w:rsidR="006B44FC" w:rsidRPr="00B362A3" w:rsidRDefault="006B44FC" w:rsidP="006B44FC">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0-17</w:t>
            </w:r>
          </w:p>
        </w:tc>
        <w:tc>
          <w:tcPr>
            <w:tcW w:w="801" w:type="dxa"/>
            <w:tcBorders>
              <w:top w:val="single" w:sz="4" w:space="0" w:color="2F5496" w:themeColor="accent1" w:themeShade="BF"/>
              <w:bottom w:val="nil"/>
            </w:tcBorders>
            <w:vAlign w:val="center"/>
          </w:tcPr>
          <w:p w14:paraId="40C22D07"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10,4</w:t>
            </w:r>
          </w:p>
        </w:tc>
        <w:tc>
          <w:tcPr>
            <w:tcW w:w="802" w:type="dxa"/>
            <w:tcBorders>
              <w:top w:val="single" w:sz="4" w:space="0" w:color="2F5496" w:themeColor="accent1" w:themeShade="BF"/>
              <w:bottom w:val="nil"/>
            </w:tcBorders>
            <w:vAlign w:val="center"/>
          </w:tcPr>
          <w:p w14:paraId="74463E55"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9,5</w:t>
            </w:r>
          </w:p>
        </w:tc>
        <w:tc>
          <w:tcPr>
            <w:tcW w:w="802" w:type="dxa"/>
            <w:tcBorders>
              <w:top w:val="single" w:sz="4" w:space="0" w:color="2F5496" w:themeColor="accent1" w:themeShade="BF"/>
              <w:bottom w:val="nil"/>
            </w:tcBorders>
            <w:vAlign w:val="center"/>
          </w:tcPr>
          <w:p w14:paraId="45D22615"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8,0</w:t>
            </w:r>
          </w:p>
        </w:tc>
        <w:tc>
          <w:tcPr>
            <w:tcW w:w="802" w:type="dxa"/>
            <w:tcBorders>
              <w:top w:val="single" w:sz="4" w:space="0" w:color="2F5496" w:themeColor="accent1" w:themeShade="BF"/>
              <w:bottom w:val="nil"/>
            </w:tcBorders>
            <w:vAlign w:val="center"/>
          </w:tcPr>
          <w:p w14:paraId="2A0BE05A"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5,9</w:t>
            </w:r>
          </w:p>
        </w:tc>
        <w:tc>
          <w:tcPr>
            <w:tcW w:w="802" w:type="dxa"/>
            <w:tcBorders>
              <w:top w:val="single" w:sz="4" w:space="0" w:color="2F5496" w:themeColor="accent1" w:themeShade="BF"/>
              <w:bottom w:val="nil"/>
            </w:tcBorders>
            <w:vAlign w:val="center"/>
          </w:tcPr>
          <w:p w14:paraId="24AAA5AD"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5,8</w:t>
            </w:r>
          </w:p>
        </w:tc>
        <w:tc>
          <w:tcPr>
            <w:tcW w:w="802" w:type="dxa"/>
            <w:tcBorders>
              <w:top w:val="single" w:sz="4" w:space="0" w:color="2F5496" w:themeColor="accent1" w:themeShade="BF"/>
              <w:bottom w:val="nil"/>
            </w:tcBorders>
            <w:vAlign w:val="center"/>
          </w:tcPr>
          <w:p w14:paraId="41A2B48A"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6,4</w:t>
            </w:r>
          </w:p>
        </w:tc>
        <w:tc>
          <w:tcPr>
            <w:tcW w:w="802" w:type="dxa"/>
            <w:tcBorders>
              <w:top w:val="single" w:sz="4" w:space="0" w:color="2F5496" w:themeColor="accent1" w:themeShade="BF"/>
              <w:bottom w:val="nil"/>
            </w:tcBorders>
            <w:vAlign w:val="center"/>
          </w:tcPr>
          <w:p w14:paraId="19F4F20B"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4,2</w:t>
            </w:r>
          </w:p>
        </w:tc>
        <w:tc>
          <w:tcPr>
            <w:tcW w:w="802" w:type="dxa"/>
            <w:tcBorders>
              <w:top w:val="single" w:sz="4" w:space="0" w:color="2F5496" w:themeColor="accent1" w:themeShade="BF"/>
              <w:bottom w:val="nil"/>
            </w:tcBorders>
            <w:vAlign w:val="center"/>
          </w:tcPr>
          <w:p w14:paraId="64F656A7" w14:textId="654415D2"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4,4</w:t>
            </w:r>
          </w:p>
        </w:tc>
        <w:tc>
          <w:tcPr>
            <w:tcW w:w="728" w:type="dxa"/>
            <w:tcBorders>
              <w:top w:val="single" w:sz="4" w:space="0" w:color="2F5496" w:themeColor="accent1" w:themeShade="BF"/>
              <w:bottom w:val="nil"/>
            </w:tcBorders>
            <w:vAlign w:val="center"/>
          </w:tcPr>
          <w:p w14:paraId="51CDF578" w14:textId="11CA2CC5" w:rsidR="006B44FC" w:rsidRPr="00F73492" w:rsidRDefault="006B44FC" w:rsidP="00F73492">
            <w:pPr>
              <w:ind w:right="113"/>
              <w:jc w:val="right"/>
              <w:rPr>
                <w:rFonts w:ascii="Verdana" w:hAnsi="Verdana"/>
                <w:color w:val="2F5496" w:themeColor="accent1" w:themeShade="BF"/>
                <w:sz w:val="18"/>
                <w:szCs w:val="18"/>
              </w:rPr>
            </w:pPr>
            <w:r w:rsidRPr="00F73492">
              <w:rPr>
                <w:rFonts w:ascii="Verdana" w:hAnsi="Verdana"/>
                <w:color w:val="2F5496" w:themeColor="accent1" w:themeShade="BF"/>
                <w:sz w:val="18"/>
                <w:szCs w:val="18"/>
              </w:rPr>
              <w:t>2,8</w:t>
            </w:r>
          </w:p>
        </w:tc>
        <w:tc>
          <w:tcPr>
            <w:tcW w:w="471" w:type="dxa"/>
            <w:tcBorders>
              <w:top w:val="single" w:sz="4" w:space="0" w:color="2F5496" w:themeColor="accent1" w:themeShade="BF"/>
              <w:bottom w:val="nil"/>
            </w:tcBorders>
          </w:tcPr>
          <w:p w14:paraId="654EE711" w14:textId="77777777" w:rsidR="006B44FC" w:rsidRPr="00F265D5" w:rsidRDefault="006B44FC" w:rsidP="006B44FC">
            <w:pPr>
              <w:jc w:val="center"/>
              <w:rPr>
                <w:rFonts w:ascii="Verdana" w:hAnsi="Verdana"/>
                <w:color w:val="2F5496" w:themeColor="accent1" w:themeShade="BF"/>
                <w:sz w:val="18"/>
                <w:szCs w:val="18"/>
              </w:rPr>
            </w:pPr>
          </w:p>
        </w:tc>
      </w:tr>
      <w:tr w:rsidR="006B44FC" w:rsidRPr="00F265D5" w14:paraId="765C4229" w14:textId="1F03554A" w:rsidTr="00F73492">
        <w:trPr>
          <w:trHeight w:val="340"/>
          <w:jc w:val="center"/>
        </w:trPr>
        <w:tc>
          <w:tcPr>
            <w:tcW w:w="955" w:type="dxa"/>
            <w:vMerge/>
            <w:tcBorders>
              <w:top w:val="nil"/>
              <w:bottom w:val="nil"/>
            </w:tcBorders>
            <w:vAlign w:val="center"/>
          </w:tcPr>
          <w:p w14:paraId="65B0BFE3" w14:textId="77777777" w:rsidR="006B44FC" w:rsidRPr="00F265D5" w:rsidRDefault="006B44FC" w:rsidP="006B44FC">
            <w:pPr>
              <w:rPr>
                <w:rFonts w:ascii="Verdana" w:eastAsia="Malgun Gothic" w:hAnsi="Verdana" w:cs="Arial"/>
                <w:b/>
                <w:color w:val="2F5496" w:themeColor="accent1" w:themeShade="BF"/>
                <w:sz w:val="18"/>
                <w:szCs w:val="18"/>
                <w:lang w:val="el-GR"/>
              </w:rPr>
            </w:pPr>
          </w:p>
        </w:tc>
        <w:tc>
          <w:tcPr>
            <w:tcW w:w="1019" w:type="dxa"/>
            <w:tcBorders>
              <w:top w:val="nil"/>
              <w:bottom w:val="nil"/>
            </w:tcBorders>
            <w:vAlign w:val="center"/>
          </w:tcPr>
          <w:p w14:paraId="48BE48DF" w14:textId="77777777" w:rsidR="006B44FC" w:rsidRPr="00B362A3" w:rsidRDefault="006B44FC" w:rsidP="006B44FC">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18-64</w:t>
            </w:r>
          </w:p>
        </w:tc>
        <w:tc>
          <w:tcPr>
            <w:tcW w:w="801" w:type="dxa"/>
            <w:tcBorders>
              <w:top w:val="nil"/>
              <w:bottom w:val="nil"/>
            </w:tcBorders>
            <w:vAlign w:val="center"/>
          </w:tcPr>
          <w:p w14:paraId="46FE71F2"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8,2</w:t>
            </w:r>
          </w:p>
        </w:tc>
        <w:tc>
          <w:tcPr>
            <w:tcW w:w="802" w:type="dxa"/>
            <w:tcBorders>
              <w:top w:val="nil"/>
              <w:bottom w:val="nil"/>
            </w:tcBorders>
            <w:vAlign w:val="center"/>
          </w:tcPr>
          <w:p w14:paraId="2A663013"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6,5</w:t>
            </w:r>
          </w:p>
        </w:tc>
        <w:tc>
          <w:tcPr>
            <w:tcW w:w="802" w:type="dxa"/>
            <w:tcBorders>
              <w:top w:val="nil"/>
              <w:bottom w:val="nil"/>
            </w:tcBorders>
            <w:vAlign w:val="center"/>
          </w:tcPr>
          <w:p w14:paraId="2D4F169B"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6,4</w:t>
            </w:r>
          </w:p>
        </w:tc>
        <w:tc>
          <w:tcPr>
            <w:tcW w:w="802" w:type="dxa"/>
            <w:tcBorders>
              <w:top w:val="nil"/>
              <w:bottom w:val="nil"/>
            </w:tcBorders>
            <w:vAlign w:val="center"/>
          </w:tcPr>
          <w:p w14:paraId="4E22F9A5"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3,9</w:t>
            </w:r>
          </w:p>
        </w:tc>
        <w:tc>
          <w:tcPr>
            <w:tcW w:w="802" w:type="dxa"/>
            <w:tcBorders>
              <w:top w:val="nil"/>
              <w:bottom w:val="nil"/>
            </w:tcBorders>
            <w:vAlign w:val="center"/>
          </w:tcPr>
          <w:p w14:paraId="2ED017C4"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3,0</w:t>
            </w:r>
          </w:p>
        </w:tc>
        <w:tc>
          <w:tcPr>
            <w:tcW w:w="802" w:type="dxa"/>
            <w:tcBorders>
              <w:top w:val="nil"/>
              <w:bottom w:val="nil"/>
            </w:tcBorders>
            <w:vAlign w:val="center"/>
          </w:tcPr>
          <w:p w14:paraId="002C9878"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2,8</w:t>
            </w:r>
          </w:p>
        </w:tc>
        <w:tc>
          <w:tcPr>
            <w:tcW w:w="802" w:type="dxa"/>
            <w:tcBorders>
              <w:top w:val="nil"/>
              <w:bottom w:val="nil"/>
            </w:tcBorders>
            <w:vAlign w:val="center"/>
          </w:tcPr>
          <w:p w14:paraId="49E1D40A"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2,4</w:t>
            </w:r>
          </w:p>
        </w:tc>
        <w:tc>
          <w:tcPr>
            <w:tcW w:w="802" w:type="dxa"/>
            <w:tcBorders>
              <w:top w:val="nil"/>
              <w:bottom w:val="nil"/>
            </w:tcBorders>
            <w:vAlign w:val="center"/>
          </w:tcPr>
          <w:p w14:paraId="7790500F" w14:textId="030A3F99"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2,7</w:t>
            </w:r>
          </w:p>
        </w:tc>
        <w:tc>
          <w:tcPr>
            <w:tcW w:w="728" w:type="dxa"/>
            <w:tcBorders>
              <w:top w:val="nil"/>
              <w:bottom w:val="nil"/>
            </w:tcBorders>
            <w:vAlign w:val="center"/>
          </w:tcPr>
          <w:p w14:paraId="5DEBB0C0" w14:textId="5CD21A6F"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w:t>
            </w:r>
            <w:r w:rsidRPr="00F73492">
              <w:rPr>
                <w:rFonts w:ascii="Verdana" w:hAnsi="Verdana"/>
                <w:color w:val="2F5496" w:themeColor="accent1" w:themeShade="BF"/>
                <w:sz w:val="18"/>
                <w:szCs w:val="18"/>
              </w:rPr>
              <w:t>4</w:t>
            </w:r>
          </w:p>
        </w:tc>
        <w:tc>
          <w:tcPr>
            <w:tcW w:w="471" w:type="dxa"/>
            <w:tcBorders>
              <w:top w:val="nil"/>
              <w:bottom w:val="nil"/>
            </w:tcBorders>
          </w:tcPr>
          <w:p w14:paraId="35E8B0C8" w14:textId="77777777" w:rsidR="006B44FC" w:rsidRPr="00F265D5" w:rsidRDefault="006B44FC" w:rsidP="006B44FC">
            <w:pPr>
              <w:jc w:val="center"/>
              <w:rPr>
                <w:rFonts w:ascii="Verdana" w:hAnsi="Verdana"/>
                <w:color w:val="2F5496" w:themeColor="accent1" w:themeShade="BF"/>
                <w:sz w:val="18"/>
                <w:szCs w:val="18"/>
              </w:rPr>
            </w:pPr>
          </w:p>
        </w:tc>
      </w:tr>
      <w:tr w:rsidR="006B44FC" w:rsidRPr="00F265D5" w14:paraId="21BCE445" w14:textId="3AD2CC3D" w:rsidTr="00F73492">
        <w:trPr>
          <w:trHeight w:val="340"/>
          <w:jc w:val="center"/>
        </w:trPr>
        <w:tc>
          <w:tcPr>
            <w:tcW w:w="955" w:type="dxa"/>
            <w:vMerge/>
            <w:tcBorders>
              <w:top w:val="nil"/>
              <w:bottom w:val="single" w:sz="4" w:space="0" w:color="2F5496" w:themeColor="accent1" w:themeShade="BF"/>
            </w:tcBorders>
            <w:vAlign w:val="center"/>
          </w:tcPr>
          <w:p w14:paraId="4C6322B1" w14:textId="77777777" w:rsidR="006B44FC" w:rsidRPr="00F265D5" w:rsidRDefault="006B44FC" w:rsidP="006B44FC">
            <w:pPr>
              <w:rPr>
                <w:rFonts w:ascii="Verdana" w:eastAsia="Malgun Gothic" w:hAnsi="Verdana" w:cs="Arial"/>
                <w:b/>
                <w:color w:val="2F5496" w:themeColor="accent1" w:themeShade="BF"/>
                <w:sz w:val="18"/>
                <w:szCs w:val="18"/>
                <w:lang w:val="el-GR"/>
              </w:rPr>
            </w:pPr>
          </w:p>
        </w:tc>
        <w:tc>
          <w:tcPr>
            <w:tcW w:w="1019" w:type="dxa"/>
            <w:tcBorders>
              <w:top w:val="nil"/>
              <w:bottom w:val="single" w:sz="4" w:space="0" w:color="2F5496" w:themeColor="accent1" w:themeShade="BF"/>
            </w:tcBorders>
            <w:vAlign w:val="center"/>
          </w:tcPr>
          <w:p w14:paraId="1236CDA0" w14:textId="77777777" w:rsidR="006B44FC" w:rsidRPr="00B362A3" w:rsidRDefault="006B44FC" w:rsidP="006B44FC">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65+</w:t>
            </w:r>
          </w:p>
        </w:tc>
        <w:tc>
          <w:tcPr>
            <w:tcW w:w="801" w:type="dxa"/>
            <w:tcBorders>
              <w:top w:val="nil"/>
              <w:bottom w:val="single" w:sz="4" w:space="0" w:color="2F5496" w:themeColor="accent1" w:themeShade="BF"/>
            </w:tcBorders>
            <w:vAlign w:val="center"/>
          </w:tcPr>
          <w:p w14:paraId="5B7B2720"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1,9</w:t>
            </w:r>
          </w:p>
        </w:tc>
        <w:tc>
          <w:tcPr>
            <w:tcW w:w="802" w:type="dxa"/>
            <w:tcBorders>
              <w:top w:val="nil"/>
              <w:bottom w:val="single" w:sz="4" w:space="0" w:color="2F5496" w:themeColor="accent1" w:themeShade="BF"/>
            </w:tcBorders>
            <w:vAlign w:val="center"/>
          </w:tcPr>
          <w:p w14:paraId="1E98D2B7"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2,4</w:t>
            </w:r>
          </w:p>
        </w:tc>
        <w:tc>
          <w:tcPr>
            <w:tcW w:w="802" w:type="dxa"/>
            <w:tcBorders>
              <w:top w:val="nil"/>
              <w:bottom w:val="single" w:sz="4" w:space="0" w:color="2F5496" w:themeColor="accent1" w:themeShade="BF"/>
            </w:tcBorders>
            <w:vAlign w:val="center"/>
          </w:tcPr>
          <w:p w14:paraId="67D87305"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2,2</w:t>
            </w:r>
          </w:p>
        </w:tc>
        <w:tc>
          <w:tcPr>
            <w:tcW w:w="802" w:type="dxa"/>
            <w:tcBorders>
              <w:top w:val="nil"/>
              <w:bottom w:val="single" w:sz="4" w:space="0" w:color="2F5496" w:themeColor="accent1" w:themeShade="BF"/>
            </w:tcBorders>
            <w:vAlign w:val="center"/>
          </w:tcPr>
          <w:p w14:paraId="75C17E06"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0,5</w:t>
            </w:r>
          </w:p>
        </w:tc>
        <w:tc>
          <w:tcPr>
            <w:tcW w:w="802" w:type="dxa"/>
            <w:tcBorders>
              <w:top w:val="nil"/>
              <w:bottom w:val="single" w:sz="4" w:space="0" w:color="2F5496" w:themeColor="accent1" w:themeShade="BF"/>
            </w:tcBorders>
            <w:vAlign w:val="center"/>
          </w:tcPr>
          <w:p w14:paraId="1B0CAC03"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0,8</w:t>
            </w:r>
          </w:p>
        </w:tc>
        <w:tc>
          <w:tcPr>
            <w:tcW w:w="802" w:type="dxa"/>
            <w:tcBorders>
              <w:top w:val="nil"/>
              <w:bottom w:val="single" w:sz="4" w:space="0" w:color="2F5496" w:themeColor="accent1" w:themeShade="BF"/>
            </w:tcBorders>
            <w:vAlign w:val="center"/>
          </w:tcPr>
          <w:p w14:paraId="502F9E12"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0,8</w:t>
            </w:r>
          </w:p>
        </w:tc>
        <w:tc>
          <w:tcPr>
            <w:tcW w:w="802" w:type="dxa"/>
            <w:tcBorders>
              <w:top w:val="nil"/>
              <w:bottom w:val="single" w:sz="4" w:space="0" w:color="2F5496" w:themeColor="accent1" w:themeShade="BF"/>
            </w:tcBorders>
            <w:vAlign w:val="center"/>
          </w:tcPr>
          <w:p w14:paraId="4DCFEE1B" w14:textId="77777777"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1,1</w:t>
            </w:r>
          </w:p>
        </w:tc>
        <w:tc>
          <w:tcPr>
            <w:tcW w:w="802" w:type="dxa"/>
            <w:tcBorders>
              <w:top w:val="nil"/>
              <w:bottom w:val="single" w:sz="4" w:space="0" w:color="2F5496" w:themeColor="accent1" w:themeShade="BF"/>
            </w:tcBorders>
            <w:vAlign w:val="center"/>
          </w:tcPr>
          <w:p w14:paraId="3CEE6C48" w14:textId="36B4246C" w:rsidR="006B44FC" w:rsidRPr="00F73492" w:rsidRDefault="006B44FC" w:rsidP="00F73492">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0,9</w:t>
            </w:r>
          </w:p>
        </w:tc>
        <w:tc>
          <w:tcPr>
            <w:tcW w:w="728" w:type="dxa"/>
            <w:tcBorders>
              <w:top w:val="nil"/>
              <w:bottom w:val="single" w:sz="4" w:space="0" w:color="2F5496" w:themeColor="accent1" w:themeShade="BF"/>
            </w:tcBorders>
            <w:vAlign w:val="center"/>
          </w:tcPr>
          <w:p w14:paraId="43F202FF" w14:textId="3951ACEB" w:rsidR="006B44FC" w:rsidRPr="00F265D5" w:rsidRDefault="006B44FC" w:rsidP="00F73492">
            <w:pPr>
              <w:ind w:right="113"/>
              <w:jc w:val="right"/>
              <w:rPr>
                <w:rFonts w:ascii="Verdana" w:hAnsi="Verdana"/>
                <w:color w:val="2F5496" w:themeColor="accent1" w:themeShade="BF"/>
                <w:sz w:val="18"/>
                <w:szCs w:val="18"/>
              </w:rPr>
            </w:pPr>
            <w:r w:rsidRPr="00F73492">
              <w:rPr>
                <w:rFonts w:ascii="Verdana" w:hAnsi="Verdana"/>
                <w:color w:val="2F5496" w:themeColor="accent1" w:themeShade="BF"/>
                <w:sz w:val="18"/>
                <w:szCs w:val="18"/>
              </w:rPr>
              <w:t>1</w:t>
            </w:r>
            <w:r w:rsidRPr="00F265D5">
              <w:rPr>
                <w:rFonts w:ascii="Verdana" w:hAnsi="Verdana"/>
                <w:color w:val="2F5496" w:themeColor="accent1" w:themeShade="BF"/>
                <w:sz w:val="18"/>
                <w:szCs w:val="18"/>
              </w:rPr>
              <w:t>,9</w:t>
            </w:r>
          </w:p>
        </w:tc>
        <w:tc>
          <w:tcPr>
            <w:tcW w:w="471" w:type="dxa"/>
            <w:tcBorders>
              <w:top w:val="nil"/>
              <w:bottom w:val="single" w:sz="4" w:space="0" w:color="2F5496" w:themeColor="accent1" w:themeShade="BF"/>
            </w:tcBorders>
          </w:tcPr>
          <w:p w14:paraId="3669CB60" w14:textId="77777777" w:rsidR="006B44FC" w:rsidRPr="00F265D5" w:rsidRDefault="006B44FC" w:rsidP="006B44FC">
            <w:pPr>
              <w:jc w:val="center"/>
              <w:rPr>
                <w:rFonts w:ascii="Verdana" w:hAnsi="Verdana"/>
                <w:color w:val="2F5496" w:themeColor="accent1" w:themeShade="BF"/>
                <w:sz w:val="18"/>
                <w:szCs w:val="18"/>
              </w:rPr>
            </w:pPr>
          </w:p>
        </w:tc>
      </w:tr>
      <w:bookmarkEnd w:id="2"/>
    </w:tbl>
    <w:p w14:paraId="668DE3EF" w14:textId="77777777" w:rsidR="00113CE5" w:rsidRPr="00B362A3" w:rsidRDefault="00113CE5" w:rsidP="00113CE5">
      <w:pPr>
        <w:jc w:val="both"/>
        <w:rPr>
          <w:rFonts w:ascii="Verdana" w:eastAsia="Malgun Gothic" w:hAnsi="Verdana" w:cs="Arial"/>
          <w:bCs/>
          <w:sz w:val="18"/>
          <w:szCs w:val="18"/>
          <w:lang w:val="el-GR"/>
        </w:rPr>
      </w:pPr>
    </w:p>
    <w:p w14:paraId="6C6E42DB" w14:textId="77777777" w:rsidR="00113CE5" w:rsidRPr="00B362A3" w:rsidRDefault="00113CE5" w:rsidP="00113CE5">
      <w:pPr>
        <w:jc w:val="both"/>
        <w:rPr>
          <w:rFonts w:ascii="Verdana" w:eastAsia="Malgun Gothic" w:hAnsi="Verdana" w:cs="Arial"/>
          <w:bCs/>
          <w:sz w:val="18"/>
          <w:szCs w:val="18"/>
          <w:lang w:val="el-GR"/>
        </w:rPr>
      </w:pPr>
    </w:p>
    <w:p w14:paraId="5D07AF23" w14:textId="77777777" w:rsidR="00113CE5" w:rsidRPr="00B362A3" w:rsidRDefault="00113CE5" w:rsidP="00113CE5">
      <w:pPr>
        <w:rPr>
          <w:rFonts w:ascii="Verdana" w:eastAsia="Malgun Gothic" w:hAnsi="Verdana" w:cs="Arial"/>
          <w:bCs/>
          <w:sz w:val="18"/>
          <w:szCs w:val="18"/>
          <w:lang w:val="el-G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865"/>
        <w:gridCol w:w="863"/>
        <w:gridCol w:w="863"/>
        <w:gridCol w:w="864"/>
        <w:gridCol w:w="863"/>
        <w:gridCol w:w="863"/>
        <w:gridCol w:w="863"/>
        <w:gridCol w:w="864"/>
        <w:gridCol w:w="738"/>
      </w:tblGrid>
      <w:tr w:rsidR="009B41CC" w:rsidRPr="00330CAD" w14:paraId="799E41B5" w14:textId="28A8F777" w:rsidTr="001B5658">
        <w:trPr>
          <w:trHeight w:val="284"/>
          <w:jc w:val="center"/>
        </w:trPr>
        <w:tc>
          <w:tcPr>
            <w:tcW w:w="1944" w:type="dxa"/>
            <w:tcBorders>
              <w:bottom w:val="single" w:sz="4" w:space="0" w:color="2F5496" w:themeColor="accent1" w:themeShade="BF"/>
            </w:tcBorders>
            <w:shd w:val="clear" w:color="auto" w:fill="auto"/>
            <w:vAlign w:val="center"/>
          </w:tcPr>
          <w:p w14:paraId="0AD6BAFE" w14:textId="67850253" w:rsidR="009B41CC" w:rsidRPr="00F265D5" w:rsidRDefault="009B41CC" w:rsidP="0077172F">
            <w:pPr>
              <w:rPr>
                <w:rFonts w:ascii="Verdana" w:hAnsi="Verdana"/>
                <w:b/>
                <w:color w:val="2F5496" w:themeColor="accent1" w:themeShade="BF"/>
                <w:sz w:val="18"/>
                <w:szCs w:val="18"/>
                <w:lang w:val="el-GR"/>
              </w:rPr>
            </w:pPr>
            <w:r w:rsidRPr="009B41CC">
              <w:rPr>
                <w:rFonts w:ascii="Verdana" w:hAnsi="Verdana"/>
                <w:b/>
                <w:color w:val="2F5496" w:themeColor="accent1" w:themeShade="BF"/>
                <w:sz w:val="18"/>
                <w:szCs w:val="18"/>
                <w:lang w:val="el-GR"/>
              </w:rPr>
              <w:t>Π</w:t>
            </w:r>
            <w:r>
              <w:rPr>
                <w:rFonts w:ascii="Verdana" w:hAnsi="Verdana"/>
                <w:b/>
                <w:color w:val="2F5496" w:themeColor="accent1" w:themeShade="BF"/>
                <w:sz w:val="18"/>
                <w:szCs w:val="18"/>
                <w:lang w:val="el-GR"/>
              </w:rPr>
              <w:t>ίνα</w:t>
            </w:r>
            <w:r w:rsidRPr="009B41CC">
              <w:rPr>
                <w:rFonts w:ascii="Verdana" w:hAnsi="Verdana"/>
                <w:b/>
                <w:color w:val="2F5496" w:themeColor="accent1" w:themeShade="BF"/>
                <w:sz w:val="18"/>
                <w:szCs w:val="18"/>
                <w:lang w:val="el-GR"/>
              </w:rPr>
              <w:t>κας 2</w:t>
            </w:r>
            <w:r>
              <w:rPr>
                <w:rFonts w:ascii="Verdana" w:hAnsi="Verdana"/>
                <w:b/>
                <w:color w:val="2F5496" w:themeColor="accent1" w:themeShade="BF"/>
                <w:sz w:val="18"/>
                <w:szCs w:val="18"/>
                <w:lang w:val="el-GR"/>
              </w:rPr>
              <w:t xml:space="preserve"> </w:t>
            </w:r>
          </w:p>
        </w:tc>
        <w:tc>
          <w:tcPr>
            <w:tcW w:w="866" w:type="dxa"/>
            <w:tcBorders>
              <w:bottom w:val="single" w:sz="4" w:space="0" w:color="2F5496" w:themeColor="accent1" w:themeShade="BF"/>
            </w:tcBorders>
            <w:shd w:val="clear" w:color="auto" w:fill="auto"/>
            <w:vAlign w:val="center"/>
          </w:tcPr>
          <w:p w14:paraId="6AD05D9D" w14:textId="77777777" w:rsidR="009B41CC" w:rsidRPr="00330CAD" w:rsidRDefault="009B41CC" w:rsidP="0077172F">
            <w:pPr>
              <w:jc w:val="center"/>
              <w:rPr>
                <w:rFonts w:ascii="Verdana" w:hAnsi="Verdana"/>
                <w:b/>
                <w:color w:val="2F5496" w:themeColor="accent1" w:themeShade="BF"/>
                <w:sz w:val="18"/>
                <w:szCs w:val="18"/>
                <w:lang w:val="el-GR"/>
              </w:rPr>
            </w:pPr>
          </w:p>
        </w:tc>
        <w:tc>
          <w:tcPr>
            <w:tcW w:w="864" w:type="dxa"/>
            <w:tcBorders>
              <w:bottom w:val="single" w:sz="4" w:space="0" w:color="2F5496" w:themeColor="accent1" w:themeShade="BF"/>
            </w:tcBorders>
            <w:shd w:val="clear" w:color="auto" w:fill="auto"/>
            <w:vAlign w:val="center"/>
          </w:tcPr>
          <w:p w14:paraId="56A44AD7" w14:textId="77777777" w:rsidR="009B41CC" w:rsidRPr="00330CAD" w:rsidRDefault="009B41CC" w:rsidP="0077172F">
            <w:pPr>
              <w:jc w:val="center"/>
              <w:rPr>
                <w:rFonts w:ascii="Verdana" w:hAnsi="Verdana"/>
                <w:b/>
                <w:color w:val="2F5496" w:themeColor="accent1" w:themeShade="BF"/>
                <w:sz w:val="18"/>
                <w:szCs w:val="18"/>
                <w:lang w:val="el-GR"/>
              </w:rPr>
            </w:pPr>
          </w:p>
        </w:tc>
        <w:tc>
          <w:tcPr>
            <w:tcW w:w="864" w:type="dxa"/>
            <w:tcBorders>
              <w:bottom w:val="single" w:sz="4" w:space="0" w:color="2F5496" w:themeColor="accent1" w:themeShade="BF"/>
            </w:tcBorders>
            <w:shd w:val="clear" w:color="auto" w:fill="auto"/>
            <w:vAlign w:val="center"/>
          </w:tcPr>
          <w:p w14:paraId="77D80F37" w14:textId="77777777" w:rsidR="009B41CC" w:rsidRPr="00330CAD" w:rsidRDefault="009B41CC" w:rsidP="0077172F">
            <w:pPr>
              <w:jc w:val="center"/>
              <w:rPr>
                <w:rFonts w:ascii="Verdana" w:hAnsi="Verdana"/>
                <w:b/>
                <w:color w:val="2F5496" w:themeColor="accent1" w:themeShade="BF"/>
                <w:sz w:val="18"/>
                <w:szCs w:val="18"/>
                <w:lang w:val="el-GR"/>
              </w:rPr>
            </w:pPr>
          </w:p>
        </w:tc>
        <w:tc>
          <w:tcPr>
            <w:tcW w:w="865" w:type="dxa"/>
            <w:tcBorders>
              <w:bottom w:val="single" w:sz="4" w:space="0" w:color="2F5496" w:themeColor="accent1" w:themeShade="BF"/>
            </w:tcBorders>
            <w:shd w:val="clear" w:color="auto" w:fill="auto"/>
            <w:vAlign w:val="center"/>
          </w:tcPr>
          <w:p w14:paraId="36CCAD83" w14:textId="77777777" w:rsidR="009B41CC" w:rsidRPr="00330CAD" w:rsidRDefault="009B41CC" w:rsidP="0077172F">
            <w:pPr>
              <w:jc w:val="center"/>
              <w:rPr>
                <w:rFonts w:ascii="Verdana" w:hAnsi="Verdana"/>
                <w:b/>
                <w:color w:val="2F5496" w:themeColor="accent1" w:themeShade="BF"/>
                <w:sz w:val="18"/>
                <w:szCs w:val="18"/>
                <w:lang w:val="el-GR"/>
              </w:rPr>
            </w:pPr>
          </w:p>
        </w:tc>
        <w:tc>
          <w:tcPr>
            <w:tcW w:w="864" w:type="dxa"/>
            <w:tcBorders>
              <w:bottom w:val="single" w:sz="4" w:space="0" w:color="2F5496" w:themeColor="accent1" w:themeShade="BF"/>
            </w:tcBorders>
            <w:shd w:val="clear" w:color="auto" w:fill="auto"/>
            <w:vAlign w:val="center"/>
          </w:tcPr>
          <w:p w14:paraId="6529503B" w14:textId="77777777" w:rsidR="009B41CC" w:rsidRPr="00330CAD" w:rsidRDefault="009B41CC" w:rsidP="0077172F">
            <w:pPr>
              <w:jc w:val="center"/>
              <w:rPr>
                <w:rFonts w:ascii="Verdana" w:hAnsi="Verdana"/>
                <w:b/>
                <w:color w:val="2F5496" w:themeColor="accent1" w:themeShade="BF"/>
                <w:sz w:val="18"/>
                <w:szCs w:val="18"/>
                <w:lang w:val="el-GR"/>
              </w:rPr>
            </w:pPr>
          </w:p>
        </w:tc>
        <w:tc>
          <w:tcPr>
            <w:tcW w:w="864" w:type="dxa"/>
            <w:tcBorders>
              <w:bottom w:val="single" w:sz="4" w:space="0" w:color="2F5496" w:themeColor="accent1" w:themeShade="BF"/>
            </w:tcBorders>
            <w:shd w:val="clear" w:color="auto" w:fill="auto"/>
            <w:vAlign w:val="center"/>
          </w:tcPr>
          <w:p w14:paraId="7CF7D8DF" w14:textId="77777777" w:rsidR="009B41CC" w:rsidRPr="00330CAD" w:rsidRDefault="009B41CC" w:rsidP="0077172F">
            <w:pPr>
              <w:jc w:val="center"/>
              <w:rPr>
                <w:rFonts w:ascii="Verdana" w:hAnsi="Verdana"/>
                <w:b/>
                <w:color w:val="2F5496" w:themeColor="accent1" w:themeShade="BF"/>
                <w:sz w:val="18"/>
                <w:szCs w:val="18"/>
                <w:lang w:val="el-GR"/>
              </w:rPr>
            </w:pPr>
          </w:p>
        </w:tc>
        <w:tc>
          <w:tcPr>
            <w:tcW w:w="864" w:type="dxa"/>
            <w:tcBorders>
              <w:bottom w:val="single" w:sz="4" w:space="0" w:color="2F5496" w:themeColor="accent1" w:themeShade="BF"/>
            </w:tcBorders>
            <w:shd w:val="clear" w:color="auto" w:fill="auto"/>
            <w:vAlign w:val="center"/>
          </w:tcPr>
          <w:p w14:paraId="4B47E35D" w14:textId="77777777" w:rsidR="009B41CC" w:rsidRPr="00330CAD" w:rsidRDefault="009B41CC" w:rsidP="0077172F">
            <w:pPr>
              <w:jc w:val="center"/>
              <w:rPr>
                <w:rFonts w:ascii="Verdana" w:hAnsi="Verdana"/>
                <w:b/>
                <w:color w:val="2F5496" w:themeColor="accent1" w:themeShade="BF"/>
                <w:sz w:val="18"/>
                <w:szCs w:val="18"/>
                <w:lang w:val="el-GR"/>
              </w:rPr>
            </w:pPr>
          </w:p>
        </w:tc>
        <w:tc>
          <w:tcPr>
            <w:tcW w:w="865" w:type="dxa"/>
            <w:tcBorders>
              <w:bottom w:val="single" w:sz="4" w:space="0" w:color="2F5496" w:themeColor="accent1" w:themeShade="BF"/>
            </w:tcBorders>
            <w:shd w:val="clear" w:color="auto" w:fill="auto"/>
            <w:vAlign w:val="center"/>
          </w:tcPr>
          <w:p w14:paraId="1FEA4679" w14:textId="77777777" w:rsidR="009B41CC" w:rsidRPr="00330CAD" w:rsidRDefault="009B41CC" w:rsidP="0077172F">
            <w:pPr>
              <w:jc w:val="center"/>
              <w:rPr>
                <w:rFonts w:ascii="Verdana" w:hAnsi="Verdana"/>
                <w:b/>
                <w:color w:val="2F5496" w:themeColor="accent1" w:themeShade="BF"/>
                <w:sz w:val="18"/>
                <w:szCs w:val="18"/>
                <w:lang w:val="el-GR"/>
              </w:rPr>
            </w:pPr>
          </w:p>
        </w:tc>
        <w:tc>
          <w:tcPr>
            <w:tcW w:w="728" w:type="dxa"/>
            <w:tcBorders>
              <w:bottom w:val="single" w:sz="4" w:space="0" w:color="2F5496" w:themeColor="accent1" w:themeShade="BF"/>
            </w:tcBorders>
            <w:shd w:val="clear" w:color="auto" w:fill="auto"/>
          </w:tcPr>
          <w:p w14:paraId="752A67F8" w14:textId="77777777" w:rsidR="009B41CC" w:rsidRPr="00330CAD" w:rsidRDefault="009B41CC" w:rsidP="0077172F">
            <w:pPr>
              <w:jc w:val="center"/>
              <w:rPr>
                <w:rFonts w:ascii="Verdana" w:hAnsi="Verdana"/>
                <w:b/>
                <w:color w:val="2F5496" w:themeColor="accent1" w:themeShade="BF"/>
                <w:sz w:val="18"/>
                <w:szCs w:val="18"/>
                <w:lang w:val="el-GR"/>
              </w:rPr>
            </w:pPr>
          </w:p>
        </w:tc>
      </w:tr>
      <w:tr w:rsidR="009B41CC" w:rsidRPr="00F265D5" w14:paraId="6E373705" w14:textId="76E389D4" w:rsidTr="001B5658">
        <w:trPr>
          <w:trHeight w:val="964"/>
          <w:jc w:val="center"/>
        </w:trPr>
        <w:tc>
          <w:tcPr>
            <w:tcW w:w="1944" w:type="dxa"/>
            <w:tcBorders>
              <w:top w:val="single" w:sz="4" w:space="0" w:color="2F5496" w:themeColor="accent1" w:themeShade="BF"/>
              <w:bottom w:val="single" w:sz="4" w:space="0" w:color="2F5496" w:themeColor="accent1" w:themeShade="BF"/>
            </w:tcBorders>
            <w:shd w:val="clear" w:color="auto" w:fill="auto"/>
            <w:tcMar>
              <w:left w:w="28" w:type="dxa"/>
              <w:right w:w="28" w:type="dxa"/>
            </w:tcMar>
            <w:vAlign w:val="center"/>
          </w:tcPr>
          <w:p w14:paraId="474BADF8" w14:textId="77777777" w:rsidR="009B41CC" w:rsidRPr="00F265D5" w:rsidRDefault="009B41CC" w:rsidP="00A0687C">
            <w:pP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lang w:val="el-GR"/>
              </w:rPr>
              <w:t xml:space="preserve">Σοβαρή Υλική και Κοινωνική Στέρηση κατά </w:t>
            </w:r>
            <w:r>
              <w:rPr>
                <w:rFonts w:ascii="Verdana" w:hAnsi="Verdana"/>
                <w:b/>
                <w:color w:val="2F5496" w:themeColor="accent1" w:themeShade="BF"/>
                <w:sz w:val="18"/>
                <w:szCs w:val="18"/>
                <w:lang w:val="el-GR"/>
              </w:rPr>
              <w:t>Χ</w:t>
            </w:r>
            <w:r w:rsidRPr="008F11B9">
              <w:rPr>
                <w:rFonts w:ascii="Verdana" w:hAnsi="Verdana"/>
                <w:b/>
                <w:color w:val="2F5496" w:themeColor="accent1" w:themeShade="BF"/>
                <w:sz w:val="18"/>
                <w:szCs w:val="18"/>
                <w:lang w:val="el-GR"/>
              </w:rPr>
              <w:t>ώρα της ΕΕ</w:t>
            </w:r>
          </w:p>
        </w:tc>
        <w:tc>
          <w:tcPr>
            <w:tcW w:w="866" w:type="dxa"/>
            <w:tcBorders>
              <w:top w:val="single" w:sz="4" w:space="0" w:color="2F5496" w:themeColor="accent1" w:themeShade="BF"/>
              <w:bottom w:val="single" w:sz="4" w:space="0" w:color="2F5496" w:themeColor="accent1" w:themeShade="BF"/>
            </w:tcBorders>
            <w:shd w:val="clear" w:color="auto" w:fill="auto"/>
            <w:vAlign w:val="center"/>
          </w:tcPr>
          <w:p w14:paraId="3D5DEE9E" w14:textId="77777777" w:rsidR="009B41CC" w:rsidRPr="00F265D5" w:rsidRDefault="009B41CC"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2015</w:t>
            </w:r>
          </w:p>
        </w:tc>
        <w:tc>
          <w:tcPr>
            <w:tcW w:w="864" w:type="dxa"/>
            <w:tcBorders>
              <w:top w:val="single" w:sz="4" w:space="0" w:color="2F5496" w:themeColor="accent1" w:themeShade="BF"/>
              <w:bottom w:val="single" w:sz="4" w:space="0" w:color="2F5496" w:themeColor="accent1" w:themeShade="BF"/>
            </w:tcBorders>
            <w:shd w:val="clear" w:color="auto" w:fill="auto"/>
            <w:vAlign w:val="center"/>
          </w:tcPr>
          <w:p w14:paraId="5797EFF9" w14:textId="77777777" w:rsidR="009B41CC" w:rsidRPr="00F265D5" w:rsidRDefault="009B41CC"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2016</w:t>
            </w:r>
          </w:p>
        </w:tc>
        <w:tc>
          <w:tcPr>
            <w:tcW w:w="864" w:type="dxa"/>
            <w:tcBorders>
              <w:top w:val="single" w:sz="4" w:space="0" w:color="2F5496" w:themeColor="accent1" w:themeShade="BF"/>
              <w:bottom w:val="single" w:sz="4" w:space="0" w:color="2F5496" w:themeColor="accent1" w:themeShade="BF"/>
            </w:tcBorders>
            <w:shd w:val="clear" w:color="auto" w:fill="auto"/>
            <w:vAlign w:val="center"/>
          </w:tcPr>
          <w:p w14:paraId="7ADE15B8" w14:textId="77777777" w:rsidR="009B41CC" w:rsidRPr="00F265D5" w:rsidRDefault="009B41CC"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2017</w:t>
            </w:r>
          </w:p>
        </w:tc>
        <w:tc>
          <w:tcPr>
            <w:tcW w:w="865" w:type="dxa"/>
            <w:tcBorders>
              <w:top w:val="single" w:sz="4" w:space="0" w:color="2F5496" w:themeColor="accent1" w:themeShade="BF"/>
              <w:bottom w:val="single" w:sz="4" w:space="0" w:color="2F5496" w:themeColor="accent1" w:themeShade="BF"/>
            </w:tcBorders>
            <w:shd w:val="clear" w:color="auto" w:fill="auto"/>
            <w:vAlign w:val="center"/>
          </w:tcPr>
          <w:p w14:paraId="34F4341F" w14:textId="77777777" w:rsidR="009B41CC" w:rsidRPr="00F265D5" w:rsidRDefault="009B41CC"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2018</w:t>
            </w:r>
          </w:p>
        </w:tc>
        <w:tc>
          <w:tcPr>
            <w:tcW w:w="864" w:type="dxa"/>
            <w:tcBorders>
              <w:top w:val="single" w:sz="4" w:space="0" w:color="2F5496" w:themeColor="accent1" w:themeShade="BF"/>
              <w:bottom w:val="single" w:sz="4" w:space="0" w:color="2F5496" w:themeColor="accent1" w:themeShade="BF"/>
            </w:tcBorders>
            <w:shd w:val="clear" w:color="auto" w:fill="auto"/>
            <w:vAlign w:val="center"/>
          </w:tcPr>
          <w:p w14:paraId="178061E8" w14:textId="77777777" w:rsidR="009B41CC" w:rsidRPr="00F265D5" w:rsidRDefault="009B41CC"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2019</w:t>
            </w:r>
          </w:p>
        </w:tc>
        <w:tc>
          <w:tcPr>
            <w:tcW w:w="864" w:type="dxa"/>
            <w:tcBorders>
              <w:top w:val="single" w:sz="4" w:space="0" w:color="2F5496" w:themeColor="accent1" w:themeShade="BF"/>
              <w:bottom w:val="single" w:sz="4" w:space="0" w:color="2F5496" w:themeColor="accent1" w:themeShade="BF"/>
            </w:tcBorders>
            <w:shd w:val="clear" w:color="auto" w:fill="auto"/>
            <w:vAlign w:val="center"/>
          </w:tcPr>
          <w:p w14:paraId="3338B030" w14:textId="77777777" w:rsidR="009B41CC" w:rsidRPr="00F265D5" w:rsidRDefault="009B41CC"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2020</w:t>
            </w:r>
          </w:p>
        </w:tc>
        <w:tc>
          <w:tcPr>
            <w:tcW w:w="864" w:type="dxa"/>
            <w:tcBorders>
              <w:top w:val="single" w:sz="4" w:space="0" w:color="2F5496" w:themeColor="accent1" w:themeShade="BF"/>
              <w:bottom w:val="single" w:sz="4" w:space="0" w:color="2F5496" w:themeColor="accent1" w:themeShade="BF"/>
            </w:tcBorders>
            <w:shd w:val="clear" w:color="auto" w:fill="auto"/>
            <w:vAlign w:val="center"/>
          </w:tcPr>
          <w:p w14:paraId="20CBF00A" w14:textId="77777777" w:rsidR="009B41CC" w:rsidRPr="00F265D5" w:rsidRDefault="009B41CC"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2021</w:t>
            </w:r>
          </w:p>
        </w:tc>
        <w:tc>
          <w:tcPr>
            <w:tcW w:w="865" w:type="dxa"/>
            <w:tcBorders>
              <w:top w:val="single" w:sz="4" w:space="0" w:color="2F5496" w:themeColor="accent1" w:themeShade="BF"/>
              <w:bottom w:val="single" w:sz="4" w:space="0" w:color="2F5496" w:themeColor="accent1" w:themeShade="BF"/>
            </w:tcBorders>
            <w:shd w:val="clear" w:color="auto" w:fill="auto"/>
            <w:vAlign w:val="center"/>
          </w:tcPr>
          <w:p w14:paraId="4AC477DD" w14:textId="77777777" w:rsidR="009B41CC" w:rsidRPr="00F265D5" w:rsidRDefault="009B41CC"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2022</w:t>
            </w:r>
          </w:p>
        </w:tc>
        <w:tc>
          <w:tcPr>
            <w:tcW w:w="728" w:type="dxa"/>
            <w:tcBorders>
              <w:top w:val="single" w:sz="4" w:space="0" w:color="2F5496" w:themeColor="accent1" w:themeShade="BF"/>
              <w:bottom w:val="single" w:sz="4" w:space="0" w:color="2F5496" w:themeColor="accent1" w:themeShade="BF"/>
            </w:tcBorders>
            <w:vAlign w:val="center"/>
          </w:tcPr>
          <w:p w14:paraId="122B8A39" w14:textId="007F4E5D" w:rsidR="009B41CC" w:rsidRPr="009B41CC" w:rsidRDefault="009B41CC" w:rsidP="008C7620">
            <w:pPr>
              <w:jc w:val="center"/>
              <w:rPr>
                <w:rFonts w:ascii="Verdana" w:hAnsi="Verdana"/>
                <w:b/>
                <w:color w:val="2F5496" w:themeColor="accent1" w:themeShade="BF"/>
                <w:sz w:val="18"/>
                <w:szCs w:val="18"/>
              </w:rPr>
            </w:pPr>
            <w:r w:rsidRPr="009B41CC">
              <w:rPr>
                <w:rFonts w:ascii="Verdana" w:hAnsi="Verdana"/>
                <w:b/>
                <w:color w:val="2F5496" w:themeColor="accent1" w:themeShade="BF"/>
                <w:sz w:val="18"/>
                <w:szCs w:val="18"/>
              </w:rPr>
              <w:t>2023</w:t>
            </w:r>
          </w:p>
        </w:tc>
      </w:tr>
      <w:tr w:rsidR="009B41CC" w:rsidRPr="009B41CC" w14:paraId="27FD9D27" w14:textId="2B625818" w:rsidTr="005D2ED6">
        <w:trPr>
          <w:trHeight w:val="284"/>
          <w:jc w:val="center"/>
        </w:trPr>
        <w:tc>
          <w:tcPr>
            <w:tcW w:w="1944" w:type="dxa"/>
            <w:tcBorders>
              <w:top w:val="nil"/>
              <w:left w:val="nil"/>
              <w:bottom w:val="nil"/>
              <w:right w:val="nil"/>
            </w:tcBorders>
            <w:shd w:val="clear" w:color="auto" w:fill="auto"/>
            <w:vAlign w:val="center"/>
          </w:tcPr>
          <w:p w14:paraId="57469D92" w14:textId="06161333" w:rsidR="009B41CC" w:rsidRPr="009B41CC" w:rsidRDefault="009B41CC" w:rsidP="009B41CC">
            <w:pPr>
              <w:rPr>
                <w:rFonts w:ascii="Verdana" w:hAnsi="Verdana"/>
                <w:color w:val="2F5496" w:themeColor="accent1" w:themeShade="BF"/>
                <w:sz w:val="18"/>
                <w:szCs w:val="18"/>
              </w:rPr>
            </w:pPr>
            <w:bookmarkStart w:id="3" w:name="_Hlk179194200"/>
            <w:proofErr w:type="spellStart"/>
            <w:r w:rsidRPr="009B41CC">
              <w:rPr>
                <w:rFonts w:ascii="Verdana" w:hAnsi="Verdana"/>
                <w:color w:val="2F5496" w:themeColor="accent1" w:themeShade="BF"/>
                <w:sz w:val="18"/>
                <w:szCs w:val="18"/>
              </w:rPr>
              <w:t>Σλο</w:t>
            </w:r>
            <w:proofErr w:type="spellEnd"/>
            <w:r w:rsidRPr="009B41CC">
              <w:rPr>
                <w:rFonts w:ascii="Verdana" w:hAnsi="Verdana"/>
                <w:color w:val="2F5496" w:themeColor="accent1" w:themeShade="BF"/>
                <w:sz w:val="18"/>
                <w:szCs w:val="18"/>
              </w:rPr>
              <w:t>βενία</w:t>
            </w:r>
          </w:p>
        </w:tc>
        <w:tc>
          <w:tcPr>
            <w:tcW w:w="866" w:type="dxa"/>
            <w:tcBorders>
              <w:top w:val="nil"/>
              <w:left w:val="nil"/>
              <w:bottom w:val="nil"/>
              <w:right w:val="nil"/>
            </w:tcBorders>
            <w:shd w:val="clear" w:color="auto" w:fill="auto"/>
            <w:vAlign w:val="center"/>
          </w:tcPr>
          <w:p w14:paraId="4B17D376" w14:textId="3D1CB4A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4,8</w:t>
            </w:r>
          </w:p>
        </w:tc>
        <w:tc>
          <w:tcPr>
            <w:tcW w:w="864" w:type="dxa"/>
            <w:tcBorders>
              <w:top w:val="nil"/>
              <w:left w:val="nil"/>
              <w:bottom w:val="nil"/>
              <w:right w:val="nil"/>
            </w:tcBorders>
            <w:shd w:val="clear" w:color="auto" w:fill="auto"/>
            <w:vAlign w:val="center"/>
          </w:tcPr>
          <w:p w14:paraId="6C184582" w14:textId="72EB2AC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4,1</w:t>
            </w:r>
          </w:p>
        </w:tc>
        <w:tc>
          <w:tcPr>
            <w:tcW w:w="864" w:type="dxa"/>
            <w:tcBorders>
              <w:top w:val="nil"/>
              <w:left w:val="nil"/>
              <w:bottom w:val="nil"/>
              <w:right w:val="nil"/>
            </w:tcBorders>
            <w:shd w:val="clear" w:color="auto" w:fill="auto"/>
            <w:vAlign w:val="center"/>
          </w:tcPr>
          <w:p w14:paraId="7A2F7ECA" w14:textId="2BDDED0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4,5</w:t>
            </w:r>
          </w:p>
        </w:tc>
        <w:tc>
          <w:tcPr>
            <w:tcW w:w="865" w:type="dxa"/>
            <w:tcBorders>
              <w:top w:val="nil"/>
              <w:left w:val="nil"/>
              <w:bottom w:val="nil"/>
              <w:right w:val="nil"/>
            </w:tcBorders>
            <w:shd w:val="clear" w:color="auto" w:fill="auto"/>
            <w:vAlign w:val="center"/>
          </w:tcPr>
          <w:p w14:paraId="0B200140" w14:textId="223DF6C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3,2</w:t>
            </w:r>
          </w:p>
        </w:tc>
        <w:tc>
          <w:tcPr>
            <w:tcW w:w="864" w:type="dxa"/>
            <w:tcBorders>
              <w:top w:val="nil"/>
              <w:left w:val="nil"/>
              <w:bottom w:val="nil"/>
              <w:right w:val="nil"/>
            </w:tcBorders>
            <w:shd w:val="clear" w:color="auto" w:fill="auto"/>
            <w:vAlign w:val="center"/>
          </w:tcPr>
          <w:p w14:paraId="65DC9D15" w14:textId="265151D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2,2</w:t>
            </w:r>
          </w:p>
        </w:tc>
        <w:tc>
          <w:tcPr>
            <w:tcW w:w="864" w:type="dxa"/>
            <w:tcBorders>
              <w:top w:val="nil"/>
              <w:left w:val="nil"/>
              <w:bottom w:val="nil"/>
              <w:right w:val="nil"/>
            </w:tcBorders>
            <w:shd w:val="clear" w:color="auto" w:fill="auto"/>
            <w:vAlign w:val="center"/>
          </w:tcPr>
          <w:p w14:paraId="5B832E9B" w14:textId="3BD537E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2,6</w:t>
            </w:r>
          </w:p>
        </w:tc>
        <w:tc>
          <w:tcPr>
            <w:tcW w:w="864" w:type="dxa"/>
            <w:tcBorders>
              <w:top w:val="nil"/>
              <w:left w:val="nil"/>
              <w:bottom w:val="nil"/>
              <w:right w:val="nil"/>
            </w:tcBorders>
            <w:shd w:val="clear" w:color="auto" w:fill="auto"/>
            <w:vAlign w:val="center"/>
          </w:tcPr>
          <w:p w14:paraId="529FD370" w14:textId="64CA3E4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1,8</w:t>
            </w:r>
          </w:p>
        </w:tc>
        <w:tc>
          <w:tcPr>
            <w:tcW w:w="865" w:type="dxa"/>
            <w:tcBorders>
              <w:top w:val="nil"/>
              <w:left w:val="nil"/>
              <w:bottom w:val="nil"/>
              <w:right w:val="nil"/>
            </w:tcBorders>
            <w:shd w:val="clear" w:color="auto" w:fill="auto"/>
            <w:vAlign w:val="center"/>
          </w:tcPr>
          <w:p w14:paraId="587F5570" w14:textId="36C0553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1,4</w:t>
            </w:r>
          </w:p>
        </w:tc>
        <w:tc>
          <w:tcPr>
            <w:tcW w:w="728" w:type="dxa"/>
            <w:tcBorders>
              <w:top w:val="nil"/>
              <w:left w:val="nil"/>
              <w:bottom w:val="nil"/>
              <w:right w:val="nil"/>
            </w:tcBorders>
            <w:shd w:val="clear" w:color="auto" w:fill="auto"/>
            <w:vAlign w:val="center"/>
          </w:tcPr>
          <w:p w14:paraId="76DA4AB6" w14:textId="0B923883"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2,0</w:t>
            </w:r>
          </w:p>
        </w:tc>
      </w:tr>
      <w:tr w:rsidR="009B41CC" w:rsidRPr="009B41CC" w14:paraId="65EFC98E" w14:textId="2F711896" w:rsidTr="005D2ED6">
        <w:trPr>
          <w:trHeight w:val="284"/>
          <w:jc w:val="center"/>
        </w:trPr>
        <w:tc>
          <w:tcPr>
            <w:tcW w:w="1944" w:type="dxa"/>
            <w:tcBorders>
              <w:top w:val="nil"/>
              <w:left w:val="nil"/>
              <w:bottom w:val="nil"/>
              <w:right w:val="nil"/>
            </w:tcBorders>
            <w:shd w:val="clear" w:color="auto" w:fill="auto"/>
            <w:vAlign w:val="center"/>
          </w:tcPr>
          <w:p w14:paraId="4782B77C" w14:textId="35336E2D" w:rsidR="009B41CC" w:rsidRPr="008C7620" w:rsidRDefault="009B41CC" w:rsidP="009B41CC">
            <w:pPr>
              <w:rPr>
                <w:rFonts w:ascii="Verdana" w:hAnsi="Verdana"/>
                <w:b/>
                <w:bCs/>
                <w:color w:val="2F5496" w:themeColor="accent1" w:themeShade="BF"/>
                <w:sz w:val="18"/>
                <w:szCs w:val="18"/>
              </w:rPr>
            </w:pPr>
            <w:proofErr w:type="spellStart"/>
            <w:r w:rsidRPr="008C7620">
              <w:rPr>
                <w:rFonts w:ascii="Verdana" w:hAnsi="Verdana"/>
                <w:b/>
                <w:bCs/>
                <w:color w:val="2F5496" w:themeColor="accent1" w:themeShade="BF"/>
                <w:sz w:val="18"/>
                <w:szCs w:val="18"/>
              </w:rPr>
              <w:t>Κύ</w:t>
            </w:r>
            <w:proofErr w:type="spellEnd"/>
            <w:r w:rsidRPr="008C7620">
              <w:rPr>
                <w:rFonts w:ascii="Verdana" w:hAnsi="Verdana"/>
                <w:b/>
                <w:bCs/>
                <w:color w:val="2F5496" w:themeColor="accent1" w:themeShade="BF"/>
                <w:sz w:val="18"/>
                <w:szCs w:val="18"/>
              </w:rPr>
              <w:t>προς</w:t>
            </w:r>
          </w:p>
        </w:tc>
        <w:tc>
          <w:tcPr>
            <w:tcW w:w="866" w:type="dxa"/>
            <w:tcBorders>
              <w:top w:val="nil"/>
              <w:left w:val="nil"/>
              <w:bottom w:val="nil"/>
              <w:right w:val="nil"/>
            </w:tcBorders>
            <w:shd w:val="clear" w:color="auto" w:fill="auto"/>
            <w:vAlign w:val="center"/>
          </w:tcPr>
          <w:p w14:paraId="7CC5F379" w14:textId="149D8AD3"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7,9</w:t>
            </w:r>
          </w:p>
        </w:tc>
        <w:tc>
          <w:tcPr>
            <w:tcW w:w="864" w:type="dxa"/>
            <w:tcBorders>
              <w:top w:val="nil"/>
              <w:left w:val="nil"/>
              <w:bottom w:val="nil"/>
              <w:right w:val="nil"/>
            </w:tcBorders>
            <w:shd w:val="clear" w:color="auto" w:fill="auto"/>
            <w:vAlign w:val="center"/>
          </w:tcPr>
          <w:p w14:paraId="511A6A95" w14:textId="02E807CB"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6,6</w:t>
            </w:r>
          </w:p>
        </w:tc>
        <w:tc>
          <w:tcPr>
            <w:tcW w:w="864" w:type="dxa"/>
            <w:tcBorders>
              <w:top w:val="nil"/>
              <w:left w:val="nil"/>
              <w:bottom w:val="nil"/>
              <w:right w:val="nil"/>
            </w:tcBorders>
            <w:shd w:val="clear" w:color="auto" w:fill="auto"/>
            <w:vAlign w:val="center"/>
          </w:tcPr>
          <w:p w14:paraId="7D77B941" w14:textId="2F41D7EB"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6,1</w:t>
            </w:r>
          </w:p>
        </w:tc>
        <w:tc>
          <w:tcPr>
            <w:tcW w:w="865" w:type="dxa"/>
            <w:tcBorders>
              <w:top w:val="nil"/>
              <w:left w:val="nil"/>
              <w:bottom w:val="nil"/>
              <w:right w:val="nil"/>
            </w:tcBorders>
            <w:shd w:val="clear" w:color="auto" w:fill="auto"/>
            <w:vAlign w:val="center"/>
          </w:tcPr>
          <w:p w14:paraId="750AFEBA" w14:textId="38FD3926"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3,8</w:t>
            </w:r>
          </w:p>
        </w:tc>
        <w:tc>
          <w:tcPr>
            <w:tcW w:w="864" w:type="dxa"/>
            <w:tcBorders>
              <w:top w:val="nil"/>
              <w:left w:val="nil"/>
              <w:bottom w:val="nil"/>
              <w:right w:val="nil"/>
            </w:tcBorders>
            <w:shd w:val="clear" w:color="auto" w:fill="auto"/>
            <w:vAlign w:val="center"/>
          </w:tcPr>
          <w:p w14:paraId="41DB192F" w14:textId="6AC9A758"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3,2</w:t>
            </w:r>
          </w:p>
        </w:tc>
        <w:tc>
          <w:tcPr>
            <w:tcW w:w="864" w:type="dxa"/>
            <w:tcBorders>
              <w:top w:val="nil"/>
              <w:left w:val="nil"/>
              <w:bottom w:val="nil"/>
              <w:right w:val="nil"/>
            </w:tcBorders>
            <w:shd w:val="clear" w:color="auto" w:fill="auto"/>
            <w:vAlign w:val="center"/>
          </w:tcPr>
          <w:p w14:paraId="0D620468" w14:textId="2522BDAA"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3,2</w:t>
            </w:r>
          </w:p>
        </w:tc>
        <w:tc>
          <w:tcPr>
            <w:tcW w:w="864" w:type="dxa"/>
            <w:tcBorders>
              <w:top w:val="nil"/>
              <w:left w:val="nil"/>
              <w:bottom w:val="nil"/>
              <w:right w:val="nil"/>
            </w:tcBorders>
            <w:shd w:val="clear" w:color="auto" w:fill="auto"/>
            <w:vAlign w:val="center"/>
          </w:tcPr>
          <w:p w14:paraId="044FC594" w14:textId="79006D73"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2,6</w:t>
            </w:r>
          </w:p>
        </w:tc>
        <w:tc>
          <w:tcPr>
            <w:tcW w:w="865" w:type="dxa"/>
            <w:tcBorders>
              <w:top w:val="nil"/>
              <w:left w:val="nil"/>
              <w:bottom w:val="nil"/>
              <w:right w:val="nil"/>
            </w:tcBorders>
            <w:shd w:val="clear" w:color="auto" w:fill="auto"/>
            <w:vAlign w:val="center"/>
          </w:tcPr>
          <w:p w14:paraId="035B704C" w14:textId="15AD5F25"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2,7</w:t>
            </w:r>
          </w:p>
        </w:tc>
        <w:tc>
          <w:tcPr>
            <w:tcW w:w="728" w:type="dxa"/>
            <w:tcBorders>
              <w:top w:val="nil"/>
              <w:left w:val="nil"/>
              <w:bottom w:val="nil"/>
              <w:right w:val="nil"/>
            </w:tcBorders>
            <w:shd w:val="clear" w:color="auto" w:fill="auto"/>
            <w:vAlign w:val="center"/>
          </w:tcPr>
          <w:p w14:paraId="20C8FEB2" w14:textId="3727C956"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2,4</w:t>
            </w:r>
          </w:p>
        </w:tc>
      </w:tr>
      <w:tr w:rsidR="009B41CC" w:rsidRPr="009B41CC" w14:paraId="42A44E10" w14:textId="59DFC216" w:rsidTr="005D2ED6">
        <w:trPr>
          <w:trHeight w:val="284"/>
          <w:jc w:val="center"/>
        </w:trPr>
        <w:tc>
          <w:tcPr>
            <w:tcW w:w="1944" w:type="dxa"/>
            <w:tcBorders>
              <w:top w:val="nil"/>
              <w:left w:val="nil"/>
              <w:bottom w:val="nil"/>
              <w:right w:val="nil"/>
            </w:tcBorders>
            <w:shd w:val="clear" w:color="auto" w:fill="auto"/>
            <w:vAlign w:val="center"/>
          </w:tcPr>
          <w:p w14:paraId="3B144466" w14:textId="28B2E09D"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Λουξεμ</w:t>
            </w:r>
            <w:proofErr w:type="spellEnd"/>
            <w:r w:rsidRPr="009B41CC">
              <w:rPr>
                <w:rFonts w:ascii="Verdana" w:hAnsi="Verdana"/>
                <w:color w:val="2F5496" w:themeColor="accent1" w:themeShade="BF"/>
                <w:sz w:val="18"/>
                <w:szCs w:val="18"/>
              </w:rPr>
              <w:t>βούργο</w:t>
            </w:r>
          </w:p>
        </w:tc>
        <w:tc>
          <w:tcPr>
            <w:tcW w:w="866" w:type="dxa"/>
            <w:tcBorders>
              <w:top w:val="nil"/>
              <w:left w:val="nil"/>
              <w:bottom w:val="nil"/>
              <w:right w:val="nil"/>
            </w:tcBorders>
            <w:shd w:val="clear" w:color="auto" w:fill="auto"/>
            <w:vAlign w:val="center"/>
          </w:tcPr>
          <w:p w14:paraId="1390C18B" w14:textId="68C6408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2,5</w:t>
            </w:r>
          </w:p>
        </w:tc>
        <w:tc>
          <w:tcPr>
            <w:tcW w:w="864" w:type="dxa"/>
            <w:tcBorders>
              <w:top w:val="nil"/>
              <w:left w:val="nil"/>
              <w:bottom w:val="nil"/>
              <w:right w:val="nil"/>
            </w:tcBorders>
            <w:shd w:val="clear" w:color="auto" w:fill="auto"/>
            <w:vAlign w:val="center"/>
          </w:tcPr>
          <w:p w14:paraId="335DA5B9" w14:textId="71E27615"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2,0</w:t>
            </w:r>
          </w:p>
        </w:tc>
        <w:tc>
          <w:tcPr>
            <w:tcW w:w="864" w:type="dxa"/>
            <w:tcBorders>
              <w:top w:val="nil"/>
              <w:left w:val="nil"/>
              <w:bottom w:val="nil"/>
              <w:right w:val="nil"/>
            </w:tcBorders>
            <w:shd w:val="clear" w:color="auto" w:fill="auto"/>
            <w:vAlign w:val="center"/>
          </w:tcPr>
          <w:p w14:paraId="2AAB74D6" w14:textId="7861378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1,9</w:t>
            </w:r>
          </w:p>
        </w:tc>
        <w:tc>
          <w:tcPr>
            <w:tcW w:w="865" w:type="dxa"/>
            <w:tcBorders>
              <w:top w:val="nil"/>
              <w:left w:val="nil"/>
              <w:bottom w:val="nil"/>
              <w:right w:val="nil"/>
            </w:tcBorders>
            <w:shd w:val="clear" w:color="auto" w:fill="auto"/>
            <w:vAlign w:val="center"/>
          </w:tcPr>
          <w:p w14:paraId="0EAE0C4A" w14:textId="6390491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1,6</w:t>
            </w:r>
          </w:p>
        </w:tc>
        <w:tc>
          <w:tcPr>
            <w:tcW w:w="864" w:type="dxa"/>
            <w:tcBorders>
              <w:top w:val="nil"/>
              <w:left w:val="nil"/>
              <w:bottom w:val="nil"/>
              <w:right w:val="nil"/>
            </w:tcBorders>
            <w:shd w:val="clear" w:color="auto" w:fill="auto"/>
            <w:vAlign w:val="center"/>
          </w:tcPr>
          <w:p w14:paraId="461A1E7E" w14:textId="0908283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1,4</w:t>
            </w:r>
          </w:p>
        </w:tc>
        <w:tc>
          <w:tcPr>
            <w:tcW w:w="864" w:type="dxa"/>
            <w:tcBorders>
              <w:top w:val="nil"/>
              <w:left w:val="nil"/>
              <w:bottom w:val="nil"/>
              <w:right w:val="nil"/>
            </w:tcBorders>
            <w:shd w:val="clear" w:color="auto" w:fill="auto"/>
            <w:vAlign w:val="center"/>
          </w:tcPr>
          <w:p w14:paraId="731096AC" w14:textId="72B9E41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1,7</w:t>
            </w:r>
          </w:p>
        </w:tc>
        <w:tc>
          <w:tcPr>
            <w:tcW w:w="864" w:type="dxa"/>
            <w:tcBorders>
              <w:top w:val="nil"/>
              <w:left w:val="nil"/>
              <w:bottom w:val="nil"/>
              <w:right w:val="nil"/>
            </w:tcBorders>
            <w:shd w:val="clear" w:color="auto" w:fill="auto"/>
            <w:vAlign w:val="center"/>
          </w:tcPr>
          <w:p w14:paraId="5E712896" w14:textId="5B5EB75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2,4</w:t>
            </w:r>
          </w:p>
        </w:tc>
        <w:tc>
          <w:tcPr>
            <w:tcW w:w="865" w:type="dxa"/>
            <w:tcBorders>
              <w:top w:val="nil"/>
              <w:left w:val="nil"/>
              <w:bottom w:val="nil"/>
              <w:right w:val="nil"/>
            </w:tcBorders>
            <w:shd w:val="clear" w:color="auto" w:fill="auto"/>
            <w:vAlign w:val="center"/>
          </w:tcPr>
          <w:p w14:paraId="362EF61C" w14:textId="239883F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2,0</w:t>
            </w:r>
          </w:p>
        </w:tc>
        <w:tc>
          <w:tcPr>
            <w:tcW w:w="728" w:type="dxa"/>
            <w:tcBorders>
              <w:top w:val="nil"/>
              <w:left w:val="nil"/>
              <w:bottom w:val="nil"/>
              <w:right w:val="nil"/>
            </w:tcBorders>
            <w:shd w:val="clear" w:color="auto" w:fill="auto"/>
            <w:vAlign w:val="center"/>
          </w:tcPr>
          <w:p w14:paraId="7825B482" w14:textId="2D0C7CFE"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2,5</w:t>
            </w:r>
          </w:p>
        </w:tc>
      </w:tr>
      <w:tr w:rsidR="009B41CC" w:rsidRPr="009B41CC" w14:paraId="3BAAEFC7" w14:textId="598ADC5B" w:rsidTr="005D2ED6">
        <w:trPr>
          <w:trHeight w:val="284"/>
          <w:jc w:val="center"/>
        </w:trPr>
        <w:tc>
          <w:tcPr>
            <w:tcW w:w="1944" w:type="dxa"/>
            <w:tcBorders>
              <w:top w:val="nil"/>
              <w:left w:val="nil"/>
              <w:bottom w:val="nil"/>
              <w:right w:val="nil"/>
            </w:tcBorders>
            <w:shd w:val="clear" w:color="auto" w:fill="auto"/>
            <w:vAlign w:val="center"/>
          </w:tcPr>
          <w:p w14:paraId="34539700" w14:textId="7CF956C6"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Σουηδί</w:t>
            </w:r>
            <w:proofErr w:type="spellEnd"/>
            <w:r w:rsidRPr="009B41CC">
              <w:rPr>
                <w:rFonts w:ascii="Verdana" w:hAnsi="Verdana"/>
                <w:color w:val="2F5496" w:themeColor="accent1" w:themeShade="BF"/>
                <w:sz w:val="18"/>
                <w:szCs w:val="18"/>
              </w:rPr>
              <w:t>α</w:t>
            </w:r>
          </w:p>
        </w:tc>
        <w:tc>
          <w:tcPr>
            <w:tcW w:w="866" w:type="dxa"/>
            <w:tcBorders>
              <w:top w:val="nil"/>
              <w:left w:val="nil"/>
              <w:bottom w:val="nil"/>
              <w:right w:val="nil"/>
            </w:tcBorders>
            <w:shd w:val="clear" w:color="auto" w:fill="auto"/>
            <w:vAlign w:val="center"/>
          </w:tcPr>
          <w:p w14:paraId="05D4B704" w14:textId="247A95A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1,1</w:t>
            </w:r>
          </w:p>
        </w:tc>
        <w:tc>
          <w:tcPr>
            <w:tcW w:w="864" w:type="dxa"/>
            <w:tcBorders>
              <w:top w:val="nil"/>
              <w:left w:val="nil"/>
              <w:bottom w:val="nil"/>
              <w:right w:val="nil"/>
            </w:tcBorders>
            <w:shd w:val="clear" w:color="auto" w:fill="auto"/>
            <w:vAlign w:val="center"/>
          </w:tcPr>
          <w:p w14:paraId="4C7DCA07" w14:textId="6D0E1D1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0,7</w:t>
            </w:r>
          </w:p>
        </w:tc>
        <w:tc>
          <w:tcPr>
            <w:tcW w:w="864" w:type="dxa"/>
            <w:tcBorders>
              <w:top w:val="nil"/>
              <w:left w:val="nil"/>
              <w:bottom w:val="nil"/>
              <w:right w:val="nil"/>
            </w:tcBorders>
            <w:shd w:val="clear" w:color="auto" w:fill="auto"/>
            <w:vAlign w:val="center"/>
          </w:tcPr>
          <w:p w14:paraId="10BC4384" w14:textId="798EEBA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1,0</w:t>
            </w:r>
          </w:p>
        </w:tc>
        <w:tc>
          <w:tcPr>
            <w:tcW w:w="865" w:type="dxa"/>
            <w:tcBorders>
              <w:top w:val="nil"/>
              <w:left w:val="nil"/>
              <w:bottom w:val="nil"/>
              <w:right w:val="nil"/>
            </w:tcBorders>
            <w:shd w:val="clear" w:color="auto" w:fill="auto"/>
            <w:vAlign w:val="center"/>
          </w:tcPr>
          <w:p w14:paraId="2176D1AF" w14:textId="683E7AD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1,4</w:t>
            </w:r>
          </w:p>
        </w:tc>
        <w:tc>
          <w:tcPr>
            <w:tcW w:w="864" w:type="dxa"/>
            <w:tcBorders>
              <w:top w:val="nil"/>
              <w:left w:val="nil"/>
              <w:bottom w:val="nil"/>
              <w:right w:val="nil"/>
            </w:tcBorders>
            <w:shd w:val="clear" w:color="auto" w:fill="auto"/>
            <w:vAlign w:val="center"/>
          </w:tcPr>
          <w:p w14:paraId="6656D8ED" w14:textId="10B3326B"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1,5</w:t>
            </w:r>
          </w:p>
        </w:tc>
        <w:tc>
          <w:tcPr>
            <w:tcW w:w="864" w:type="dxa"/>
            <w:tcBorders>
              <w:top w:val="nil"/>
              <w:left w:val="nil"/>
              <w:bottom w:val="nil"/>
              <w:right w:val="nil"/>
            </w:tcBorders>
            <w:shd w:val="clear" w:color="auto" w:fill="auto"/>
            <w:vAlign w:val="center"/>
          </w:tcPr>
          <w:p w14:paraId="2CCCD856" w14:textId="6F5972A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2,0</w:t>
            </w:r>
          </w:p>
        </w:tc>
        <w:tc>
          <w:tcPr>
            <w:tcW w:w="864" w:type="dxa"/>
            <w:tcBorders>
              <w:top w:val="nil"/>
              <w:left w:val="nil"/>
              <w:bottom w:val="nil"/>
              <w:right w:val="nil"/>
            </w:tcBorders>
            <w:shd w:val="clear" w:color="auto" w:fill="auto"/>
            <w:vAlign w:val="center"/>
          </w:tcPr>
          <w:p w14:paraId="499425B8" w14:textId="0B6768B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1,4</w:t>
            </w:r>
          </w:p>
        </w:tc>
        <w:tc>
          <w:tcPr>
            <w:tcW w:w="865" w:type="dxa"/>
            <w:tcBorders>
              <w:top w:val="nil"/>
              <w:left w:val="nil"/>
              <w:bottom w:val="nil"/>
              <w:right w:val="nil"/>
            </w:tcBorders>
            <w:shd w:val="clear" w:color="auto" w:fill="auto"/>
            <w:vAlign w:val="center"/>
          </w:tcPr>
          <w:p w14:paraId="5377F2D0" w14:textId="2B8EC6D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2,3</w:t>
            </w:r>
          </w:p>
        </w:tc>
        <w:tc>
          <w:tcPr>
            <w:tcW w:w="728" w:type="dxa"/>
            <w:tcBorders>
              <w:top w:val="nil"/>
              <w:left w:val="nil"/>
              <w:bottom w:val="nil"/>
              <w:right w:val="nil"/>
            </w:tcBorders>
            <w:shd w:val="clear" w:color="auto" w:fill="auto"/>
            <w:vAlign w:val="center"/>
          </w:tcPr>
          <w:p w14:paraId="3F347616" w14:textId="1F6FAB28"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2,5</w:t>
            </w:r>
          </w:p>
        </w:tc>
      </w:tr>
      <w:tr w:rsidR="009B41CC" w:rsidRPr="009B41CC" w14:paraId="27BF9E85" w14:textId="5AA2FA77" w:rsidTr="005D2ED6">
        <w:trPr>
          <w:trHeight w:val="284"/>
          <w:jc w:val="center"/>
        </w:trPr>
        <w:tc>
          <w:tcPr>
            <w:tcW w:w="1944" w:type="dxa"/>
            <w:tcBorders>
              <w:top w:val="nil"/>
              <w:left w:val="nil"/>
              <w:bottom w:val="nil"/>
              <w:right w:val="nil"/>
            </w:tcBorders>
            <w:shd w:val="clear" w:color="auto" w:fill="auto"/>
            <w:vAlign w:val="center"/>
          </w:tcPr>
          <w:p w14:paraId="27BD7372" w14:textId="2D236EB0"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Εσθονί</w:t>
            </w:r>
            <w:proofErr w:type="spellEnd"/>
            <w:r w:rsidRPr="009B41CC">
              <w:rPr>
                <w:rFonts w:ascii="Verdana" w:hAnsi="Verdana"/>
                <w:color w:val="2F5496" w:themeColor="accent1" w:themeShade="BF"/>
                <w:sz w:val="18"/>
                <w:szCs w:val="18"/>
              </w:rPr>
              <w:t>α</w:t>
            </w:r>
          </w:p>
        </w:tc>
        <w:tc>
          <w:tcPr>
            <w:tcW w:w="866" w:type="dxa"/>
            <w:tcBorders>
              <w:top w:val="nil"/>
              <w:left w:val="nil"/>
              <w:bottom w:val="nil"/>
              <w:right w:val="nil"/>
            </w:tcBorders>
            <w:shd w:val="clear" w:color="auto" w:fill="auto"/>
            <w:vAlign w:val="center"/>
          </w:tcPr>
          <w:p w14:paraId="2A02A133" w14:textId="70FE540B"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3,5</w:t>
            </w:r>
          </w:p>
        </w:tc>
        <w:tc>
          <w:tcPr>
            <w:tcW w:w="864" w:type="dxa"/>
            <w:tcBorders>
              <w:top w:val="nil"/>
              <w:left w:val="nil"/>
              <w:bottom w:val="nil"/>
              <w:right w:val="nil"/>
            </w:tcBorders>
            <w:shd w:val="clear" w:color="auto" w:fill="auto"/>
            <w:vAlign w:val="center"/>
          </w:tcPr>
          <w:p w14:paraId="41EEF1A0" w14:textId="43CFF78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2,2</w:t>
            </w:r>
          </w:p>
        </w:tc>
        <w:tc>
          <w:tcPr>
            <w:tcW w:w="864" w:type="dxa"/>
            <w:tcBorders>
              <w:top w:val="nil"/>
              <w:left w:val="nil"/>
              <w:bottom w:val="nil"/>
              <w:right w:val="nil"/>
            </w:tcBorders>
            <w:shd w:val="clear" w:color="auto" w:fill="auto"/>
            <w:vAlign w:val="center"/>
          </w:tcPr>
          <w:p w14:paraId="06B867A3" w14:textId="44D631B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4,0</w:t>
            </w:r>
          </w:p>
        </w:tc>
        <w:tc>
          <w:tcPr>
            <w:tcW w:w="865" w:type="dxa"/>
            <w:tcBorders>
              <w:top w:val="nil"/>
              <w:left w:val="nil"/>
              <w:bottom w:val="nil"/>
              <w:right w:val="nil"/>
            </w:tcBorders>
            <w:shd w:val="clear" w:color="auto" w:fill="auto"/>
            <w:vAlign w:val="center"/>
          </w:tcPr>
          <w:p w14:paraId="6B6C89E4" w14:textId="1FBFE30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3,1</w:t>
            </w:r>
          </w:p>
        </w:tc>
        <w:tc>
          <w:tcPr>
            <w:tcW w:w="864" w:type="dxa"/>
            <w:tcBorders>
              <w:top w:val="nil"/>
              <w:left w:val="nil"/>
              <w:bottom w:val="nil"/>
              <w:right w:val="nil"/>
            </w:tcBorders>
            <w:shd w:val="clear" w:color="auto" w:fill="auto"/>
            <w:vAlign w:val="center"/>
          </w:tcPr>
          <w:p w14:paraId="3DF2DA14" w14:textId="74332E4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2,6</w:t>
            </w:r>
          </w:p>
        </w:tc>
        <w:tc>
          <w:tcPr>
            <w:tcW w:w="864" w:type="dxa"/>
            <w:tcBorders>
              <w:top w:val="nil"/>
              <w:left w:val="nil"/>
              <w:bottom w:val="nil"/>
              <w:right w:val="nil"/>
            </w:tcBorders>
            <w:shd w:val="clear" w:color="auto" w:fill="auto"/>
            <w:vAlign w:val="center"/>
          </w:tcPr>
          <w:p w14:paraId="28A4FA9F" w14:textId="4DF4E861"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2,3</w:t>
            </w:r>
          </w:p>
        </w:tc>
        <w:tc>
          <w:tcPr>
            <w:tcW w:w="864" w:type="dxa"/>
            <w:tcBorders>
              <w:top w:val="nil"/>
              <w:left w:val="nil"/>
              <w:bottom w:val="nil"/>
              <w:right w:val="nil"/>
            </w:tcBorders>
            <w:shd w:val="clear" w:color="auto" w:fill="auto"/>
            <w:vAlign w:val="center"/>
          </w:tcPr>
          <w:p w14:paraId="5C2F78EE" w14:textId="205E1A6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1,9</w:t>
            </w:r>
          </w:p>
        </w:tc>
        <w:tc>
          <w:tcPr>
            <w:tcW w:w="865" w:type="dxa"/>
            <w:tcBorders>
              <w:top w:val="nil"/>
              <w:left w:val="nil"/>
              <w:bottom w:val="nil"/>
              <w:right w:val="nil"/>
            </w:tcBorders>
            <w:shd w:val="clear" w:color="auto" w:fill="auto"/>
            <w:vAlign w:val="center"/>
          </w:tcPr>
          <w:p w14:paraId="243F3421" w14:textId="7FBDD29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3,3</w:t>
            </w:r>
          </w:p>
        </w:tc>
        <w:tc>
          <w:tcPr>
            <w:tcW w:w="728" w:type="dxa"/>
            <w:tcBorders>
              <w:top w:val="nil"/>
              <w:left w:val="nil"/>
              <w:bottom w:val="nil"/>
              <w:right w:val="nil"/>
            </w:tcBorders>
            <w:shd w:val="clear" w:color="auto" w:fill="auto"/>
            <w:vAlign w:val="center"/>
          </w:tcPr>
          <w:p w14:paraId="396F8438" w14:textId="3043E123"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2,5</w:t>
            </w:r>
          </w:p>
        </w:tc>
      </w:tr>
      <w:tr w:rsidR="009B41CC" w:rsidRPr="009B41CC" w14:paraId="4D766588" w14:textId="06301BC8" w:rsidTr="005D2ED6">
        <w:trPr>
          <w:trHeight w:val="284"/>
          <w:jc w:val="center"/>
        </w:trPr>
        <w:tc>
          <w:tcPr>
            <w:tcW w:w="1944" w:type="dxa"/>
            <w:tcBorders>
              <w:top w:val="nil"/>
              <w:left w:val="nil"/>
              <w:bottom w:val="nil"/>
              <w:right w:val="nil"/>
            </w:tcBorders>
            <w:shd w:val="clear" w:color="auto" w:fill="auto"/>
            <w:vAlign w:val="center"/>
          </w:tcPr>
          <w:p w14:paraId="7D31278F" w14:textId="71FC8419"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Ολλ</w:t>
            </w:r>
            <w:proofErr w:type="spellEnd"/>
            <w:r w:rsidRPr="009B41CC">
              <w:rPr>
                <w:rFonts w:ascii="Verdana" w:hAnsi="Verdana"/>
                <w:color w:val="2F5496" w:themeColor="accent1" w:themeShade="BF"/>
                <w:sz w:val="18"/>
                <w:szCs w:val="18"/>
              </w:rPr>
              <w:t>ανδία</w:t>
            </w:r>
          </w:p>
        </w:tc>
        <w:tc>
          <w:tcPr>
            <w:tcW w:w="866" w:type="dxa"/>
            <w:tcBorders>
              <w:top w:val="nil"/>
              <w:left w:val="nil"/>
              <w:bottom w:val="nil"/>
              <w:right w:val="nil"/>
            </w:tcBorders>
            <w:shd w:val="clear" w:color="auto" w:fill="auto"/>
            <w:vAlign w:val="center"/>
          </w:tcPr>
          <w:p w14:paraId="61C79195" w14:textId="0287F06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3,2</w:t>
            </w:r>
          </w:p>
        </w:tc>
        <w:tc>
          <w:tcPr>
            <w:tcW w:w="864" w:type="dxa"/>
            <w:tcBorders>
              <w:top w:val="nil"/>
              <w:left w:val="nil"/>
              <w:bottom w:val="nil"/>
              <w:right w:val="nil"/>
            </w:tcBorders>
            <w:shd w:val="clear" w:color="auto" w:fill="auto"/>
            <w:vAlign w:val="center"/>
          </w:tcPr>
          <w:p w14:paraId="4028EC0D" w14:textId="375A26C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2,6</w:t>
            </w:r>
          </w:p>
        </w:tc>
        <w:tc>
          <w:tcPr>
            <w:tcW w:w="864" w:type="dxa"/>
            <w:tcBorders>
              <w:top w:val="nil"/>
              <w:left w:val="nil"/>
              <w:bottom w:val="nil"/>
              <w:right w:val="nil"/>
            </w:tcBorders>
            <w:shd w:val="clear" w:color="auto" w:fill="auto"/>
            <w:vAlign w:val="center"/>
          </w:tcPr>
          <w:p w14:paraId="7CF49047" w14:textId="39E846A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2,6</w:t>
            </w:r>
          </w:p>
        </w:tc>
        <w:tc>
          <w:tcPr>
            <w:tcW w:w="865" w:type="dxa"/>
            <w:tcBorders>
              <w:top w:val="nil"/>
              <w:left w:val="nil"/>
              <w:bottom w:val="nil"/>
              <w:right w:val="nil"/>
            </w:tcBorders>
            <w:shd w:val="clear" w:color="auto" w:fill="auto"/>
            <w:vAlign w:val="center"/>
          </w:tcPr>
          <w:p w14:paraId="4D4FE0AA" w14:textId="43B4087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2,6</w:t>
            </w:r>
          </w:p>
        </w:tc>
        <w:tc>
          <w:tcPr>
            <w:tcW w:w="864" w:type="dxa"/>
            <w:tcBorders>
              <w:top w:val="nil"/>
              <w:left w:val="nil"/>
              <w:bottom w:val="nil"/>
              <w:right w:val="nil"/>
            </w:tcBorders>
            <w:shd w:val="clear" w:color="auto" w:fill="auto"/>
            <w:vAlign w:val="center"/>
          </w:tcPr>
          <w:p w14:paraId="0C6AB0C1" w14:textId="056FDB6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2,8</w:t>
            </w:r>
          </w:p>
        </w:tc>
        <w:tc>
          <w:tcPr>
            <w:tcW w:w="864" w:type="dxa"/>
            <w:tcBorders>
              <w:top w:val="nil"/>
              <w:left w:val="nil"/>
              <w:bottom w:val="nil"/>
              <w:right w:val="nil"/>
            </w:tcBorders>
            <w:shd w:val="clear" w:color="auto" w:fill="auto"/>
            <w:vAlign w:val="center"/>
          </w:tcPr>
          <w:p w14:paraId="740B8B2A" w14:textId="000CBE41"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2,2</w:t>
            </w:r>
          </w:p>
        </w:tc>
        <w:tc>
          <w:tcPr>
            <w:tcW w:w="864" w:type="dxa"/>
            <w:tcBorders>
              <w:top w:val="nil"/>
              <w:left w:val="nil"/>
              <w:bottom w:val="nil"/>
              <w:right w:val="nil"/>
            </w:tcBorders>
            <w:shd w:val="clear" w:color="auto" w:fill="auto"/>
            <w:vAlign w:val="center"/>
          </w:tcPr>
          <w:p w14:paraId="79E6CD28" w14:textId="7B22009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2,1</w:t>
            </w:r>
          </w:p>
        </w:tc>
        <w:tc>
          <w:tcPr>
            <w:tcW w:w="865" w:type="dxa"/>
            <w:tcBorders>
              <w:top w:val="nil"/>
              <w:left w:val="nil"/>
              <w:bottom w:val="nil"/>
              <w:right w:val="nil"/>
            </w:tcBorders>
            <w:shd w:val="clear" w:color="auto" w:fill="auto"/>
            <w:vAlign w:val="center"/>
          </w:tcPr>
          <w:p w14:paraId="26595DF6" w14:textId="753DA52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2,5</w:t>
            </w:r>
          </w:p>
        </w:tc>
        <w:tc>
          <w:tcPr>
            <w:tcW w:w="728" w:type="dxa"/>
            <w:tcBorders>
              <w:top w:val="nil"/>
              <w:left w:val="nil"/>
              <w:bottom w:val="nil"/>
              <w:right w:val="nil"/>
            </w:tcBorders>
            <w:shd w:val="clear" w:color="auto" w:fill="auto"/>
            <w:vAlign w:val="center"/>
          </w:tcPr>
          <w:p w14:paraId="7EA68D69" w14:textId="58F69B65"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2,6</w:t>
            </w:r>
          </w:p>
        </w:tc>
      </w:tr>
      <w:tr w:rsidR="009B41CC" w:rsidRPr="009B41CC" w14:paraId="6C0783A9" w14:textId="568BF978" w:rsidTr="005D2ED6">
        <w:trPr>
          <w:trHeight w:val="284"/>
          <w:jc w:val="center"/>
        </w:trPr>
        <w:tc>
          <w:tcPr>
            <w:tcW w:w="1944" w:type="dxa"/>
            <w:tcBorders>
              <w:top w:val="nil"/>
              <w:left w:val="nil"/>
              <w:bottom w:val="nil"/>
              <w:right w:val="nil"/>
            </w:tcBorders>
            <w:shd w:val="clear" w:color="auto" w:fill="auto"/>
            <w:vAlign w:val="center"/>
          </w:tcPr>
          <w:p w14:paraId="5221F0F7" w14:textId="523F4BB8"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Τσεχί</w:t>
            </w:r>
            <w:proofErr w:type="spellEnd"/>
            <w:r w:rsidRPr="009B41CC">
              <w:rPr>
                <w:rFonts w:ascii="Verdana" w:hAnsi="Verdana"/>
                <w:color w:val="2F5496" w:themeColor="accent1" w:themeShade="BF"/>
                <w:sz w:val="18"/>
                <w:szCs w:val="18"/>
              </w:rPr>
              <w:t>α</w:t>
            </w:r>
          </w:p>
        </w:tc>
        <w:tc>
          <w:tcPr>
            <w:tcW w:w="866" w:type="dxa"/>
            <w:tcBorders>
              <w:top w:val="nil"/>
              <w:left w:val="nil"/>
              <w:bottom w:val="nil"/>
              <w:right w:val="nil"/>
            </w:tcBorders>
            <w:shd w:val="clear" w:color="auto" w:fill="auto"/>
            <w:vAlign w:val="center"/>
          </w:tcPr>
          <w:p w14:paraId="7B261668" w14:textId="2A5AF6B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4,5</w:t>
            </w:r>
          </w:p>
        </w:tc>
        <w:tc>
          <w:tcPr>
            <w:tcW w:w="864" w:type="dxa"/>
            <w:tcBorders>
              <w:top w:val="nil"/>
              <w:left w:val="nil"/>
              <w:bottom w:val="nil"/>
              <w:right w:val="nil"/>
            </w:tcBorders>
            <w:shd w:val="clear" w:color="auto" w:fill="auto"/>
            <w:vAlign w:val="center"/>
          </w:tcPr>
          <w:p w14:paraId="7F369C72" w14:textId="0211ADF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3,5</w:t>
            </w:r>
          </w:p>
        </w:tc>
        <w:tc>
          <w:tcPr>
            <w:tcW w:w="864" w:type="dxa"/>
            <w:tcBorders>
              <w:top w:val="nil"/>
              <w:left w:val="nil"/>
              <w:bottom w:val="nil"/>
              <w:right w:val="nil"/>
            </w:tcBorders>
            <w:shd w:val="clear" w:color="auto" w:fill="auto"/>
            <w:vAlign w:val="center"/>
          </w:tcPr>
          <w:p w14:paraId="6D1CCD9A" w14:textId="16CC594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3,4</w:t>
            </w:r>
          </w:p>
        </w:tc>
        <w:tc>
          <w:tcPr>
            <w:tcW w:w="865" w:type="dxa"/>
            <w:tcBorders>
              <w:top w:val="nil"/>
              <w:left w:val="nil"/>
              <w:bottom w:val="nil"/>
              <w:right w:val="nil"/>
            </w:tcBorders>
            <w:shd w:val="clear" w:color="auto" w:fill="auto"/>
            <w:vAlign w:val="center"/>
          </w:tcPr>
          <w:p w14:paraId="05088775" w14:textId="204A5E8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2,4</w:t>
            </w:r>
          </w:p>
        </w:tc>
        <w:tc>
          <w:tcPr>
            <w:tcW w:w="864" w:type="dxa"/>
            <w:tcBorders>
              <w:top w:val="nil"/>
              <w:left w:val="nil"/>
              <w:bottom w:val="nil"/>
              <w:right w:val="nil"/>
            </w:tcBorders>
            <w:shd w:val="clear" w:color="auto" w:fill="auto"/>
            <w:vAlign w:val="center"/>
          </w:tcPr>
          <w:p w14:paraId="33414662" w14:textId="17BFB36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2,1</w:t>
            </w:r>
          </w:p>
        </w:tc>
        <w:tc>
          <w:tcPr>
            <w:tcW w:w="864" w:type="dxa"/>
            <w:tcBorders>
              <w:top w:val="nil"/>
              <w:left w:val="nil"/>
              <w:bottom w:val="nil"/>
              <w:right w:val="nil"/>
            </w:tcBorders>
            <w:shd w:val="clear" w:color="auto" w:fill="auto"/>
            <w:vAlign w:val="center"/>
          </w:tcPr>
          <w:p w14:paraId="6A35DDE3" w14:textId="79DC65C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1,9</w:t>
            </w:r>
          </w:p>
        </w:tc>
        <w:tc>
          <w:tcPr>
            <w:tcW w:w="864" w:type="dxa"/>
            <w:tcBorders>
              <w:top w:val="nil"/>
              <w:left w:val="nil"/>
              <w:bottom w:val="nil"/>
              <w:right w:val="nil"/>
            </w:tcBorders>
            <w:shd w:val="clear" w:color="auto" w:fill="auto"/>
            <w:vAlign w:val="center"/>
          </w:tcPr>
          <w:p w14:paraId="2F8E47D3" w14:textId="0273C05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1,8</w:t>
            </w:r>
          </w:p>
        </w:tc>
        <w:tc>
          <w:tcPr>
            <w:tcW w:w="865" w:type="dxa"/>
            <w:tcBorders>
              <w:top w:val="nil"/>
              <w:left w:val="nil"/>
              <w:bottom w:val="nil"/>
              <w:right w:val="nil"/>
            </w:tcBorders>
            <w:shd w:val="clear" w:color="auto" w:fill="auto"/>
            <w:vAlign w:val="center"/>
          </w:tcPr>
          <w:p w14:paraId="006634E2" w14:textId="52D4E9B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2,1</w:t>
            </w:r>
          </w:p>
        </w:tc>
        <w:tc>
          <w:tcPr>
            <w:tcW w:w="728" w:type="dxa"/>
            <w:tcBorders>
              <w:top w:val="nil"/>
              <w:left w:val="nil"/>
              <w:bottom w:val="nil"/>
              <w:right w:val="nil"/>
            </w:tcBorders>
            <w:shd w:val="clear" w:color="auto" w:fill="auto"/>
            <w:vAlign w:val="center"/>
          </w:tcPr>
          <w:p w14:paraId="52EE420A" w14:textId="4D17BDB8"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2,7</w:t>
            </w:r>
          </w:p>
        </w:tc>
      </w:tr>
      <w:tr w:rsidR="009B41CC" w:rsidRPr="009B41CC" w14:paraId="3D3DC406" w14:textId="1968647C" w:rsidTr="005D2ED6">
        <w:trPr>
          <w:trHeight w:val="284"/>
          <w:jc w:val="center"/>
        </w:trPr>
        <w:tc>
          <w:tcPr>
            <w:tcW w:w="1944" w:type="dxa"/>
            <w:tcBorders>
              <w:top w:val="nil"/>
              <w:left w:val="nil"/>
              <w:bottom w:val="nil"/>
              <w:right w:val="nil"/>
            </w:tcBorders>
            <w:shd w:val="clear" w:color="auto" w:fill="auto"/>
            <w:vAlign w:val="center"/>
          </w:tcPr>
          <w:p w14:paraId="7752E81F" w14:textId="3FCBFDC2"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Φιλ</w:t>
            </w:r>
            <w:proofErr w:type="spellEnd"/>
            <w:r w:rsidRPr="009B41CC">
              <w:rPr>
                <w:rFonts w:ascii="Verdana" w:hAnsi="Verdana"/>
                <w:color w:val="2F5496" w:themeColor="accent1" w:themeShade="BF"/>
                <w:sz w:val="18"/>
                <w:szCs w:val="18"/>
              </w:rPr>
              <w:t>ανδία</w:t>
            </w:r>
          </w:p>
        </w:tc>
        <w:tc>
          <w:tcPr>
            <w:tcW w:w="866" w:type="dxa"/>
            <w:tcBorders>
              <w:top w:val="nil"/>
              <w:left w:val="nil"/>
              <w:bottom w:val="nil"/>
              <w:right w:val="nil"/>
            </w:tcBorders>
            <w:shd w:val="clear" w:color="auto" w:fill="auto"/>
            <w:vAlign w:val="center"/>
          </w:tcPr>
          <w:p w14:paraId="429FF3E8" w14:textId="0916573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1,0</w:t>
            </w:r>
          </w:p>
        </w:tc>
        <w:tc>
          <w:tcPr>
            <w:tcW w:w="864" w:type="dxa"/>
            <w:tcBorders>
              <w:top w:val="nil"/>
              <w:left w:val="nil"/>
              <w:bottom w:val="nil"/>
              <w:right w:val="nil"/>
            </w:tcBorders>
            <w:shd w:val="clear" w:color="auto" w:fill="auto"/>
            <w:vAlign w:val="center"/>
          </w:tcPr>
          <w:p w14:paraId="0D5CF4DC" w14:textId="4032BEC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1,2</w:t>
            </w:r>
          </w:p>
        </w:tc>
        <w:tc>
          <w:tcPr>
            <w:tcW w:w="864" w:type="dxa"/>
            <w:tcBorders>
              <w:top w:val="nil"/>
              <w:left w:val="nil"/>
              <w:bottom w:val="nil"/>
              <w:right w:val="nil"/>
            </w:tcBorders>
            <w:shd w:val="clear" w:color="auto" w:fill="auto"/>
            <w:vAlign w:val="center"/>
          </w:tcPr>
          <w:p w14:paraId="422A4CC6" w14:textId="777854F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1,8</w:t>
            </w:r>
          </w:p>
        </w:tc>
        <w:tc>
          <w:tcPr>
            <w:tcW w:w="865" w:type="dxa"/>
            <w:tcBorders>
              <w:top w:val="nil"/>
              <w:left w:val="nil"/>
              <w:bottom w:val="nil"/>
              <w:right w:val="nil"/>
            </w:tcBorders>
            <w:shd w:val="clear" w:color="auto" w:fill="auto"/>
            <w:vAlign w:val="center"/>
          </w:tcPr>
          <w:p w14:paraId="6BD03240" w14:textId="387F6B3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2,2</w:t>
            </w:r>
          </w:p>
        </w:tc>
        <w:tc>
          <w:tcPr>
            <w:tcW w:w="864" w:type="dxa"/>
            <w:tcBorders>
              <w:top w:val="nil"/>
              <w:left w:val="nil"/>
              <w:bottom w:val="nil"/>
              <w:right w:val="nil"/>
            </w:tcBorders>
            <w:shd w:val="clear" w:color="auto" w:fill="auto"/>
            <w:vAlign w:val="center"/>
          </w:tcPr>
          <w:p w14:paraId="2D24B7CA" w14:textId="7FE3A8C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1,9</w:t>
            </w:r>
          </w:p>
        </w:tc>
        <w:tc>
          <w:tcPr>
            <w:tcW w:w="864" w:type="dxa"/>
            <w:tcBorders>
              <w:top w:val="nil"/>
              <w:left w:val="nil"/>
              <w:bottom w:val="nil"/>
              <w:right w:val="nil"/>
            </w:tcBorders>
            <w:shd w:val="clear" w:color="auto" w:fill="auto"/>
            <w:vAlign w:val="center"/>
          </w:tcPr>
          <w:p w14:paraId="74AB81A4" w14:textId="51D0DD1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1,8</w:t>
            </w:r>
          </w:p>
        </w:tc>
        <w:tc>
          <w:tcPr>
            <w:tcW w:w="864" w:type="dxa"/>
            <w:tcBorders>
              <w:top w:val="nil"/>
              <w:left w:val="nil"/>
              <w:bottom w:val="nil"/>
              <w:right w:val="nil"/>
            </w:tcBorders>
            <w:shd w:val="clear" w:color="auto" w:fill="auto"/>
            <w:vAlign w:val="center"/>
          </w:tcPr>
          <w:p w14:paraId="729978CC" w14:textId="3F09D19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1,1</w:t>
            </w:r>
          </w:p>
        </w:tc>
        <w:tc>
          <w:tcPr>
            <w:tcW w:w="865" w:type="dxa"/>
            <w:tcBorders>
              <w:top w:val="nil"/>
              <w:left w:val="nil"/>
              <w:bottom w:val="nil"/>
              <w:right w:val="nil"/>
            </w:tcBorders>
            <w:shd w:val="clear" w:color="auto" w:fill="auto"/>
            <w:vAlign w:val="center"/>
          </w:tcPr>
          <w:p w14:paraId="04BC0CA5" w14:textId="408E917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1,9</w:t>
            </w:r>
          </w:p>
        </w:tc>
        <w:tc>
          <w:tcPr>
            <w:tcW w:w="728" w:type="dxa"/>
            <w:tcBorders>
              <w:top w:val="nil"/>
              <w:left w:val="nil"/>
              <w:bottom w:val="nil"/>
              <w:right w:val="nil"/>
            </w:tcBorders>
            <w:shd w:val="clear" w:color="auto" w:fill="auto"/>
            <w:vAlign w:val="center"/>
          </w:tcPr>
          <w:p w14:paraId="54E39D45" w14:textId="386F7D5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2,8</w:t>
            </w:r>
          </w:p>
        </w:tc>
      </w:tr>
      <w:tr w:rsidR="009B41CC" w:rsidRPr="009B41CC" w14:paraId="2F427048" w14:textId="3B15510F" w:rsidTr="005D2ED6">
        <w:trPr>
          <w:trHeight w:val="284"/>
          <w:jc w:val="center"/>
        </w:trPr>
        <w:tc>
          <w:tcPr>
            <w:tcW w:w="1944" w:type="dxa"/>
            <w:tcBorders>
              <w:top w:val="nil"/>
              <w:left w:val="nil"/>
              <w:bottom w:val="nil"/>
              <w:right w:val="nil"/>
            </w:tcBorders>
            <w:shd w:val="clear" w:color="auto" w:fill="auto"/>
            <w:vAlign w:val="center"/>
          </w:tcPr>
          <w:p w14:paraId="0595E8DC" w14:textId="268213C6"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Κρο</w:t>
            </w:r>
            <w:proofErr w:type="spellEnd"/>
            <w:r w:rsidRPr="009B41CC">
              <w:rPr>
                <w:rFonts w:ascii="Verdana" w:hAnsi="Verdana"/>
                <w:color w:val="2F5496" w:themeColor="accent1" w:themeShade="BF"/>
                <w:sz w:val="18"/>
                <w:szCs w:val="18"/>
              </w:rPr>
              <w:t>ατία</w:t>
            </w:r>
          </w:p>
        </w:tc>
        <w:tc>
          <w:tcPr>
            <w:tcW w:w="866" w:type="dxa"/>
            <w:tcBorders>
              <w:top w:val="nil"/>
              <w:left w:val="nil"/>
              <w:bottom w:val="nil"/>
              <w:right w:val="nil"/>
            </w:tcBorders>
            <w:shd w:val="clear" w:color="auto" w:fill="auto"/>
            <w:vAlign w:val="center"/>
          </w:tcPr>
          <w:p w14:paraId="6312E8C2" w14:textId="29CAC87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8,4</w:t>
            </w:r>
          </w:p>
        </w:tc>
        <w:tc>
          <w:tcPr>
            <w:tcW w:w="864" w:type="dxa"/>
            <w:tcBorders>
              <w:top w:val="nil"/>
              <w:left w:val="nil"/>
              <w:bottom w:val="nil"/>
              <w:right w:val="nil"/>
            </w:tcBorders>
            <w:shd w:val="clear" w:color="auto" w:fill="auto"/>
            <w:vAlign w:val="center"/>
          </w:tcPr>
          <w:p w14:paraId="67783417" w14:textId="3B7F3F3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7,3</w:t>
            </w:r>
          </w:p>
        </w:tc>
        <w:tc>
          <w:tcPr>
            <w:tcW w:w="864" w:type="dxa"/>
            <w:tcBorders>
              <w:top w:val="nil"/>
              <w:left w:val="nil"/>
              <w:bottom w:val="nil"/>
              <w:right w:val="nil"/>
            </w:tcBorders>
            <w:shd w:val="clear" w:color="auto" w:fill="auto"/>
            <w:vAlign w:val="center"/>
          </w:tcPr>
          <w:p w14:paraId="0973397D" w14:textId="4ED8EA95"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7,1</w:t>
            </w:r>
          </w:p>
        </w:tc>
        <w:tc>
          <w:tcPr>
            <w:tcW w:w="865" w:type="dxa"/>
            <w:tcBorders>
              <w:top w:val="nil"/>
              <w:left w:val="nil"/>
              <w:bottom w:val="nil"/>
              <w:right w:val="nil"/>
            </w:tcBorders>
            <w:shd w:val="clear" w:color="auto" w:fill="auto"/>
            <w:vAlign w:val="center"/>
          </w:tcPr>
          <w:p w14:paraId="24712FCD" w14:textId="532369FB"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6,1</w:t>
            </w:r>
          </w:p>
        </w:tc>
        <w:tc>
          <w:tcPr>
            <w:tcW w:w="864" w:type="dxa"/>
            <w:tcBorders>
              <w:top w:val="nil"/>
              <w:left w:val="nil"/>
              <w:bottom w:val="nil"/>
              <w:right w:val="nil"/>
            </w:tcBorders>
            <w:shd w:val="clear" w:color="auto" w:fill="auto"/>
            <w:vAlign w:val="center"/>
          </w:tcPr>
          <w:p w14:paraId="25439893" w14:textId="3C7662D1"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4,6</w:t>
            </w:r>
          </w:p>
        </w:tc>
        <w:tc>
          <w:tcPr>
            <w:tcW w:w="864" w:type="dxa"/>
            <w:tcBorders>
              <w:top w:val="nil"/>
              <w:left w:val="nil"/>
              <w:bottom w:val="nil"/>
              <w:right w:val="nil"/>
            </w:tcBorders>
            <w:shd w:val="clear" w:color="auto" w:fill="auto"/>
            <w:vAlign w:val="center"/>
          </w:tcPr>
          <w:p w14:paraId="2D4115B9" w14:textId="06A2795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4,4</w:t>
            </w:r>
          </w:p>
        </w:tc>
        <w:tc>
          <w:tcPr>
            <w:tcW w:w="864" w:type="dxa"/>
            <w:tcBorders>
              <w:top w:val="nil"/>
              <w:left w:val="nil"/>
              <w:bottom w:val="nil"/>
              <w:right w:val="nil"/>
            </w:tcBorders>
            <w:shd w:val="clear" w:color="auto" w:fill="auto"/>
            <w:vAlign w:val="center"/>
          </w:tcPr>
          <w:p w14:paraId="34EB1746" w14:textId="3A87E5D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3,5</w:t>
            </w:r>
          </w:p>
        </w:tc>
        <w:tc>
          <w:tcPr>
            <w:tcW w:w="865" w:type="dxa"/>
            <w:tcBorders>
              <w:top w:val="nil"/>
              <w:left w:val="nil"/>
              <w:bottom w:val="nil"/>
              <w:right w:val="nil"/>
            </w:tcBorders>
            <w:shd w:val="clear" w:color="auto" w:fill="auto"/>
            <w:vAlign w:val="center"/>
          </w:tcPr>
          <w:p w14:paraId="39E8B3B1" w14:textId="24293B4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4,0</w:t>
            </w:r>
          </w:p>
        </w:tc>
        <w:tc>
          <w:tcPr>
            <w:tcW w:w="728" w:type="dxa"/>
            <w:tcBorders>
              <w:top w:val="nil"/>
              <w:left w:val="nil"/>
              <w:bottom w:val="nil"/>
              <w:right w:val="nil"/>
            </w:tcBorders>
            <w:shd w:val="clear" w:color="auto" w:fill="auto"/>
            <w:vAlign w:val="center"/>
          </w:tcPr>
          <w:p w14:paraId="3BD382FE" w14:textId="5CD42294"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2,8</w:t>
            </w:r>
          </w:p>
        </w:tc>
      </w:tr>
      <w:tr w:rsidR="009B41CC" w:rsidRPr="009B41CC" w14:paraId="6E9F2F5A" w14:textId="3C551C3F" w:rsidTr="005D2ED6">
        <w:trPr>
          <w:trHeight w:val="284"/>
          <w:jc w:val="center"/>
        </w:trPr>
        <w:tc>
          <w:tcPr>
            <w:tcW w:w="1944" w:type="dxa"/>
            <w:tcBorders>
              <w:top w:val="nil"/>
              <w:left w:val="nil"/>
              <w:bottom w:val="nil"/>
              <w:right w:val="nil"/>
            </w:tcBorders>
            <w:shd w:val="clear" w:color="auto" w:fill="auto"/>
            <w:vAlign w:val="center"/>
          </w:tcPr>
          <w:p w14:paraId="22DA51F9" w14:textId="351351D5"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Πολωνί</w:t>
            </w:r>
            <w:proofErr w:type="spellEnd"/>
            <w:r w:rsidRPr="009B41CC">
              <w:rPr>
                <w:rFonts w:ascii="Verdana" w:hAnsi="Verdana"/>
                <w:color w:val="2F5496" w:themeColor="accent1" w:themeShade="BF"/>
                <w:sz w:val="18"/>
                <w:szCs w:val="18"/>
              </w:rPr>
              <w:t>α</w:t>
            </w:r>
          </w:p>
        </w:tc>
        <w:tc>
          <w:tcPr>
            <w:tcW w:w="866" w:type="dxa"/>
            <w:tcBorders>
              <w:top w:val="nil"/>
              <w:left w:val="nil"/>
              <w:bottom w:val="nil"/>
              <w:right w:val="nil"/>
            </w:tcBorders>
            <w:shd w:val="clear" w:color="auto" w:fill="auto"/>
            <w:vAlign w:val="center"/>
          </w:tcPr>
          <w:p w14:paraId="2C8792CD" w14:textId="0AD4C35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7,8</w:t>
            </w:r>
          </w:p>
        </w:tc>
        <w:tc>
          <w:tcPr>
            <w:tcW w:w="864" w:type="dxa"/>
            <w:tcBorders>
              <w:top w:val="nil"/>
              <w:left w:val="nil"/>
              <w:bottom w:val="nil"/>
              <w:right w:val="nil"/>
            </w:tcBorders>
            <w:shd w:val="clear" w:color="auto" w:fill="auto"/>
            <w:vAlign w:val="center"/>
          </w:tcPr>
          <w:p w14:paraId="6817980A" w14:textId="672B66A1"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5,4</w:t>
            </w:r>
          </w:p>
        </w:tc>
        <w:tc>
          <w:tcPr>
            <w:tcW w:w="864" w:type="dxa"/>
            <w:tcBorders>
              <w:top w:val="nil"/>
              <w:left w:val="nil"/>
              <w:bottom w:val="nil"/>
              <w:right w:val="nil"/>
            </w:tcBorders>
            <w:shd w:val="clear" w:color="auto" w:fill="auto"/>
            <w:vAlign w:val="center"/>
          </w:tcPr>
          <w:p w14:paraId="6C30A21B" w14:textId="1F4F334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5,3</w:t>
            </w:r>
          </w:p>
        </w:tc>
        <w:tc>
          <w:tcPr>
            <w:tcW w:w="865" w:type="dxa"/>
            <w:tcBorders>
              <w:top w:val="nil"/>
              <w:left w:val="nil"/>
              <w:bottom w:val="nil"/>
              <w:right w:val="nil"/>
            </w:tcBorders>
            <w:shd w:val="clear" w:color="auto" w:fill="auto"/>
            <w:vAlign w:val="center"/>
          </w:tcPr>
          <w:p w14:paraId="20C7C3EC" w14:textId="069394B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4,5</w:t>
            </w:r>
          </w:p>
        </w:tc>
        <w:tc>
          <w:tcPr>
            <w:tcW w:w="864" w:type="dxa"/>
            <w:tcBorders>
              <w:top w:val="nil"/>
              <w:left w:val="nil"/>
              <w:bottom w:val="nil"/>
              <w:right w:val="nil"/>
            </w:tcBorders>
            <w:shd w:val="clear" w:color="auto" w:fill="auto"/>
            <w:vAlign w:val="center"/>
          </w:tcPr>
          <w:p w14:paraId="2AB3ED9B" w14:textId="27C773B5"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3,5</w:t>
            </w:r>
          </w:p>
        </w:tc>
        <w:tc>
          <w:tcPr>
            <w:tcW w:w="864" w:type="dxa"/>
            <w:tcBorders>
              <w:top w:val="nil"/>
              <w:left w:val="nil"/>
              <w:bottom w:val="nil"/>
              <w:right w:val="nil"/>
            </w:tcBorders>
            <w:shd w:val="clear" w:color="auto" w:fill="auto"/>
            <w:vAlign w:val="center"/>
          </w:tcPr>
          <w:p w14:paraId="53AF27FA" w14:textId="2B6AEF1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2,6</w:t>
            </w:r>
          </w:p>
        </w:tc>
        <w:tc>
          <w:tcPr>
            <w:tcW w:w="864" w:type="dxa"/>
            <w:tcBorders>
              <w:top w:val="nil"/>
              <w:left w:val="nil"/>
              <w:bottom w:val="nil"/>
              <w:right w:val="nil"/>
            </w:tcBorders>
            <w:shd w:val="clear" w:color="auto" w:fill="auto"/>
            <w:vAlign w:val="center"/>
          </w:tcPr>
          <w:p w14:paraId="019D8567" w14:textId="246E799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2,9</w:t>
            </w:r>
          </w:p>
        </w:tc>
        <w:tc>
          <w:tcPr>
            <w:tcW w:w="865" w:type="dxa"/>
            <w:tcBorders>
              <w:top w:val="nil"/>
              <w:left w:val="nil"/>
              <w:bottom w:val="nil"/>
              <w:right w:val="nil"/>
            </w:tcBorders>
            <w:shd w:val="clear" w:color="auto" w:fill="auto"/>
            <w:vAlign w:val="center"/>
          </w:tcPr>
          <w:p w14:paraId="13138342" w14:textId="49845FE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2,8</w:t>
            </w:r>
          </w:p>
        </w:tc>
        <w:tc>
          <w:tcPr>
            <w:tcW w:w="728" w:type="dxa"/>
            <w:tcBorders>
              <w:top w:val="nil"/>
              <w:left w:val="nil"/>
              <w:bottom w:val="nil"/>
              <w:right w:val="nil"/>
            </w:tcBorders>
            <w:shd w:val="clear" w:color="auto" w:fill="auto"/>
            <w:vAlign w:val="center"/>
          </w:tcPr>
          <w:p w14:paraId="28296BCA" w14:textId="7660D65E"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3,0</w:t>
            </w:r>
          </w:p>
        </w:tc>
      </w:tr>
      <w:tr w:rsidR="009B41CC" w:rsidRPr="009B41CC" w14:paraId="43D6DB5C" w14:textId="5818E21F" w:rsidTr="005D2ED6">
        <w:trPr>
          <w:trHeight w:val="284"/>
          <w:jc w:val="center"/>
        </w:trPr>
        <w:tc>
          <w:tcPr>
            <w:tcW w:w="1944" w:type="dxa"/>
            <w:tcBorders>
              <w:top w:val="nil"/>
              <w:left w:val="nil"/>
              <w:bottom w:val="nil"/>
              <w:right w:val="nil"/>
            </w:tcBorders>
            <w:shd w:val="clear" w:color="auto" w:fill="auto"/>
            <w:vAlign w:val="center"/>
          </w:tcPr>
          <w:p w14:paraId="6BE873C2" w14:textId="7D71A14E"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Αυστρί</w:t>
            </w:r>
            <w:proofErr w:type="spellEnd"/>
            <w:r w:rsidRPr="009B41CC">
              <w:rPr>
                <w:rFonts w:ascii="Verdana" w:hAnsi="Verdana"/>
                <w:color w:val="2F5496" w:themeColor="accent1" w:themeShade="BF"/>
                <w:sz w:val="18"/>
                <w:szCs w:val="18"/>
              </w:rPr>
              <w:t>α</w:t>
            </w:r>
          </w:p>
        </w:tc>
        <w:tc>
          <w:tcPr>
            <w:tcW w:w="866" w:type="dxa"/>
            <w:tcBorders>
              <w:top w:val="nil"/>
              <w:left w:val="nil"/>
              <w:bottom w:val="nil"/>
              <w:right w:val="nil"/>
            </w:tcBorders>
            <w:shd w:val="clear" w:color="auto" w:fill="auto"/>
            <w:vAlign w:val="center"/>
          </w:tcPr>
          <w:p w14:paraId="4FADDCD3" w14:textId="143E06C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2,9</w:t>
            </w:r>
          </w:p>
        </w:tc>
        <w:tc>
          <w:tcPr>
            <w:tcW w:w="864" w:type="dxa"/>
            <w:tcBorders>
              <w:top w:val="nil"/>
              <w:left w:val="nil"/>
              <w:bottom w:val="nil"/>
              <w:right w:val="nil"/>
            </w:tcBorders>
            <w:shd w:val="clear" w:color="auto" w:fill="auto"/>
            <w:vAlign w:val="center"/>
          </w:tcPr>
          <w:p w14:paraId="5BFD7486" w14:textId="1D9F2D5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3,3</w:t>
            </w:r>
          </w:p>
        </w:tc>
        <w:tc>
          <w:tcPr>
            <w:tcW w:w="864" w:type="dxa"/>
            <w:tcBorders>
              <w:top w:val="nil"/>
              <w:left w:val="nil"/>
              <w:bottom w:val="nil"/>
              <w:right w:val="nil"/>
            </w:tcBorders>
            <w:shd w:val="clear" w:color="auto" w:fill="auto"/>
            <w:vAlign w:val="center"/>
          </w:tcPr>
          <w:p w14:paraId="256C2BC6" w14:textId="4E3B517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3,4</w:t>
            </w:r>
          </w:p>
        </w:tc>
        <w:tc>
          <w:tcPr>
            <w:tcW w:w="865" w:type="dxa"/>
            <w:tcBorders>
              <w:top w:val="nil"/>
              <w:left w:val="nil"/>
              <w:bottom w:val="nil"/>
              <w:right w:val="nil"/>
            </w:tcBorders>
            <w:shd w:val="clear" w:color="auto" w:fill="auto"/>
            <w:vAlign w:val="center"/>
          </w:tcPr>
          <w:p w14:paraId="41D7FE68" w14:textId="3A88ECA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2,8</w:t>
            </w:r>
          </w:p>
        </w:tc>
        <w:tc>
          <w:tcPr>
            <w:tcW w:w="864" w:type="dxa"/>
            <w:tcBorders>
              <w:top w:val="nil"/>
              <w:left w:val="nil"/>
              <w:bottom w:val="nil"/>
              <w:right w:val="nil"/>
            </w:tcBorders>
            <w:shd w:val="clear" w:color="auto" w:fill="auto"/>
            <w:vAlign w:val="center"/>
          </w:tcPr>
          <w:p w14:paraId="1647AD75" w14:textId="51208A8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2,7</w:t>
            </w:r>
          </w:p>
        </w:tc>
        <w:tc>
          <w:tcPr>
            <w:tcW w:w="864" w:type="dxa"/>
            <w:tcBorders>
              <w:top w:val="nil"/>
              <w:left w:val="nil"/>
              <w:bottom w:val="nil"/>
              <w:right w:val="nil"/>
            </w:tcBorders>
            <w:shd w:val="clear" w:color="auto" w:fill="auto"/>
            <w:vAlign w:val="center"/>
          </w:tcPr>
          <w:p w14:paraId="56D61487" w14:textId="1827543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3,0</w:t>
            </w:r>
          </w:p>
        </w:tc>
        <w:tc>
          <w:tcPr>
            <w:tcW w:w="864" w:type="dxa"/>
            <w:tcBorders>
              <w:top w:val="nil"/>
              <w:left w:val="nil"/>
              <w:bottom w:val="nil"/>
              <w:right w:val="nil"/>
            </w:tcBorders>
            <w:shd w:val="clear" w:color="auto" w:fill="auto"/>
            <w:vAlign w:val="center"/>
          </w:tcPr>
          <w:p w14:paraId="6DDE73A1" w14:textId="33B65C9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1,8</w:t>
            </w:r>
          </w:p>
        </w:tc>
        <w:tc>
          <w:tcPr>
            <w:tcW w:w="865" w:type="dxa"/>
            <w:tcBorders>
              <w:top w:val="nil"/>
              <w:left w:val="nil"/>
              <w:bottom w:val="nil"/>
              <w:right w:val="nil"/>
            </w:tcBorders>
            <w:shd w:val="clear" w:color="auto" w:fill="auto"/>
            <w:vAlign w:val="center"/>
          </w:tcPr>
          <w:p w14:paraId="0A06D99C" w14:textId="3FB9684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2,3</w:t>
            </w:r>
          </w:p>
        </w:tc>
        <w:tc>
          <w:tcPr>
            <w:tcW w:w="728" w:type="dxa"/>
            <w:tcBorders>
              <w:top w:val="nil"/>
              <w:left w:val="nil"/>
              <w:bottom w:val="nil"/>
              <w:right w:val="nil"/>
            </w:tcBorders>
            <w:shd w:val="clear" w:color="auto" w:fill="auto"/>
            <w:vAlign w:val="center"/>
          </w:tcPr>
          <w:p w14:paraId="4DA7B2E0" w14:textId="46E295A8"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3,7</w:t>
            </w:r>
          </w:p>
        </w:tc>
      </w:tr>
      <w:tr w:rsidR="009B41CC" w:rsidRPr="009B41CC" w14:paraId="280492FA" w14:textId="35861FA1" w:rsidTr="005D2ED6">
        <w:trPr>
          <w:trHeight w:val="284"/>
          <w:jc w:val="center"/>
        </w:trPr>
        <w:tc>
          <w:tcPr>
            <w:tcW w:w="1944" w:type="dxa"/>
            <w:tcBorders>
              <w:top w:val="nil"/>
              <w:left w:val="nil"/>
              <w:bottom w:val="nil"/>
              <w:right w:val="nil"/>
            </w:tcBorders>
            <w:shd w:val="clear" w:color="auto" w:fill="auto"/>
            <w:vAlign w:val="center"/>
          </w:tcPr>
          <w:p w14:paraId="24AA4046" w14:textId="1EA9D4BE"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Μάλτ</w:t>
            </w:r>
            <w:proofErr w:type="spellEnd"/>
            <w:r w:rsidRPr="009B41CC">
              <w:rPr>
                <w:rFonts w:ascii="Verdana" w:hAnsi="Verdana"/>
                <w:color w:val="2F5496" w:themeColor="accent1" w:themeShade="BF"/>
                <w:sz w:val="18"/>
                <w:szCs w:val="18"/>
              </w:rPr>
              <w:t>α</w:t>
            </w:r>
          </w:p>
        </w:tc>
        <w:tc>
          <w:tcPr>
            <w:tcW w:w="866" w:type="dxa"/>
            <w:tcBorders>
              <w:top w:val="nil"/>
              <w:left w:val="nil"/>
              <w:bottom w:val="nil"/>
              <w:right w:val="nil"/>
            </w:tcBorders>
            <w:shd w:val="clear" w:color="auto" w:fill="auto"/>
            <w:vAlign w:val="center"/>
          </w:tcPr>
          <w:p w14:paraId="32708DD4" w14:textId="3685964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8,2</w:t>
            </w:r>
          </w:p>
        </w:tc>
        <w:tc>
          <w:tcPr>
            <w:tcW w:w="864" w:type="dxa"/>
            <w:tcBorders>
              <w:top w:val="nil"/>
              <w:left w:val="nil"/>
              <w:bottom w:val="nil"/>
              <w:right w:val="nil"/>
            </w:tcBorders>
            <w:shd w:val="clear" w:color="auto" w:fill="auto"/>
            <w:vAlign w:val="center"/>
          </w:tcPr>
          <w:p w14:paraId="22FDD409" w14:textId="6558B3E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5,2</w:t>
            </w:r>
          </w:p>
        </w:tc>
        <w:tc>
          <w:tcPr>
            <w:tcW w:w="864" w:type="dxa"/>
            <w:tcBorders>
              <w:top w:val="nil"/>
              <w:left w:val="nil"/>
              <w:bottom w:val="nil"/>
              <w:right w:val="nil"/>
            </w:tcBorders>
            <w:shd w:val="clear" w:color="auto" w:fill="auto"/>
            <w:vAlign w:val="center"/>
          </w:tcPr>
          <w:p w14:paraId="7EBC24D3" w14:textId="33876A3B"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4,3</w:t>
            </w:r>
          </w:p>
        </w:tc>
        <w:tc>
          <w:tcPr>
            <w:tcW w:w="865" w:type="dxa"/>
            <w:tcBorders>
              <w:top w:val="nil"/>
              <w:left w:val="nil"/>
              <w:bottom w:val="nil"/>
              <w:right w:val="nil"/>
            </w:tcBorders>
            <w:shd w:val="clear" w:color="auto" w:fill="auto"/>
            <w:vAlign w:val="center"/>
          </w:tcPr>
          <w:p w14:paraId="12DD9E67" w14:textId="2C60324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4,7</w:t>
            </w:r>
          </w:p>
        </w:tc>
        <w:tc>
          <w:tcPr>
            <w:tcW w:w="864" w:type="dxa"/>
            <w:tcBorders>
              <w:top w:val="nil"/>
              <w:left w:val="nil"/>
              <w:bottom w:val="nil"/>
              <w:right w:val="nil"/>
            </w:tcBorders>
            <w:shd w:val="clear" w:color="auto" w:fill="auto"/>
            <w:vAlign w:val="center"/>
          </w:tcPr>
          <w:p w14:paraId="5B1290AF" w14:textId="33019FC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5,0</w:t>
            </w:r>
          </w:p>
        </w:tc>
        <w:tc>
          <w:tcPr>
            <w:tcW w:w="864" w:type="dxa"/>
            <w:tcBorders>
              <w:top w:val="nil"/>
              <w:left w:val="nil"/>
              <w:bottom w:val="nil"/>
              <w:right w:val="nil"/>
            </w:tcBorders>
            <w:shd w:val="clear" w:color="auto" w:fill="auto"/>
            <w:vAlign w:val="center"/>
          </w:tcPr>
          <w:p w14:paraId="72457D69" w14:textId="1B78E6B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5,1</w:t>
            </w:r>
          </w:p>
        </w:tc>
        <w:tc>
          <w:tcPr>
            <w:tcW w:w="864" w:type="dxa"/>
            <w:tcBorders>
              <w:top w:val="nil"/>
              <w:left w:val="nil"/>
              <w:bottom w:val="nil"/>
              <w:right w:val="nil"/>
            </w:tcBorders>
            <w:shd w:val="clear" w:color="auto" w:fill="auto"/>
            <w:vAlign w:val="center"/>
          </w:tcPr>
          <w:p w14:paraId="6EE91E4D" w14:textId="54E3C931"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5,4</w:t>
            </w:r>
          </w:p>
        </w:tc>
        <w:tc>
          <w:tcPr>
            <w:tcW w:w="865" w:type="dxa"/>
            <w:tcBorders>
              <w:top w:val="nil"/>
              <w:left w:val="nil"/>
              <w:bottom w:val="nil"/>
              <w:right w:val="nil"/>
            </w:tcBorders>
            <w:shd w:val="clear" w:color="auto" w:fill="auto"/>
            <w:vAlign w:val="center"/>
          </w:tcPr>
          <w:p w14:paraId="003C653D" w14:textId="3C40C94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4,9</w:t>
            </w:r>
          </w:p>
        </w:tc>
        <w:tc>
          <w:tcPr>
            <w:tcW w:w="728" w:type="dxa"/>
            <w:tcBorders>
              <w:top w:val="nil"/>
              <w:left w:val="nil"/>
              <w:bottom w:val="nil"/>
              <w:right w:val="nil"/>
            </w:tcBorders>
            <w:shd w:val="clear" w:color="auto" w:fill="auto"/>
            <w:vAlign w:val="center"/>
          </w:tcPr>
          <w:p w14:paraId="75783EAC" w14:textId="1C75ABAA"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4,1</w:t>
            </w:r>
          </w:p>
        </w:tc>
      </w:tr>
      <w:tr w:rsidR="009B41CC" w:rsidRPr="009B41CC" w14:paraId="63F07E9A" w14:textId="21094EDD" w:rsidTr="005D2ED6">
        <w:trPr>
          <w:trHeight w:val="284"/>
          <w:jc w:val="center"/>
        </w:trPr>
        <w:tc>
          <w:tcPr>
            <w:tcW w:w="1944" w:type="dxa"/>
            <w:tcBorders>
              <w:top w:val="nil"/>
              <w:left w:val="nil"/>
              <w:bottom w:val="nil"/>
              <w:right w:val="nil"/>
            </w:tcBorders>
            <w:shd w:val="clear" w:color="auto" w:fill="auto"/>
            <w:vAlign w:val="center"/>
          </w:tcPr>
          <w:p w14:paraId="5287550A" w14:textId="3AAE5FAD"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Ιτ</w:t>
            </w:r>
            <w:proofErr w:type="spellEnd"/>
            <w:r w:rsidRPr="009B41CC">
              <w:rPr>
                <w:rFonts w:ascii="Verdana" w:hAnsi="Verdana"/>
                <w:color w:val="2F5496" w:themeColor="accent1" w:themeShade="BF"/>
                <w:sz w:val="18"/>
                <w:szCs w:val="18"/>
              </w:rPr>
              <w:t>αλία</w:t>
            </w:r>
          </w:p>
        </w:tc>
        <w:tc>
          <w:tcPr>
            <w:tcW w:w="866" w:type="dxa"/>
            <w:tcBorders>
              <w:top w:val="nil"/>
              <w:left w:val="nil"/>
              <w:bottom w:val="nil"/>
              <w:right w:val="nil"/>
            </w:tcBorders>
            <w:shd w:val="clear" w:color="auto" w:fill="auto"/>
            <w:vAlign w:val="center"/>
          </w:tcPr>
          <w:p w14:paraId="2CD64F27" w14:textId="730FFFC1"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12,1</w:t>
            </w:r>
          </w:p>
        </w:tc>
        <w:tc>
          <w:tcPr>
            <w:tcW w:w="864" w:type="dxa"/>
            <w:tcBorders>
              <w:top w:val="nil"/>
              <w:left w:val="nil"/>
              <w:bottom w:val="nil"/>
              <w:right w:val="nil"/>
            </w:tcBorders>
            <w:shd w:val="clear" w:color="auto" w:fill="auto"/>
            <w:vAlign w:val="center"/>
          </w:tcPr>
          <w:p w14:paraId="34A761F0" w14:textId="18567D6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10,1</w:t>
            </w:r>
          </w:p>
        </w:tc>
        <w:tc>
          <w:tcPr>
            <w:tcW w:w="864" w:type="dxa"/>
            <w:tcBorders>
              <w:top w:val="nil"/>
              <w:left w:val="nil"/>
              <w:bottom w:val="nil"/>
              <w:right w:val="nil"/>
            </w:tcBorders>
            <w:shd w:val="clear" w:color="auto" w:fill="auto"/>
            <w:vAlign w:val="center"/>
          </w:tcPr>
          <w:p w14:paraId="1464F4B4" w14:textId="426C58D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6,6</w:t>
            </w:r>
          </w:p>
        </w:tc>
        <w:tc>
          <w:tcPr>
            <w:tcW w:w="865" w:type="dxa"/>
            <w:tcBorders>
              <w:top w:val="nil"/>
              <w:left w:val="nil"/>
              <w:bottom w:val="nil"/>
              <w:right w:val="nil"/>
            </w:tcBorders>
            <w:shd w:val="clear" w:color="auto" w:fill="auto"/>
            <w:vAlign w:val="center"/>
          </w:tcPr>
          <w:p w14:paraId="000C5FEE" w14:textId="58A319B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6,5</w:t>
            </w:r>
          </w:p>
        </w:tc>
        <w:tc>
          <w:tcPr>
            <w:tcW w:w="864" w:type="dxa"/>
            <w:tcBorders>
              <w:top w:val="nil"/>
              <w:left w:val="nil"/>
              <w:bottom w:val="nil"/>
              <w:right w:val="nil"/>
            </w:tcBorders>
            <w:shd w:val="clear" w:color="auto" w:fill="auto"/>
            <w:vAlign w:val="center"/>
          </w:tcPr>
          <w:p w14:paraId="75C8EC53" w14:textId="0E0EE6D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6,4</w:t>
            </w:r>
          </w:p>
        </w:tc>
        <w:tc>
          <w:tcPr>
            <w:tcW w:w="864" w:type="dxa"/>
            <w:tcBorders>
              <w:top w:val="nil"/>
              <w:left w:val="nil"/>
              <w:bottom w:val="nil"/>
              <w:right w:val="nil"/>
            </w:tcBorders>
            <w:shd w:val="clear" w:color="auto" w:fill="auto"/>
            <w:vAlign w:val="center"/>
          </w:tcPr>
          <w:p w14:paraId="381F1534" w14:textId="2B4C4F0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6,2</w:t>
            </w:r>
          </w:p>
        </w:tc>
        <w:tc>
          <w:tcPr>
            <w:tcW w:w="864" w:type="dxa"/>
            <w:tcBorders>
              <w:top w:val="nil"/>
              <w:left w:val="nil"/>
              <w:bottom w:val="nil"/>
              <w:right w:val="nil"/>
            </w:tcBorders>
            <w:shd w:val="clear" w:color="auto" w:fill="auto"/>
            <w:vAlign w:val="center"/>
          </w:tcPr>
          <w:p w14:paraId="1B7D467B" w14:textId="71539DE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5,9</w:t>
            </w:r>
          </w:p>
        </w:tc>
        <w:tc>
          <w:tcPr>
            <w:tcW w:w="865" w:type="dxa"/>
            <w:tcBorders>
              <w:top w:val="nil"/>
              <w:left w:val="nil"/>
              <w:bottom w:val="nil"/>
              <w:right w:val="nil"/>
            </w:tcBorders>
            <w:shd w:val="clear" w:color="auto" w:fill="auto"/>
            <w:vAlign w:val="center"/>
          </w:tcPr>
          <w:p w14:paraId="3005A750" w14:textId="5FE0A16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4,5</w:t>
            </w:r>
          </w:p>
        </w:tc>
        <w:tc>
          <w:tcPr>
            <w:tcW w:w="728" w:type="dxa"/>
            <w:tcBorders>
              <w:top w:val="nil"/>
              <w:left w:val="nil"/>
              <w:bottom w:val="nil"/>
              <w:right w:val="nil"/>
            </w:tcBorders>
            <w:shd w:val="clear" w:color="auto" w:fill="auto"/>
            <w:vAlign w:val="center"/>
          </w:tcPr>
          <w:p w14:paraId="7D2329DB" w14:textId="479BD8A9"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4,7</w:t>
            </w:r>
          </w:p>
        </w:tc>
      </w:tr>
      <w:tr w:rsidR="009B41CC" w:rsidRPr="009B41CC" w14:paraId="695C87BE" w14:textId="4909B1E4" w:rsidTr="005D2ED6">
        <w:trPr>
          <w:trHeight w:val="284"/>
          <w:jc w:val="center"/>
        </w:trPr>
        <w:tc>
          <w:tcPr>
            <w:tcW w:w="1944" w:type="dxa"/>
            <w:tcBorders>
              <w:top w:val="nil"/>
              <w:left w:val="nil"/>
              <w:bottom w:val="nil"/>
              <w:right w:val="nil"/>
            </w:tcBorders>
            <w:shd w:val="clear" w:color="auto" w:fill="auto"/>
            <w:vAlign w:val="center"/>
          </w:tcPr>
          <w:p w14:paraId="1C35D248" w14:textId="67FD8A02" w:rsidR="009B41CC" w:rsidRPr="009B41CC" w:rsidRDefault="009B41CC" w:rsidP="009B41CC">
            <w:pPr>
              <w:rPr>
                <w:rFonts w:ascii="Verdana" w:hAnsi="Verdana"/>
                <w:color w:val="2F5496" w:themeColor="accent1" w:themeShade="BF"/>
                <w:sz w:val="18"/>
                <w:szCs w:val="18"/>
              </w:rPr>
            </w:pPr>
            <w:r w:rsidRPr="009B41CC">
              <w:rPr>
                <w:rFonts w:ascii="Verdana" w:hAnsi="Verdana"/>
                <w:color w:val="2F5496" w:themeColor="accent1" w:themeShade="BF"/>
                <w:sz w:val="18"/>
                <w:szCs w:val="18"/>
              </w:rPr>
              <w:t>Δα</w:t>
            </w:r>
            <w:proofErr w:type="spellStart"/>
            <w:r w:rsidRPr="009B41CC">
              <w:rPr>
                <w:rFonts w:ascii="Verdana" w:hAnsi="Verdana"/>
                <w:color w:val="2F5496" w:themeColor="accent1" w:themeShade="BF"/>
                <w:sz w:val="18"/>
                <w:szCs w:val="18"/>
              </w:rPr>
              <w:t>νί</w:t>
            </w:r>
            <w:proofErr w:type="spellEnd"/>
            <w:r w:rsidRPr="009B41CC">
              <w:rPr>
                <w:rFonts w:ascii="Verdana" w:hAnsi="Verdana"/>
                <w:color w:val="2F5496" w:themeColor="accent1" w:themeShade="BF"/>
                <w:sz w:val="18"/>
                <w:szCs w:val="18"/>
              </w:rPr>
              <w:t>α</w:t>
            </w:r>
          </w:p>
        </w:tc>
        <w:tc>
          <w:tcPr>
            <w:tcW w:w="866" w:type="dxa"/>
            <w:tcBorders>
              <w:top w:val="nil"/>
              <w:left w:val="nil"/>
              <w:bottom w:val="nil"/>
              <w:right w:val="nil"/>
            </w:tcBorders>
            <w:shd w:val="clear" w:color="auto" w:fill="auto"/>
            <w:vAlign w:val="center"/>
          </w:tcPr>
          <w:p w14:paraId="57D0E30E" w14:textId="11574D6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3,2</w:t>
            </w:r>
          </w:p>
        </w:tc>
        <w:tc>
          <w:tcPr>
            <w:tcW w:w="864" w:type="dxa"/>
            <w:tcBorders>
              <w:top w:val="nil"/>
              <w:left w:val="nil"/>
              <w:bottom w:val="nil"/>
              <w:right w:val="nil"/>
            </w:tcBorders>
            <w:shd w:val="clear" w:color="auto" w:fill="auto"/>
            <w:vAlign w:val="center"/>
          </w:tcPr>
          <w:p w14:paraId="03A37432" w14:textId="2A0B017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2,6</w:t>
            </w:r>
          </w:p>
        </w:tc>
        <w:tc>
          <w:tcPr>
            <w:tcW w:w="864" w:type="dxa"/>
            <w:tcBorders>
              <w:top w:val="nil"/>
              <w:left w:val="nil"/>
              <w:bottom w:val="nil"/>
              <w:right w:val="nil"/>
            </w:tcBorders>
            <w:shd w:val="clear" w:color="auto" w:fill="auto"/>
            <w:vAlign w:val="center"/>
          </w:tcPr>
          <w:p w14:paraId="30AD490E" w14:textId="1179DAE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3,6</w:t>
            </w:r>
          </w:p>
        </w:tc>
        <w:tc>
          <w:tcPr>
            <w:tcW w:w="865" w:type="dxa"/>
            <w:tcBorders>
              <w:top w:val="nil"/>
              <w:left w:val="nil"/>
              <w:bottom w:val="nil"/>
              <w:right w:val="nil"/>
            </w:tcBorders>
            <w:shd w:val="clear" w:color="auto" w:fill="auto"/>
            <w:vAlign w:val="center"/>
          </w:tcPr>
          <w:p w14:paraId="02D85BFB" w14:textId="632ACA05"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3,5</w:t>
            </w:r>
          </w:p>
        </w:tc>
        <w:tc>
          <w:tcPr>
            <w:tcW w:w="864" w:type="dxa"/>
            <w:tcBorders>
              <w:top w:val="nil"/>
              <w:left w:val="nil"/>
              <w:bottom w:val="nil"/>
              <w:right w:val="nil"/>
            </w:tcBorders>
            <w:shd w:val="clear" w:color="auto" w:fill="auto"/>
            <w:vAlign w:val="center"/>
          </w:tcPr>
          <w:p w14:paraId="414D6102" w14:textId="1EBABFD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3,8</w:t>
            </w:r>
          </w:p>
        </w:tc>
        <w:tc>
          <w:tcPr>
            <w:tcW w:w="864" w:type="dxa"/>
            <w:tcBorders>
              <w:top w:val="nil"/>
              <w:left w:val="nil"/>
              <w:bottom w:val="nil"/>
              <w:right w:val="nil"/>
            </w:tcBorders>
            <w:shd w:val="clear" w:color="auto" w:fill="auto"/>
            <w:vAlign w:val="center"/>
          </w:tcPr>
          <w:p w14:paraId="508F65BD" w14:textId="5111CB73"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3,5</w:t>
            </w:r>
          </w:p>
        </w:tc>
        <w:tc>
          <w:tcPr>
            <w:tcW w:w="864" w:type="dxa"/>
            <w:tcBorders>
              <w:top w:val="nil"/>
              <w:left w:val="nil"/>
              <w:bottom w:val="nil"/>
              <w:right w:val="nil"/>
            </w:tcBorders>
            <w:shd w:val="clear" w:color="auto" w:fill="auto"/>
            <w:vAlign w:val="center"/>
          </w:tcPr>
          <w:p w14:paraId="283EF69A" w14:textId="295296BB"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3,1</w:t>
            </w:r>
          </w:p>
        </w:tc>
        <w:tc>
          <w:tcPr>
            <w:tcW w:w="865" w:type="dxa"/>
            <w:tcBorders>
              <w:top w:val="nil"/>
              <w:left w:val="nil"/>
              <w:bottom w:val="nil"/>
              <w:right w:val="nil"/>
            </w:tcBorders>
            <w:shd w:val="clear" w:color="auto" w:fill="auto"/>
            <w:vAlign w:val="center"/>
          </w:tcPr>
          <w:p w14:paraId="12873DDA" w14:textId="5AC533D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3,2</w:t>
            </w:r>
          </w:p>
        </w:tc>
        <w:tc>
          <w:tcPr>
            <w:tcW w:w="728" w:type="dxa"/>
            <w:tcBorders>
              <w:top w:val="nil"/>
              <w:left w:val="nil"/>
              <w:bottom w:val="nil"/>
              <w:right w:val="nil"/>
            </w:tcBorders>
            <w:shd w:val="clear" w:color="auto" w:fill="auto"/>
            <w:vAlign w:val="center"/>
          </w:tcPr>
          <w:p w14:paraId="13FA5112" w14:textId="5A63959A"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4,9</w:t>
            </w:r>
          </w:p>
        </w:tc>
      </w:tr>
      <w:tr w:rsidR="009B41CC" w:rsidRPr="009B41CC" w14:paraId="11B28D65" w14:textId="0504DFD5" w:rsidTr="005D2ED6">
        <w:trPr>
          <w:trHeight w:val="284"/>
          <w:jc w:val="center"/>
        </w:trPr>
        <w:tc>
          <w:tcPr>
            <w:tcW w:w="1944" w:type="dxa"/>
            <w:tcBorders>
              <w:top w:val="nil"/>
              <w:left w:val="nil"/>
              <w:bottom w:val="nil"/>
              <w:right w:val="nil"/>
            </w:tcBorders>
            <w:shd w:val="clear" w:color="auto" w:fill="auto"/>
            <w:vAlign w:val="center"/>
          </w:tcPr>
          <w:p w14:paraId="1DD08308" w14:textId="2E162DA0"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Πορτογ</w:t>
            </w:r>
            <w:proofErr w:type="spellEnd"/>
            <w:r w:rsidRPr="009B41CC">
              <w:rPr>
                <w:rFonts w:ascii="Verdana" w:hAnsi="Verdana"/>
                <w:color w:val="2F5496" w:themeColor="accent1" w:themeShade="BF"/>
                <w:sz w:val="18"/>
                <w:szCs w:val="18"/>
              </w:rPr>
              <w:t>αλία</w:t>
            </w:r>
          </w:p>
        </w:tc>
        <w:tc>
          <w:tcPr>
            <w:tcW w:w="866" w:type="dxa"/>
            <w:tcBorders>
              <w:top w:val="nil"/>
              <w:left w:val="nil"/>
              <w:bottom w:val="nil"/>
              <w:right w:val="nil"/>
            </w:tcBorders>
            <w:shd w:val="clear" w:color="auto" w:fill="auto"/>
            <w:vAlign w:val="center"/>
          </w:tcPr>
          <w:p w14:paraId="633F78CF" w14:textId="7632143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10,9</w:t>
            </w:r>
          </w:p>
        </w:tc>
        <w:tc>
          <w:tcPr>
            <w:tcW w:w="864" w:type="dxa"/>
            <w:tcBorders>
              <w:top w:val="nil"/>
              <w:left w:val="nil"/>
              <w:bottom w:val="nil"/>
              <w:right w:val="nil"/>
            </w:tcBorders>
            <w:shd w:val="clear" w:color="auto" w:fill="auto"/>
            <w:vAlign w:val="center"/>
          </w:tcPr>
          <w:p w14:paraId="150A922A" w14:textId="2C315A8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9,1</w:t>
            </w:r>
          </w:p>
        </w:tc>
        <w:tc>
          <w:tcPr>
            <w:tcW w:w="864" w:type="dxa"/>
            <w:tcBorders>
              <w:top w:val="nil"/>
              <w:left w:val="nil"/>
              <w:bottom w:val="nil"/>
              <w:right w:val="nil"/>
            </w:tcBorders>
            <w:shd w:val="clear" w:color="auto" w:fill="auto"/>
            <w:vAlign w:val="center"/>
          </w:tcPr>
          <w:p w14:paraId="51961D7D" w14:textId="1EC88095"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8,0</w:t>
            </w:r>
          </w:p>
        </w:tc>
        <w:tc>
          <w:tcPr>
            <w:tcW w:w="865" w:type="dxa"/>
            <w:tcBorders>
              <w:top w:val="nil"/>
              <w:left w:val="nil"/>
              <w:bottom w:val="nil"/>
              <w:right w:val="nil"/>
            </w:tcBorders>
            <w:shd w:val="clear" w:color="auto" w:fill="auto"/>
            <w:vAlign w:val="center"/>
          </w:tcPr>
          <w:p w14:paraId="06F62226" w14:textId="5C3012D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6,6</w:t>
            </w:r>
          </w:p>
        </w:tc>
        <w:tc>
          <w:tcPr>
            <w:tcW w:w="864" w:type="dxa"/>
            <w:tcBorders>
              <w:top w:val="nil"/>
              <w:left w:val="nil"/>
              <w:bottom w:val="nil"/>
              <w:right w:val="nil"/>
            </w:tcBorders>
            <w:shd w:val="clear" w:color="auto" w:fill="auto"/>
            <w:vAlign w:val="center"/>
          </w:tcPr>
          <w:p w14:paraId="2B88C833" w14:textId="7B49001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5,6</w:t>
            </w:r>
          </w:p>
        </w:tc>
        <w:tc>
          <w:tcPr>
            <w:tcW w:w="864" w:type="dxa"/>
            <w:tcBorders>
              <w:top w:val="nil"/>
              <w:left w:val="nil"/>
              <w:bottom w:val="nil"/>
              <w:right w:val="nil"/>
            </w:tcBorders>
            <w:shd w:val="clear" w:color="auto" w:fill="auto"/>
            <w:vAlign w:val="center"/>
          </w:tcPr>
          <w:p w14:paraId="39750F70" w14:textId="3316B095"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5,4</w:t>
            </w:r>
          </w:p>
        </w:tc>
        <w:tc>
          <w:tcPr>
            <w:tcW w:w="864" w:type="dxa"/>
            <w:tcBorders>
              <w:top w:val="nil"/>
              <w:left w:val="nil"/>
              <w:bottom w:val="nil"/>
              <w:right w:val="nil"/>
            </w:tcBorders>
            <w:shd w:val="clear" w:color="auto" w:fill="auto"/>
            <w:vAlign w:val="center"/>
          </w:tcPr>
          <w:p w14:paraId="5ADE1D65" w14:textId="5BFD298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6,0</w:t>
            </w:r>
          </w:p>
        </w:tc>
        <w:tc>
          <w:tcPr>
            <w:tcW w:w="865" w:type="dxa"/>
            <w:tcBorders>
              <w:top w:val="nil"/>
              <w:left w:val="nil"/>
              <w:bottom w:val="nil"/>
              <w:right w:val="nil"/>
            </w:tcBorders>
            <w:shd w:val="clear" w:color="auto" w:fill="auto"/>
            <w:vAlign w:val="center"/>
          </w:tcPr>
          <w:p w14:paraId="161A8023" w14:textId="397CF9F1"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5,3</w:t>
            </w:r>
          </w:p>
        </w:tc>
        <w:tc>
          <w:tcPr>
            <w:tcW w:w="728" w:type="dxa"/>
            <w:tcBorders>
              <w:top w:val="nil"/>
              <w:left w:val="nil"/>
              <w:bottom w:val="nil"/>
              <w:right w:val="nil"/>
            </w:tcBorders>
            <w:shd w:val="clear" w:color="auto" w:fill="auto"/>
            <w:vAlign w:val="center"/>
          </w:tcPr>
          <w:p w14:paraId="270B9C03" w14:textId="0A8D6D84"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4,9</w:t>
            </w:r>
          </w:p>
        </w:tc>
      </w:tr>
      <w:tr w:rsidR="009B41CC" w:rsidRPr="009B41CC" w14:paraId="24A595C1" w14:textId="036CEA52" w:rsidTr="005D2ED6">
        <w:trPr>
          <w:trHeight w:val="284"/>
          <w:jc w:val="center"/>
        </w:trPr>
        <w:tc>
          <w:tcPr>
            <w:tcW w:w="1944" w:type="dxa"/>
            <w:tcBorders>
              <w:top w:val="nil"/>
              <w:left w:val="nil"/>
              <w:bottom w:val="nil"/>
              <w:right w:val="nil"/>
            </w:tcBorders>
            <w:shd w:val="clear" w:color="auto" w:fill="auto"/>
            <w:vAlign w:val="center"/>
          </w:tcPr>
          <w:p w14:paraId="09E70488" w14:textId="0D1738FB"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Ιρλ</w:t>
            </w:r>
            <w:proofErr w:type="spellEnd"/>
            <w:r w:rsidRPr="009B41CC">
              <w:rPr>
                <w:rFonts w:ascii="Verdana" w:hAnsi="Verdana"/>
                <w:color w:val="2F5496" w:themeColor="accent1" w:themeShade="BF"/>
                <w:sz w:val="18"/>
                <w:szCs w:val="18"/>
              </w:rPr>
              <w:t>ανδία</w:t>
            </w:r>
          </w:p>
        </w:tc>
        <w:tc>
          <w:tcPr>
            <w:tcW w:w="866" w:type="dxa"/>
            <w:tcBorders>
              <w:top w:val="nil"/>
              <w:left w:val="nil"/>
              <w:bottom w:val="nil"/>
              <w:right w:val="nil"/>
            </w:tcBorders>
            <w:shd w:val="clear" w:color="auto" w:fill="auto"/>
            <w:vAlign w:val="center"/>
          </w:tcPr>
          <w:p w14:paraId="7EA588A7" w14:textId="50A0AFC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9,4</w:t>
            </w:r>
          </w:p>
        </w:tc>
        <w:tc>
          <w:tcPr>
            <w:tcW w:w="864" w:type="dxa"/>
            <w:tcBorders>
              <w:top w:val="nil"/>
              <w:left w:val="nil"/>
              <w:bottom w:val="nil"/>
              <w:right w:val="nil"/>
            </w:tcBorders>
            <w:shd w:val="clear" w:color="auto" w:fill="auto"/>
            <w:vAlign w:val="center"/>
          </w:tcPr>
          <w:p w14:paraId="2F78782A" w14:textId="2652A6E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8,0</w:t>
            </w:r>
          </w:p>
        </w:tc>
        <w:tc>
          <w:tcPr>
            <w:tcW w:w="864" w:type="dxa"/>
            <w:tcBorders>
              <w:top w:val="nil"/>
              <w:left w:val="nil"/>
              <w:bottom w:val="nil"/>
              <w:right w:val="nil"/>
            </w:tcBorders>
            <w:shd w:val="clear" w:color="auto" w:fill="auto"/>
            <w:vAlign w:val="center"/>
          </w:tcPr>
          <w:p w14:paraId="3BA6A2B9" w14:textId="51DF205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6,9</w:t>
            </w:r>
          </w:p>
        </w:tc>
        <w:tc>
          <w:tcPr>
            <w:tcW w:w="865" w:type="dxa"/>
            <w:tcBorders>
              <w:top w:val="nil"/>
              <w:left w:val="nil"/>
              <w:bottom w:val="nil"/>
              <w:right w:val="nil"/>
            </w:tcBorders>
            <w:shd w:val="clear" w:color="auto" w:fill="auto"/>
            <w:vAlign w:val="center"/>
          </w:tcPr>
          <w:p w14:paraId="02BD6748" w14:textId="1CA5C64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6,1</w:t>
            </w:r>
          </w:p>
        </w:tc>
        <w:tc>
          <w:tcPr>
            <w:tcW w:w="864" w:type="dxa"/>
            <w:tcBorders>
              <w:top w:val="nil"/>
              <w:left w:val="nil"/>
              <w:bottom w:val="nil"/>
              <w:right w:val="nil"/>
            </w:tcBorders>
            <w:shd w:val="clear" w:color="auto" w:fill="auto"/>
            <w:vAlign w:val="center"/>
          </w:tcPr>
          <w:p w14:paraId="372FE0FD" w14:textId="11EFA2B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7,1</w:t>
            </w:r>
          </w:p>
        </w:tc>
        <w:tc>
          <w:tcPr>
            <w:tcW w:w="864" w:type="dxa"/>
            <w:tcBorders>
              <w:top w:val="nil"/>
              <w:left w:val="nil"/>
              <w:bottom w:val="nil"/>
              <w:right w:val="nil"/>
            </w:tcBorders>
            <w:shd w:val="clear" w:color="auto" w:fill="auto"/>
            <w:vAlign w:val="center"/>
          </w:tcPr>
          <w:p w14:paraId="42D72DB8" w14:textId="25DD6AC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5,7</w:t>
            </w:r>
          </w:p>
        </w:tc>
        <w:tc>
          <w:tcPr>
            <w:tcW w:w="864" w:type="dxa"/>
            <w:tcBorders>
              <w:top w:val="nil"/>
              <w:left w:val="nil"/>
              <w:bottom w:val="nil"/>
              <w:right w:val="nil"/>
            </w:tcBorders>
            <w:shd w:val="clear" w:color="auto" w:fill="auto"/>
            <w:vAlign w:val="center"/>
          </w:tcPr>
          <w:p w14:paraId="5401B439" w14:textId="1996049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5,1</w:t>
            </w:r>
          </w:p>
        </w:tc>
        <w:tc>
          <w:tcPr>
            <w:tcW w:w="865" w:type="dxa"/>
            <w:tcBorders>
              <w:top w:val="nil"/>
              <w:left w:val="nil"/>
              <w:bottom w:val="nil"/>
              <w:right w:val="nil"/>
            </w:tcBorders>
            <w:shd w:val="clear" w:color="auto" w:fill="auto"/>
            <w:vAlign w:val="center"/>
          </w:tcPr>
          <w:p w14:paraId="606BDA61" w14:textId="271F1D41"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5,8</w:t>
            </w:r>
          </w:p>
        </w:tc>
        <w:tc>
          <w:tcPr>
            <w:tcW w:w="728" w:type="dxa"/>
            <w:tcBorders>
              <w:top w:val="nil"/>
              <w:left w:val="nil"/>
              <w:bottom w:val="nil"/>
              <w:right w:val="nil"/>
            </w:tcBorders>
            <w:shd w:val="clear" w:color="auto" w:fill="auto"/>
            <w:vAlign w:val="center"/>
          </w:tcPr>
          <w:p w14:paraId="04660D5B" w14:textId="6FB200AE"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6,0</w:t>
            </w:r>
          </w:p>
        </w:tc>
      </w:tr>
      <w:tr w:rsidR="009B41CC" w:rsidRPr="009B41CC" w14:paraId="5E7DBE4F" w14:textId="5A1B0D0F" w:rsidTr="005D2ED6">
        <w:trPr>
          <w:trHeight w:val="284"/>
          <w:jc w:val="center"/>
        </w:trPr>
        <w:tc>
          <w:tcPr>
            <w:tcW w:w="1944" w:type="dxa"/>
            <w:tcBorders>
              <w:top w:val="nil"/>
              <w:left w:val="nil"/>
              <w:bottom w:val="nil"/>
              <w:right w:val="nil"/>
            </w:tcBorders>
            <w:shd w:val="clear" w:color="auto" w:fill="auto"/>
            <w:vAlign w:val="center"/>
          </w:tcPr>
          <w:p w14:paraId="7F6ED0C5" w14:textId="27113661"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Βέλγιο</w:t>
            </w:r>
            <w:proofErr w:type="spellEnd"/>
          </w:p>
        </w:tc>
        <w:tc>
          <w:tcPr>
            <w:tcW w:w="866" w:type="dxa"/>
            <w:tcBorders>
              <w:top w:val="nil"/>
              <w:left w:val="nil"/>
              <w:bottom w:val="nil"/>
              <w:right w:val="nil"/>
            </w:tcBorders>
            <w:shd w:val="clear" w:color="auto" w:fill="auto"/>
            <w:vAlign w:val="center"/>
          </w:tcPr>
          <w:p w14:paraId="594C1697" w14:textId="60924A75"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7,2</w:t>
            </w:r>
          </w:p>
        </w:tc>
        <w:tc>
          <w:tcPr>
            <w:tcW w:w="864" w:type="dxa"/>
            <w:tcBorders>
              <w:top w:val="nil"/>
              <w:left w:val="nil"/>
              <w:bottom w:val="nil"/>
              <w:right w:val="nil"/>
            </w:tcBorders>
            <w:shd w:val="clear" w:color="auto" w:fill="auto"/>
            <w:vAlign w:val="center"/>
          </w:tcPr>
          <w:p w14:paraId="570B96F7" w14:textId="067798BB"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8,4</w:t>
            </w:r>
          </w:p>
        </w:tc>
        <w:tc>
          <w:tcPr>
            <w:tcW w:w="864" w:type="dxa"/>
            <w:tcBorders>
              <w:top w:val="nil"/>
              <w:left w:val="nil"/>
              <w:bottom w:val="nil"/>
              <w:right w:val="nil"/>
            </w:tcBorders>
            <w:shd w:val="clear" w:color="auto" w:fill="auto"/>
            <w:vAlign w:val="center"/>
          </w:tcPr>
          <w:p w14:paraId="72AB6216" w14:textId="4DBDE0D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7,2</w:t>
            </w:r>
          </w:p>
        </w:tc>
        <w:tc>
          <w:tcPr>
            <w:tcW w:w="865" w:type="dxa"/>
            <w:tcBorders>
              <w:top w:val="nil"/>
              <w:left w:val="nil"/>
              <w:bottom w:val="nil"/>
              <w:right w:val="nil"/>
            </w:tcBorders>
            <w:shd w:val="clear" w:color="auto" w:fill="auto"/>
            <w:vAlign w:val="center"/>
          </w:tcPr>
          <w:p w14:paraId="33DED676" w14:textId="6913F36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6,5</w:t>
            </w:r>
          </w:p>
        </w:tc>
        <w:tc>
          <w:tcPr>
            <w:tcW w:w="864" w:type="dxa"/>
            <w:tcBorders>
              <w:top w:val="nil"/>
              <w:left w:val="nil"/>
              <w:bottom w:val="nil"/>
              <w:right w:val="nil"/>
            </w:tcBorders>
            <w:shd w:val="clear" w:color="auto" w:fill="auto"/>
            <w:vAlign w:val="center"/>
          </w:tcPr>
          <w:p w14:paraId="06D63913" w14:textId="360F176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6,3</w:t>
            </w:r>
          </w:p>
        </w:tc>
        <w:tc>
          <w:tcPr>
            <w:tcW w:w="864" w:type="dxa"/>
            <w:tcBorders>
              <w:top w:val="nil"/>
              <w:left w:val="nil"/>
              <w:bottom w:val="nil"/>
              <w:right w:val="nil"/>
            </w:tcBorders>
            <w:shd w:val="clear" w:color="auto" w:fill="auto"/>
            <w:vAlign w:val="center"/>
          </w:tcPr>
          <w:p w14:paraId="635836F6" w14:textId="6BC4278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6,7</w:t>
            </w:r>
          </w:p>
        </w:tc>
        <w:tc>
          <w:tcPr>
            <w:tcW w:w="864" w:type="dxa"/>
            <w:tcBorders>
              <w:top w:val="nil"/>
              <w:left w:val="nil"/>
              <w:bottom w:val="nil"/>
              <w:right w:val="nil"/>
            </w:tcBorders>
            <w:shd w:val="clear" w:color="auto" w:fill="auto"/>
            <w:vAlign w:val="center"/>
          </w:tcPr>
          <w:p w14:paraId="4A4169E3" w14:textId="1A45F873"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6,3</w:t>
            </w:r>
          </w:p>
        </w:tc>
        <w:tc>
          <w:tcPr>
            <w:tcW w:w="865" w:type="dxa"/>
            <w:tcBorders>
              <w:top w:val="nil"/>
              <w:left w:val="nil"/>
              <w:bottom w:val="nil"/>
              <w:right w:val="nil"/>
            </w:tcBorders>
            <w:shd w:val="clear" w:color="auto" w:fill="auto"/>
            <w:vAlign w:val="center"/>
          </w:tcPr>
          <w:p w14:paraId="4A88003B" w14:textId="3C0FC56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5,8</w:t>
            </w:r>
          </w:p>
        </w:tc>
        <w:tc>
          <w:tcPr>
            <w:tcW w:w="728" w:type="dxa"/>
            <w:tcBorders>
              <w:top w:val="nil"/>
              <w:left w:val="nil"/>
              <w:bottom w:val="nil"/>
              <w:right w:val="nil"/>
            </w:tcBorders>
            <w:shd w:val="clear" w:color="auto" w:fill="auto"/>
            <w:vAlign w:val="center"/>
          </w:tcPr>
          <w:p w14:paraId="5AD0F0B5" w14:textId="44146931"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6,1</w:t>
            </w:r>
          </w:p>
        </w:tc>
      </w:tr>
      <w:tr w:rsidR="009B41CC" w:rsidRPr="009B41CC" w14:paraId="5DECF19D" w14:textId="1CAF3E0D" w:rsidTr="005D2ED6">
        <w:trPr>
          <w:trHeight w:val="284"/>
          <w:jc w:val="center"/>
        </w:trPr>
        <w:tc>
          <w:tcPr>
            <w:tcW w:w="1944" w:type="dxa"/>
            <w:tcBorders>
              <w:top w:val="nil"/>
              <w:left w:val="nil"/>
              <w:bottom w:val="nil"/>
              <w:right w:val="nil"/>
            </w:tcBorders>
            <w:shd w:val="clear" w:color="auto" w:fill="auto"/>
            <w:vAlign w:val="center"/>
          </w:tcPr>
          <w:p w14:paraId="18FAC59A" w14:textId="2E7E004E"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Λιθου</w:t>
            </w:r>
            <w:proofErr w:type="spellEnd"/>
            <w:r w:rsidRPr="009B41CC">
              <w:rPr>
                <w:rFonts w:ascii="Verdana" w:hAnsi="Verdana"/>
                <w:color w:val="2F5496" w:themeColor="accent1" w:themeShade="BF"/>
                <w:sz w:val="18"/>
                <w:szCs w:val="18"/>
              </w:rPr>
              <w:t>ανία</w:t>
            </w:r>
          </w:p>
        </w:tc>
        <w:tc>
          <w:tcPr>
            <w:tcW w:w="866" w:type="dxa"/>
            <w:tcBorders>
              <w:top w:val="nil"/>
              <w:left w:val="nil"/>
              <w:bottom w:val="nil"/>
              <w:right w:val="nil"/>
            </w:tcBorders>
            <w:shd w:val="clear" w:color="auto" w:fill="auto"/>
            <w:vAlign w:val="center"/>
          </w:tcPr>
          <w:p w14:paraId="677B63CF" w14:textId="4B8677A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14,6</w:t>
            </w:r>
          </w:p>
        </w:tc>
        <w:tc>
          <w:tcPr>
            <w:tcW w:w="864" w:type="dxa"/>
            <w:tcBorders>
              <w:top w:val="nil"/>
              <w:left w:val="nil"/>
              <w:bottom w:val="nil"/>
              <w:right w:val="nil"/>
            </w:tcBorders>
            <w:shd w:val="clear" w:color="auto" w:fill="auto"/>
            <w:vAlign w:val="center"/>
          </w:tcPr>
          <w:p w14:paraId="03B0E541" w14:textId="20558CC5"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15,4</w:t>
            </w:r>
          </w:p>
        </w:tc>
        <w:tc>
          <w:tcPr>
            <w:tcW w:w="864" w:type="dxa"/>
            <w:tcBorders>
              <w:top w:val="nil"/>
              <w:left w:val="nil"/>
              <w:bottom w:val="nil"/>
              <w:right w:val="nil"/>
            </w:tcBorders>
            <w:shd w:val="clear" w:color="auto" w:fill="auto"/>
            <w:vAlign w:val="center"/>
          </w:tcPr>
          <w:p w14:paraId="3457950D" w14:textId="3E2B5B1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14,4</w:t>
            </w:r>
          </w:p>
        </w:tc>
        <w:tc>
          <w:tcPr>
            <w:tcW w:w="865" w:type="dxa"/>
            <w:tcBorders>
              <w:top w:val="nil"/>
              <w:left w:val="nil"/>
              <w:bottom w:val="nil"/>
              <w:right w:val="nil"/>
            </w:tcBorders>
            <w:shd w:val="clear" w:color="auto" w:fill="auto"/>
            <w:vAlign w:val="center"/>
          </w:tcPr>
          <w:p w14:paraId="1EFDF488" w14:textId="39E3A943"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12,0</w:t>
            </w:r>
          </w:p>
        </w:tc>
        <w:tc>
          <w:tcPr>
            <w:tcW w:w="864" w:type="dxa"/>
            <w:tcBorders>
              <w:top w:val="nil"/>
              <w:left w:val="nil"/>
              <w:bottom w:val="nil"/>
              <w:right w:val="nil"/>
            </w:tcBorders>
            <w:shd w:val="clear" w:color="auto" w:fill="auto"/>
            <w:vAlign w:val="center"/>
          </w:tcPr>
          <w:p w14:paraId="0F9AD2F6" w14:textId="787627B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9,7</w:t>
            </w:r>
          </w:p>
        </w:tc>
        <w:tc>
          <w:tcPr>
            <w:tcW w:w="864" w:type="dxa"/>
            <w:tcBorders>
              <w:top w:val="nil"/>
              <w:left w:val="nil"/>
              <w:bottom w:val="nil"/>
              <w:right w:val="nil"/>
            </w:tcBorders>
            <w:shd w:val="clear" w:color="auto" w:fill="auto"/>
            <w:vAlign w:val="center"/>
          </w:tcPr>
          <w:p w14:paraId="419BDAC5" w14:textId="6AFEF82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8,1</w:t>
            </w:r>
          </w:p>
        </w:tc>
        <w:tc>
          <w:tcPr>
            <w:tcW w:w="864" w:type="dxa"/>
            <w:tcBorders>
              <w:top w:val="nil"/>
              <w:left w:val="nil"/>
              <w:bottom w:val="nil"/>
              <w:right w:val="nil"/>
            </w:tcBorders>
            <w:shd w:val="clear" w:color="auto" w:fill="auto"/>
            <w:vAlign w:val="center"/>
          </w:tcPr>
          <w:p w14:paraId="13248246" w14:textId="658540D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6,4</w:t>
            </w:r>
          </w:p>
        </w:tc>
        <w:tc>
          <w:tcPr>
            <w:tcW w:w="865" w:type="dxa"/>
            <w:tcBorders>
              <w:top w:val="nil"/>
              <w:left w:val="nil"/>
              <w:bottom w:val="nil"/>
              <w:right w:val="nil"/>
            </w:tcBorders>
            <w:shd w:val="clear" w:color="auto" w:fill="auto"/>
            <w:vAlign w:val="center"/>
          </w:tcPr>
          <w:p w14:paraId="7AA66E93" w14:textId="5D493D7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6,0</w:t>
            </w:r>
          </w:p>
        </w:tc>
        <w:tc>
          <w:tcPr>
            <w:tcW w:w="728" w:type="dxa"/>
            <w:tcBorders>
              <w:top w:val="nil"/>
              <w:left w:val="nil"/>
              <w:bottom w:val="nil"/>
              <w:right w:val="nil"/>
            </w:tcBorders>
            <w:shd w:val="clear" w:color="auto" w:fill="auto"/>
            <w:vAlign w:val="center"/>
          </w:tcPr>
          <w:p w14:paraId="09EC3A97" w14:textId="5DC76F3E"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6,1</w:t>
            </w:r>
          </w:p>
        </w:tc>
      </w:tr>
      <w:tr w:rsidR="009B41CC" w:rsidRPr="009B41CC" w14:paraId="5C5D9BFA" w14:textId="4690595E" w:rsidTr="005D2ED6">
        <w:trPr>
          <w:trHeight w:val="284"/>
          <w:jc w:val="center"/>
        </w:trPr>
        <w:tc>
          <w:tcPr>
            <w:tcW w:w="1944" w:type="dxa"/>
            <w:tcBorders>
              <w:top w:val="nil"/>
              <w:left w:val="nil"/>
              <w:bottom w:val="nil"/>
              <w:right w:val="nil"/>
            </w:tcBorders>
            <w:shd w:val="clear" w:color="auto" w:fill="auto"/>
            <w:vAlign w:val="center"/>
          </w:tcPr>
          <w:p w14:paraId="65FE09BF" w14:textId="1A0C6433"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Λετονί</w:t>
            </w:r>
            <w:proofErr w:type="spellEnd"/>
            <w:r w:rsidRPr="009B41CC">
              <w:rPr>
                <w:rFonts w:ascii="Verdana" w:hAnsi="Verdana"/>
                <w:color w:val="2F5496" w:themeColor="accent1" w:themeShade="BF"/>
                <w:sz w:val="18"/>
                <w:szCs w:val="18"/>
              </w:rPr>
              <w:t>α</w:t>
            </w:r>
          </w:p>
        </w:tc>
        <w:tc>
          <w:tcPr>
            <w:tcW w:w="866" w:type="dxa"/>
            <w:tcBorders>
              <w:top w:val="nil"/>
              <w:left w:val="nil"/>
              <w:bottom w:val="nil"/>
              <w:right w:val="nil"/>
            </w:tcBorders>
            <w:shd w:val="clear" w:color="auto" w:fill="auto"/>
            <w:vAlign w:val="center"/>
          </w:tcPr>
          <w:p w14:paraId="5DC8CBF0" w14:textId="6EE3CFF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15,4</w:t>
            </w:r>
          </w:p>
        </w:tc>
        <w:tc>
          <w:tcPr>
            <w:tcW w:w="864" w:type="dxa"/>
            <w:tcBorders>
              <w:top w:val="nil"/>
              <w:left w:val="nil"/>
              <w:bottom w:val="nil"/>
              <w:right w:val="nil"/>
            </w:tcBorders>
            <w:shd w:val="clear" w:color="auto" w:fill="auto"/>
            <w:vAlign w:val="center"/>
          </w:tcPr>
          <w:p w14:paraId="7B449112" w14:textId="1AB1FE3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12,6</w:t>
            </w:r>
          </w:p>
        </w:tc>
        <w:tc>
          <w:tcPr>
            <w:tcW w:w="864" w:type="dxa"/>
            <w:tcBorders>
              <w:top w:val="nil"/>
              <w:left w:val="nil"/>
              <w:bottom w:val="nil"/>
              <w:right w:val="nil"/>
            </w:tcBorders>
            <w:shd w:val="clear" w:color="auto" w:fill="auto"/>
            <w:vAlign w:val="center"/>
          </w:tcPr>
          <w:p w14:paraId="107E6C68" w14:textId="1D2013D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12,9</w:t>
            </w:r>
          </w:p>
        </w:tc>
        <w:tc>
          <w:tcPr>
            <w:tcW w:w="865" w:type="dxa"/>
            <w:tcBorders>
              <w:top w:val="nil"/>
              <w:left w:val="nil"/>
              <w:bottom w:val="nil"/>
              <w:right w:val="nil"/>
            </w:tcBorders>
            <w:shd w:val="clear" w:color="auto" w:fill="auto"/>
            <w:vAlign w:val="center"/>
          </w:tcPr>
          <w:p w14:paraId="5D1197D6" w14:textId="363FDFF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10,4</w:t>
            </w:r>
          </w:p>
        </w:tc>
        <w:tc>
          <w:tcPr>
            <w:tcW w:w="864" w:type="dxa"/>
            <w:tcBorders>
              <w:top w:val="nil"/>
              <w:left w:val="nil"/>
              <w:bottom w:val="nil"/>
              <w:right w:val="nil"/>
            </w:tcBorders>
            <w:shd w:val="clear" w:color="auto" w:fill="auto"/>
            <w:vAlign w:val="center"/>
          </w:tcPr>
          <w:p w14:paraId="06FAE694" w14:textId="6FE038A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7,5</w:t>
            </w:r>
          </w:p>
        </w:tc>
        <w:tc>
          <w:tcPr>
            <w:tcW w:w="864" w:type="dxa"/>
            <w:tcBorders>
              <w:top w:val="nil"/>
              <w:left w:val="nil"/>
              <w:bottom w:val="nil"/>
              <w:right w:val="nil"/>
            </w:tcBorders>
            <w:shd w:val="clear" w:color="auto" w:fill="auto"/>
            <w:vAlign w:val="center"/>
          </w:tcPr>
          <w:p w14:paraId="626C7C94" w14:textId="3F6FA60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7,0</w:t>
            </w:r>
          </w:p>
        </w:tc>
        <w:tc>
          <w:tcPr>
            <w:tcW w:w="864" w:type="dxa"/>
            <w:tcBorders>
              <w:top w:val="nil"/>
              <w:left w:val="nil"/>
              <w:bottom w:val="nil"/>
              <w:right w:val="nil"/>
            </w:tcBorders>
            <w:shd w:val="clear" w:color="auto" w:fill="auto"/>
            <w:vAlign w:val="center"/>
          </w:tcPr>
          <w:p w14:paraId="76F4182C" w14:textId="78EFCE6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5,3</w:t>
            </w:r>
          </w:p>
        </w:tc>
        <w:tc>
          <w:tcPr>
            <w:tcW w:w="865" w:type="dxa"/>
            <w:tcBorders>
              <w:top w:val="nil"/>
              <w:left w:val="nil"/>
              <w:bottom w:val="nil"/>
              <w:right w:val="nil"/>
            </w:tcBorders>
            <w:shd w:val="clear" w:color="auto" w:fill="auto"/>
            <w:vAlign w:val="center"/>
          </w:tcPr>
          <w:p w14:paraId="0D504B18" w14:textId="607C7D7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7,8</w:t>
            </w:r>
          </w:p>
        </w:tc>
        <w:tc>
          <w:tcPr>
            <w:tcW w:w="728" w:type="dxa"/>
            <w:tcBorders>
              <w:top w:val="nil"/>
              <w:left w:val="nil"/>
              <w:bottom w:val="nil"/>
              <w:right w:val="nil"/>
            </w:tcBorders>
            <w:shd w:val="clear" w:color="auto" w:fill="auto"/>
            <w:vAlign w:val="center"/>
          </w:tcPr>
          <w:p w14:paraId="2AC152ED" w14:textId="22E66E9D"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6,2</w:t>
            </w:r>
          </w:p>
        </w:tc>
      </w:tr>
      <w:tr w:rsidR="009B41CC" w:rsidRPr="009B41CC" w14:paraId="3ABFB9B9" w14:textId="55971787" w:rsidTr="005D2ED6">
        <w:trPr>
          <w:trHeight w:val="284"/>
          <w:jc w:val="center"/>
        </w:trPr>
        <w:tc>
          <w:tcPr>
            <w:tcW w:w="1944" w:type="dxa"/>
            <w:tcBorders>
              <w:top w:val="nil"/>
              <w:left w:val="nil"/>
              <w:bottom w:val="nil"/>
              <w:right w:val="nil"/>
            </w:tcBorders>
            <w:shd w:val="clear" w:color="auto" w:fill="auto"/>
            <w:vAlign w:val="center"/>
          </w:tcPr>
          <w:p w14:paraId="0E35B1DF" w14:textId="2FE687CF" w:rsidR="009B41CC" w:rsidRPr="009B41CC" w:rsidRDefault="009B41CC" w:rsidP="009B41CC">
            <w:pPr>
              <w:rPr>
                <w:rFonts w:ascii="Verdana" w:hAnsi="Verdana"/>
                <w:color w:val="2F5496" w:themeColor="accent1" w:themeShade="BF"/>
                <w:sz w:val="18"/>
                <w:szCs w:val="18"/>
              </w:rPr>
            </w:pPr>
            <w:r w:rsidRPr="009B41CC">
              <w:rPr>
                <w:rFonts w:ascii="Verdana" w:hAnsi="Verdana"/>
                <w:color w:val="2F5496" w:themeColor="accent1" w:themeShade="BF"/>
                <w:sz w:val="18"/>
                <w:szCs w:val="18"/>
              </w:rPr>
              <w:t>Γα</w:t>
            </w:r>
            <w:proofErr w:type="spellStart"/>
            <w:r w:rsidRPr="009B41CC">
              <w:rPr>
                <w:rFonts w:ascii="Verdana" w:hAnsi="Verdana"/>
                <w:color w:val="2F5496" w:themeColor="accent1" w:themeShade="BF"/>
                <w:sz w:val="18"/>
                <w:szCs w:val="18"/>
              </w:rPr>
              <w:t>λλί</w:t>
            </w:r>
            <w:proofErr w:type="spellEnd"/>
            <w:r w:rsidRPr="009B41CC">
              <w:rPr>
                <w:rFonts w:ascii="Verdana" w:hAnsi="Verdana"/>
                <w:color w:val="2F5496" w:themeColor="accent1" w:themeShade="BF"/>
                <w:sz w:val="18"/>
                <w:szCs w:val="18"/>
              </w:rPr>
              <w:t>α</w:t>
            </w:r>
          </w:p>
        </w:tc>
        <w:tc>
          <w:tcPr>
            <w:tcW w:w="866" w:type="dxa"/>
            <w:tcBorders>
              <w:top w:val="nil"/>
              <w:left w:val="nil"/>
              <w:bottom w:val="nil"/>
              <w:right w:val="nil"/>
            </w:tcBorders>
            <w:shd w:val="clear" w:color="auto" w:fill="auto"/>
            <w:vAlign w:val="center"/>
          </w:tcPr>
          <w:p w14:paraId="3CF568A4" w14:textId="73607CB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6,8</w:t>
            </w:r>
          </w:p>
        </w:tc>
        <w:tc>
          <w:tcPr>
            <w:tcW w:w="864" w:type="dxa"/>
            <w:tcBorders>
              <w:top w:val="nil"/>
              <w:left w:val="nil"/>
              <w:bottom w:val="nil"/>
              <w:right w:val="nil"/>
            </w:tcBorders>
            <w:shd w:val="clear" w:color="auto" w:fill="auto"/>
            <w:vAlign w:val="center"/>
          </w:tcPr>
          <w:p w14:paraId="2DBC30FF" w14:textId="54C8E2A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6,7</w:t>
            </w:r>
          </w:p>
        </w:tc>
        <w:tc>
          <w:tcPr>
            <w:tcW w:w="864" w:type="dxa"/>
            <w:tcBorders>
              <w:top w:val="nil"/>
              <w:left w:val="nil"/>
              <w:bottom w:val="nil"/>
              <w:right w:val="nil"/>
            </w:tcBorders>
            <w:shd w:val="clear" w:color="auto" w:fill="auto"/>
            <w:vAlign w:val="center"/>
          </w:tcPr>
          <w:p w14:paraId="27B0832D" w14:textId="1E195E4B"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6,3</w:t>
            </w:r>
          </w:p>
        </w:tc>
        <w:tc>
          <w:tcPr>
            <w:tcW w:w="865" w:type="dxa"/>
            <w:tcBorders>
              <w:top w:val="nil"/>
              <w:left w:val="nil"/>
              <w:bottom w:val="nil"/>
              <w:right w:val="nil"/>
            </w:tcBorders>
            <w:shd w:val="clear" w:color="auto" w:fill="auto"/>
            <w:vAlign w:val="center"/>
          </w:tcPr>
          <w:p w14:paraId="39A51556" w14:textId="0312B79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6,7</w:t>
            </w:r>
          </w:p>
        </w:tc>
        <w:tc>
          <w:tcPr>
            <w:tcW w:w="864" w:type="dxa"/>
            <w:tcBorders>
              <w:top w:val="nil"/>
              <w:left w:val="nil"/>
              <w:bottom w:val="nil"/>
              <w:right w:val="nil"/>
            </w:tcBorders>
            <w:shd w:val="clear" w:color="auto" w:fill="auto"/>
            <w:vAlign w:val="center"/>
          </w:tcPr>
          <w:p w14:paraId="0D3062BB" w14:textId="164B927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7,3</w:t>
            </w:r>
          </w:p>
        </w:tc>
        <w:tc>
          <w:tcPr>
            <w:tcW w:w="864" w:type="dxa"/>
            <w:tcBorders>
              <w:top w:val="nil"/>
              <w:left w:val="nil"/>
              <w:bottom w:val="nil"/>
              <w:right w:val="nil"/>
            </w:tcBorders>
            <w:shd w:val="clear" w:color="auto" w:fill="auto"/>
            <w:vAlign w:val="center"/>
          </w:tcPr>
          <w:p w14:paraId="14485549" w14:textId="4489AF4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7,0</w:t>
            </w:r>
          </w:p>
        </w:tc>
        <w:tc>
          <w:tcPr>
            <w:tcW w:w="864" w:type="dxa"/>
            <w:tcBorders>
              <w:top w:val="nil"/>
              <w:left w:val="nil"/>
              <w:bottom w:val="nil"/>
              <w:right w:val="nil"/>
            </w:tcBorders>
            <w:shd w:val="clear" w:color="auto" w:fill="auto"/>
            <w:vAlign w:val="center"/>
          </w:tcPr>
          <w:p w14:paraId="35FC9196" w14:textId="1B4C011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5,9</w:t>
            </w:r>
          </w:p>
        </w:tc>
        <w:tc>
          <w:tcPr>
            <w:tcW w:w="865" w:type="dxa"/>
            <w:tcBorders>
              <w:top w:val="nil"/>
              <w:left w:val="nil"/>
              <w:bottom w:val="nil"/>
              <w:right w:val="nil"/>
            </w:tcBorders>
            <w:shd w:val="clear" w:color="auto" w:fill="auto"/>
            <w:vAlign w:val="center"/>
          </w:tcPr>
          <w:p w14:paraId="3569E695" w14:textId="4419D69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7,5</w:t>
            </w:r>
          </w:p>
        </w:tc>
        <w:tc>
          <w:tcPr>
            <w:tcW w:w="728" w:type="dxa"/>
            <w:tcBorders>
              <w:top w:val="nil"/>
              <w:left w:val="nil"/>
              <w:bottom w:val="nil"/>
              <w:right w:val="nil"/>
            </w:tcBorders>
            <w:shd w:val="clear" w:color="auto" w:fill="auto"/>
            <w:vAlign w:val="center"/>
          </w:tcPr>
          <w:p w14:paraId="206E702F" w14:textId="2E4B6F0D"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6,6</w:t>
            </w:r>
          </w:p>
        </w:tc>
      </w:tr>
      <w:tr w:rsidR="009B41CC" w:rsidRPr="009B41CC" w14:paraId="0855A048" w14:textId="47D28242" w:rsidTr="005D2ED6">
        <w:trPr>
          <w:trHeight w:val="284"/>
          <w:jc w:val="center"/>
        </w:trPr>
        <w:tc>
          <w:tcPr>
            <w:tcW w:w="1944" w:type="dxa"/>
            <w:tcBorders>
              <w:top w:val="nil"/>
              <w:left w:val="nil"/>
              <w:bottom w:val="nil"/>
              <w:right w:val="nil"/>
            </w:tcBorders>
            <w:shd w:val="clear" w:color="auto" w:fill="auto"/>
            <w:vAlign w:val="center"/>
          </w:tcPr>
          <w:p w14:paraId="6844AEA5" w14:textId="7B018149" w:rsidR="009B41CC" w:rsidRPr="009B41CC" w:rsidRDefault="009B41CC" w:rsidP="009B41CC">
            <w:pPr>
              <w:rPr>
                <w:rFonts w:ascii="Verdana" w:hAnsi="Verdana"/>
                <w:b/>
                <w:bCs/>
                <w:color w:val="2F5496" w:themeColor="accent1" w:themeShade="BF"/>
                <w:sz w:val="18"/>
                <w:szCs w:val="18"/>
              </w:rPr>
            </w:pPr>
            <w:r w:rsidRPr="009B41CC">
              <w:rPr>
                <w:rFonts w:ascii="Verdana" w:hAnsi="Verdana"/>
                <w:b/>
                <w:bCs/>
                <w:color w:val="2F5496" w:themeColor="accent1" w:themeShade="BF"/>
                <w:sz w:val="18"/>
                <w:szCs w:val="18"/>
              </w:rPr>
              <w:t>Ε</w:t>
            </w:r>
            <w:r w:rsidRPr="009B41CC">
              <w:rPr>
                <w:rFonts w:ascii="Verdana" w:hAnsi="Verdana"/>
                <w:b/>
                <w:bCs/>
                <w:color w:val="2F5496" w:themeColor="accent1" w:themeShade="BF"/>
                <w:sz w:val="18"/>
                <w:szCs w:val="18"/>
                <w:lang w:val="el-GR"/>
              </w:rPr>
              <w:t>Ε</w:t>
            </w:r>
            <w:r w:rsidRPr="009B41CC">
              <w:rPr>
                <w:rFonts w:ascii="Verdana" w:hAnsi="Verdana"/>
                <w:b/>
                <w:bCs/>
                <w:color w:val="2F5496" w:themeColor="accent1" w:themeShade="BF"/>
                <w:sz w:val="18"/>
                <w:szCs w:val="18"/>
              </w:rPr>
              <w:t>27</w:t>
            </w:r>
          </w:p>
        </w:tc>
        <w:tc>
          <w:tcPr>
            <w:tcW w:w="866" w:type="dxa"/>
            <w:tcBorders>
              <w:top w:val="nil"/>
              <w:left w:val="nil"/>
              <w:bottom w:val="nil"/>
              <w:right w:val="nil"/>
            </w:tcBorders>
            <w:shd w:val="clear" w:color="auto" w:fill="auto"/>
            <w:vAlign w:val="center"/>
          </w:tcPr>
          <w:p w14:paraId="2DECD1E0" w14:textId="7809C1C1"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9,7</w:t>
            </w:r>
          </w:p>
        </w:tc>
        <w:tc>
          <w:tcPr>
            <w:tcW w:w="864" w:type="dxa"/>
            <w:tcBorders>
              <w:top w:val="nil"/>
              <w:left w:val="nil"/>
              <w:bottom w:val="nil"/>
              <w:right w:val="nil"/>
            </w:tcBorders>
            <w:shd w:val="clear" w:color="auto" w:fill="auto"/>
            <w:vAlign w:val="center"/>
          </w:tcPr>
          <w:p w14:paraId="713C415C" w14:textId="2558D08D"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9,0</w:t>
            </w:r>
          </w:p>
        </w:tc>
        <w:tc>
          <w:tcPr>
            <w:tcW w:w="864" w:type="dxa"/>
            <w:tcBorders>
              <w:top w:val="nil"/>
              <w:left w:val="nil"/>
              <w:bottom w:val="nil"/>
              <w:right w:val="nil"/>
            </w:tcBorders>
            <w:shd w:val="clear" w:color="auto" w:fill="auto"/>
            <w:vAlign w:val="center"/>
          </w:tcPr>
          <w:p w14:paraId="2FA44F19" w14:textId="11E7052D"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7,8</w:t>
            </w:r>
          </w:p>
        </w:tc>
        <w:tc>
          <w:tcPr>
            <w:tcW w:w="865" w:type="dxa"/>
            <w:tcBorders>
              <w:top w:val="nil"/>
              <w:left w:val="nil"/>
              <w:bottom w:val="nil"/>
              <w:right w:val="nil"/>
            </w:tcBorders>
            <w:shd w:val="clear" w:color="auto" w:fill="auto"/>
            <w:vAlign w:val="center"/>
          </w:tcPr>
          <w:p w14:paraId="4D7B427B" w14:textId="2AC059B7"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7,1</w:t>
            </w:r>
          </w:p>
        </w:tc>
        <w:tc>
          <w:tcPr>
            <w:tcW w:w="864" w:type="dxa"/>
            <w:tcBorders>
              <w:top w:val="nil"/>
              <w:left w:val="nil"/>
              <w:bottom w:val="nil"/>
              <w:right w:val="nil"/>
            </w:tcBorders>
            <w:shd w:val="clear" w:color="auto" w:fill="auto"/>
            <w:vAlign w:val="center"/>
          </w:tcPr>
          <w:p w14:paraId="0CB23EB4" w14:textId="6B891997"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6,7</w:t>
            </w:r>
          </w:p>
        </w:tc>
        <w:tc>
          <w:tcPr>
            <w:tcW w:w="864" w:type="dxa"/>
            <w:tcBorders>
              <w:top w:val="nil"/>
              <w:left w:val="nil"/>
              <w:bottom w:val="nil"/>
              <w:right w:val="nil"/>
            </w:tcBorders>
            <w:shd w:val="clear" w:color="auto" w:fill="auto"/>
            <w:vAlign w:val="center"/>
          </w:tcPr>
          <w:p w14:paraId="2D1C46F3" w14:textId="0B73AC7B"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6,8</w:t>
            </w:r>
          </w:p>
        </w:tc>
        <w:tc>
          <w:tcPr>
            <w:tcW w:w="864" w:type="dxa"/>
            <w:tcBorders>
              <w:top w:val="nil"/>
              <w:left w:val="nil"/>
              <w:bottom w:val="nil"/>
              <w:right w:val="nil"/>
            </w:tcBorders>
            <w:shd w:val="clear" w:color="auto" w:fill="auto"/>
            <w:vAlign w:val="center"/>
          </w:tcPr>
          <w:p w14:paraId="30DA9DAA" w14:textId="4E6163DD"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6,3</w:t>
            </w:r>
          </w:p>
        </w:tc>
        <w:tc>
          <w:tcPr>
            <w:tcW w:w="865" w:type="dxa"/>
            <w:tcBorders>
              <w:top w:val="nil"/>
              <w:left w:val="nil"/>
              <w:bottom w:val="nil"/>
              <w:right w:val="nil"/>
            </w:tcBorders>
            <w:shd w:val="clear" w:color="auto" w:fill="auto"/>
            <w:vAlign w:val="center"/>
          </w:tcPr>
          <w:p w14:paraId="4DDF3DE0" w14:textId="1DDA1101"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6,7</w:t>
            </w:r>
          </w:p>
        </w:tc>
        <w:tc>
          <w:tcPr>
            <w:tcW w:w="728" w:type="dxa"/>
            <w:tcBorders>
              <w:top w:val="nil"/>
              <w:left w:val="nil"/>
              <w:bottom w:val="nil"/>
              <w:right w:val="nil"/>
            </w:tcBorders>
            <w:shd w:val="clear" w:color="auto" w:fill="auto"/>
            <w:vAlign w:val="center"/>
          </w:tcPr>
          <w:p w14:paraId="71DBE6E1" w14:textId="51CB068A" w:rsidR="009B41CC" w:rsidRPr="008C7620" w:rsidRDefault="009B41CC" w:rsidP="005D2ED6">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6,8</w:t>
            </w:r>
          </w:p>
        </w:tc>
      </w:tr>
      <w:tr w:rsidR="009B41CC" w:rsidRPr="009B41CC" w14:paraId="7C604461" w14:textId="1C353BD4" w:rsidTr="005D2ED6">
        <w:trPr>
          <w:trHeight w:val="284"/>
          <w:jc w:val="center"/>
        </w:trPr>
        <w:tc>
          <w:tcPr>
            <w:tcW w:w="1944" w:type="dxa"/>
            <w:tcBorders>
              <w:top w:val="nil"/>
              <w:left w:val="nil"/>
              <w:bottom w:val="nil"/>
              <w:right w:val="nil"/>
            </w:tcBorders>
            <w:shd w:val="clear" w:color="auto" w:fill="auto"/>
            <w:vAlign w:val="center"/>
          </w:tcPr>
          <w:p w14:paraId="57F29ED4" w14:textId="3A935002"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Γερμ</w:t>
            </w:r>
            <w:proofErr w:type="spellEnd"/>
            <w:r w:rsidRPr="009B41CC">
              <w:rPr>
                <w:rFonts w:ascii="Verdana" w:hAnsi="Verdana"/>
                <w:color w:val="2F5496" w:themeColor="accent1" w:themeShade="BF"/>
                <w:sz w:val="18"/>
                <w:szCs w:val="18"/>
              </w:rPr>
              <w:t>ανία</w:t>
            </w:r>
          </w:p>
        </w:tc>
        <w:tc>
          <w:tcPr>
            <w:tcW w:w="866" w:type="dxa"/>
            <w:tcBorders>
              <w:top w:val="nil"/>
              <w:left w:val="nil"/>
              <w:bottom w:val="nil"/>
              <w:right w:val="nil"/>
            </w:tcBorders>
            <w:shd w:val="clear" w:color="auto" w:fill="auto"/>
            <w:vAlign w:val="center"/>
          </w:tcPr>
          <w:p w14:paraId="11C41F75" w14:textId="0698FF2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5,7</w:t>
            </w:r>
          </w:p>
        </w:tc>
        <w:tc>
          <w:tcPr>
            <w:tcW w:w="864" w:type="dxa"/>
            <w:tcBorders>
              <w:top w:val="nil"/>
              <w:left w:val="nil"/>
              <w:bottom w:val="nil"/>
              <w:right w:val="nil"/>
            </w:tcBorders>
            <w:shd w:val="clear" w:color="auto" w:fill="auto"/>
            <w:vAlign w:val="center"/>
          </w:tcPr>
          <w:p w14:paraId="2BF78952" w14:textId="6AB4E79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4,7</w:t>
            </w:r>
          </w:p>
        </w:tc>
        <w:tc>
          <w:tcPr>
            <w:tcW w:w="864" w:type="dxa"/>
            <w:tcBorders>
              <w:top w:val="nil"/>
              <w:left w:val="nil"/>
              <w:bottom w:val="nil"/>
              <w:right w:val="nil"/>
            </w:tcBorders>
            <w:shd w:val="clear" w:color="auto" w:fill="auto"/>
            <w:vAlign w:val="center"/>
          </w:tcPr>
          <w:p w14:paraId="525BE302" w14:textId="16E1B2D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3,7</w:t>
            </w:r>
          </w:p>
        </w:tc>
        <w:tc>
          <w:tcPr>
            <w:tcW w:w="865" w:type="dxa"/>
            <w:tcBorders>
              <w:top w:val="nil"/>
              <w:left w:val="nil"/>
              <w:bottom w:val="nil"/>
              <w:right w:val="nil"/>
            </w:tcBorders>
            <w:shd w:val="clear" w:color="auto" w:fill="auto"/>
            <w:vAlign w:val="center"/>
          </w:tcPr>
          <w:p w14:paraId="2A20A3DC" w14:textId="7D31255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3,4</w:t>
            </w:r>
          </w:p>
        </w:tc>
        <w:tc>
          <w:tcPr>
            <w:tcW w:w="864" w:type="dxa"/>
            <w:tcBorders>
              <w:top w:val="nil"/>
              <w:left w:val="nil"/>
              <w:bottom w:val="nil"/>
              <w:right w:val="nil"/>
            </w:tcBorders>
            <w:shd w:val="clear" w:color="auto" w:fill="auto"/>
            <w:vAlign w:val="center"/>
          </w:tcPr>
          <w:p w14:paraId="413B0A7C" w14:textId="0F5176F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3,0</w:t>
            </w:r>
          </w:p>
        </w:tc>
        <w:tc>
          <w:tcPr>
            <w:tcW w:w="864" w:type="dxa"/>
            <w:tcBorders>
              <w:top w:val="nil"/>
              <w:left w:val="nil"/>
              <w:bottom w:val="nil"/>
              <w:right w:val="nil"/>
            </w:tcBorders>
            <w:shd w:val="clear" w:color="auto" w:fill="auto"/>
            <w:vAlign w:val="center"/>
          </w:tcPr>
          <w:p w14:paraId="110E0F8A" w14:textId="426DDA8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4,4</w:t>
            </w:r>
          </w:p>
        </w:tc>
        <w:tc>
          <w:tcPr>
            <w:tcW w:w="864" w:type="dxa"/>
            <w:tcBorders>
              <w:top w:val="nil"/>
              <w:left w:val="nil"/>
              <w:bottom w:val="nil"/>
              <w:right w:val="nil"/>
            </w:tcBorders>
            <w:shd w:val="clear" w:color="auto" w:fill="auto"/>
            <w:vAlign w:val="center"/>
          </w:tcPr>
          <w:p w14:paraId="6376E876" w14:textId="5A82214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4,3</w:t>
            </w:r>
          </w:p>
        </w:tc>
        <w:tc>
          <w:tcPr>
            <w:tcW w:w="865" w:type="dxa"/>
            <w:tcBorders>
              <w:top w:val="nil"/>
              <w:left w:val="nil"/>
              <w:bottom w:val="nil"/>
              <w:right w:val="nil"/>
            </w:tcBorders>
            <w:shd w:val="clear" w:color="auto" w:fill="auto"/>
            <w:vAlign w:val="center"/>
          </w:tcPr>
          <w:p w14:paraId="63C0F412" w14:textId="2A1057B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6,1</w:t>
            </w:r>
          </w:p>
        </w:tc>
        <w:tc>
          <w:tcPr>
            <w:tcW w:w="728" w:type="dxa"/>
            <w:tcBorders>
              <w:top w:val="nil"/>
              <w:left w:val="nil"/>
              <w:bottom w:val="nil"/>
              <w:right w:val="nil"/>
            </w:tcBorders>
            <w:shd w:val="clear" w:color="auto" w:fill="auto"/>
            <w:vAlign w:val="center"/>
          </w:tcPr>
          <w:p w14:paraId="4144F1AF" w14:textId="50027F58"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6,9</w:t>
            </w:r>
          </w:p>
        </w:tc>
      </w:tr>
      <w:tr w:rsidR="009B41CC" w:rsidRPr="009B41CC" w14:paraId="0C282C57" w14:textId="0CF88CDC" w:rsidTr="005D2ED6">
        <w:trPr>
          <w:trHeight w:val="284"/>
          <w:jc w:val="center"/>
        </w:trPr>
        <w:tc>
          <w:tcPr>
            <w:tcW w:w="1944" w:type="dxa"/>
            <w:tcBorders>
              <w:top w:val="nil"/>
              <w:left w:val="nil"/>
              <w:bottom w:val="nil"/>
              <w:right w:val="nil"/>
            </w:tcBorders>
            <w:shd w:val="clear" w:color="auto" w:fill="auto"/>
            <w:vAlign w:val="center"/>
          </w:tcPr>
          <w:p w14:paraId="142C4862" w14:textId="52A60614"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Σλο</w:t>
            </w:r>
            <w:proofErr w:type="spellEnd"/>
            <w:r w:rsidRPr="009B41CC">
              <w:rPr>
                <w:rFonts w:ascii="Verdana" w:hAnsi="Verdana"/>
                <w:color w:val="2F5496" w:themeColor="accent1" w:themeShade="BF"/>
                <w:sz w:val="18"/>
                <w:szCs w:val="18"/>
              </w:rPr>
              <w:t>βακία</w:t>
            </w:r>
          </w:p>
        </w:tc>
        <w:tc>
          <w:tcPr>
            <w:tcW w:w="866" w:type="dxa"/>
            <w:tcBorders>
              <w:top w:val="nil"/>
              <w:left w:val="nil"/>
              <w:bottom w:val="nil"/>
              <w:right w:val="nil"/>
            </w:tcBorders>
            <w:shd w:val="clear" w:color="auto" w:fill="auto"/>
            <w:vAlign w:val="center"/>
          </w:tcPr>
          <w:p w14:paraId="01E196EC" w14:textId="3AEC5BA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8,4</w:t>
            </w:r>
          </w:p>
        </w:tc>
        <w:tc>
          <w:tcPr>
            <w:tcW w:w="864" w:type="dxa"/>
            <w:tcBorders>
              <w:top w:val="nil"/>
              <w:left w:val="nil"/>
              <w:bottom w:val="nil"/>
              <w:right w:val="nil"/>
            </w:tcBorders>
            <w:shd w:val="clear" w:color="auto" w:fill="auto"/>
            <w:vAlign w:val="center"/>
          </w:tcPr>
          <w:p w14:paraId="46677B81" w14:textId="51D385DB"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7,6</w:t>
            </w:r>
          </w:p>
        </w:tc>
        <w:tc>
          <w:tcPr>
            <w:tcW w:w="864" w:type="dxa"/>
            <w:tcBorders>
              <w:top w:val="nil"/>
              <w:left w:val="nil"/>
              <w:bottom w:val="nil"/>
              <w:right w:val="nil"/>
            </w:tcBorders>
            <w:shd w:val="clear" w:color="auto" w:fill="auto"/>
            <w:vAlign w:val="center"/>
          </w:tcPr>
          <w:p w14:paraId="0AF9DE4F" w14:textId="64A1AF0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6,3</w:t>
            </w:r>
          </w:p>
        </w:tc>
        <w:tc>
          <w:tcPr>
            <w:tcW w:w="865" w:type="dxa"/>
            <w:tcBorders>
              <w:top w:val="nil"/>
              <w:left w:val="nil"/>
              <w:bottom w:val="nil"/>
              <w:right w:val="nil"/>
            </w:tcBorders>
            <w:shd w:val="clear" w:color="auto" w:fill="auto"/>
            <w:vAlign w:val="center"/>
          </w:tcPr>
          <w:p w14:paraId="2ED22A08" w14:textId="4E29CC9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5,4</w:t>
            </w:r>
          </w:p>
        </w:tc>
        <w:tc>
          <w:tcPr>
            <w:tcW w:w="864" w:type="dxa"/>
            <w:tcBorders>
              <w:top w:val="nil"/>
              <w:left w:val="nil"/>
              <w:bottom w:val="nil"/>
              <w:right w:val="nil"/>
            </w:tcBorders>
            <w:shd w:val="clear" w:color="auto" w:fill="auto"/>
            <w:vAlign w:val="center"/>
          </w:tcPr>
          <w:p w14:paraId="4FA34AA0" w14:textId="4EFDCD6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5,9</w:t>
            </w:r>
          </w:p>
        </w:tc>
        <w:tc>
          <w:tcPr>
            <w:tcW w:w="864" w:type="dxa"/>
            <w:tcBorders>
              <w:top w:val="nil"/>
              <w:left w:val="nil"/>
              <w:bottom w:val="nil"/>
              <w:right w:val="nil"/>
            </w:tcBorders>
            <w:shd w:val="clear" w:color="auto" w:fill="auto"/>
            <w:vAlign w:val="center"/>
          </w:tcPr>
          <w:p w14:paraId="4672AE2C" w14:textId="1CE720B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4,5</w:t>
            </w:r>
          </w:p>
        </w:tc>
        <w:tc>
          <w:tcPr>
            <w:tcW w:w="864" w:type="dxa"/>
            <w:tcBorders>
              <w:top w:val="nil"/>
              <w:left w:val="nil"/>
              <w:bottom w:val="nil"/>
              <w:right w:val="nil"/>
            </w:tcBorders>
            <w:shd w:val="clear" w:color="auto" w:fill="auto"/>
            <w:vAlign w:val="center"/>
          </w:tcPr>
          <w:p w14:paraId="3890A3DA" w14:textId="091F040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5,7</w:t>
            </w:r>
          </w:p>
        </w:tc>
        <w:tc>
          <w:tcPr>
            <w:tcW w:w="865" w:type="dxa"/>
            <w:tcBorders>
              <w:top w:val="nil"/>
              <w:left w:val="nil"/>
              <w:bottom w:val="nil"/>
              <w:right w:val="nil"/>
            </w:tcBorders>
            <w:shd w:val="clear" w:color="auto" w:fill="auto"/>
            <w:vAlign w:val="center"/>
          </w:tcPr>
          <w:p w14:paraId="1FEAC22E" w14:textId="32262BC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6,3</w:t>
            </w:r>
          </w:p>
        </w:tc>
        <w:tc>
          <w:tcPr>
            <w:tcW w:w="728" w:type="dxa"/>
            <w:tcBorders>
              <w:top w:val="nil"/>
              <w:left w:val="nil"/>
              <w:bottom w:val="nil"/>
              <w:right w:val="nil"/>
            </w:tcBorders>
            <w:shd w:val="clear" w:color="auto" w:fill="auto"/>
            <w:vAlign w:val="center"/>
          </w:tcPr>
          <w:p w14:paraId="364095EF" w14:textId="7D6AB0BB"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7,0</w:t>
            </w:r>
          </w:p>
        </w:tc>
      </w:tr>
      <w:tr w:rsidR="009B41CC" w:rsidRPr="009B41CC" w14:paraId="743C6B67" w14:textId="66C4CCA3" w:rsidTr="005D2ED6">
        <w:trPr>
          <w:trHeight w:val="284"/>
          <w:jc w:val="center"/>
        </w:trPr>
        <w:tc>
          <w:tcPr>
            <w:tcW w:w="1944" w:type="dxa"/>
            <w:tcBorders>
              <w:top w:val="nil"/>
              <w:left w:val="nil"/>
              <w:bottom w:val="nil"/>
              <w:right w:val="nil"/>
            </w:tcBorders>
            <w:shd w:val="clear" w:color="auto" w:fill="auto"/>
            <w:vAlign w:val="center"/>
          </w:tcPr>
          <w:p w14:paraId="7C39BFF9" w14:textId="3D5DEB20"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Ισ</w:t>
            </w:r>
            <w:proofErr w:type="spellEnd"/>
            <w:r w:rsidRPr="009B41CC">
              <w:rPr>
                <w:rFonts w:ascii="Verdana" w:hAnsi="Verdana"/>
                <w:color w:val="2F5496" w:themeColor="accent1" w:themeShade="BF"/>
                <w:sz w:val="18"/>
                <w:szCs w:val="18"/>
              </w:rPr>
              <w:t>πανία</w:t>
            </w:r>
          </w:p>
        </w:tc>
        <w:tc>
          <w:tcPr>
            <w:tcW w:w="866" w:type="dxa"/>
            <w:tcBorders>
              <w:top w:val="nil"/>
              <w:left w:val="nil"/>
              <w:bottom w:val="nil"/>
              <w:right w:val="nil"/>
            </w:tcBorders>
            <w:shd w:val="clear" w:color="auto" w:fill="auto"/>
            <w:vAlign w:val="center"/>
          </w:tcPr>
          <w:p w14:paraId="4E86A067" w14:textId="1D18887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7,4</w:t>
            </w:r>
          </w:p>
        </w:tc>
        <w:tc>
          <w:tcPr>
            <w:tcW w:w="864" w:type="dxa"/>
            <w:tcBorders>
              <w:top w:val="nil"/>
              <w:left w:val="nil"/>
              <w:bottom w:val="nil"/>
              <w:right w:val="nil"/>
            </w:tcBorders>
            <w:shd w:val="clear" w:color="auto" w:fill="auto"/>
            <w:vAlign w:val="center"/>
          </w:tcPr>
          <w:p w14:paraId="1DC46D75" w14:textId="6617FB1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8,5</w:t>
            </w:r>
          </w:p>
        </w:tc>
        <w:tc>
          <w:tcPr>
            <w:tcW w:w="864" w:type="dxa"/>
            <w:tcBorders>
              <w:top w:val="nil"/>
              <w:left w:val="nil"/>
              <w:bottom w:val="nil"/>
              <w:right w:val="nil"/>
            </w:tcBorders>
            <w:shd w:val="clear" w:color="auto" w:fill="auto"/>
            <w:vAlign w:val="center"/>
          </w:tcPr>
          <w:p w14:paraId="13A7D369" w14:textId="074F6CE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8,3</w:t>
            </w:r>
          </w:p>
        </w:tc>
        <w:tc>
          <w:tcPr>
            <w:tcW w:w="865" w:type="dxa"/>
            <w:tcBorders>
              <w:top w:val="nil"/>
              <w:left w:val="nil"/>
              <w:bottom w:val="nil"/>
              <w:right w:val="nil"/>
            </w:tcBorders>
            <w:shd w:val="clear" w:color="auto" w:fill="auto"/>
            <w:vAlign w:val="center"/>
          </w:tcPr>
          <w:p w14:paraId="28661593" w14:textId="776CB63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8,7</w:t>
            </w:r>
          </w:p>
        </w:tc>
        <w:tc>
          <w:tcPr>
            <w:tcW w:w="864" w:type="dxa"/>
            <w:tcBorders>
              <w:top w:val="nil"/>
              <w:left w:val="nil"/>
              <w:bottom w:val="nil"/>
              <w:right w:val="nil"/>
            </w:tcBorders>
            <w:shd w:val="clear" w:color="auto" w:fill="auto"/>
            <w:vAlign w:val="center"/>
          </w:tcPr>
          <w:p w14:paraId="6F56653E" w14:textId="6296FAD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7,7</w:t>
            </w:r>
          </w:p>
        </w:tc>
        <w:tc>
          <w:tcPr>
            <w:tcW w:w="864" w:type="dxa"/>
            <w:tcBorders>
              <w:top w:val="nil"/>
              <w:left w:val="nil"/>
              <w:bottom w:val="nil"/>
              <w:right w:val="nil"/>
            </w:tcBorders>
            <w:shd w:val="clear" w:color="auto" w:fill="auto"/>
            <w:vAlign w:val="center"/>
          </w:tcPr>
          <w:p w14:paraId="6076E83E" w14:textId="3998CFC3"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8,5</w:t>
            </w:r>
          </w:p>
        </w:tc>
        <w:tc>
          <w:tcPr>
            <w:tcW w:w="864" w:type="dxa"/>
            <w:tcBorders>
              <w:top w:val="nil"/>
              <w:left w:val="nil"/>
              <w:bottom w:val="nil"/>
              <w:right w:val="nil"/>
            </w:tcBorders>
            <w:shd w:val="clear" w:color="auto" w:fill="auto"/>
            <w:vAlign w:val="center"/>
          </w:tcPr>
          <w:p w14:paraId="4CB881F1" w14:textId="3278DAE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8,3</w:t>
            </w:r>
          </w:p>
        </w:tc>
        <w:tc>
          <w:tcPr>
            <w:tcW w:w="865" w:type="dxa"/>
            <w:tcBorders>
              <w:top w:val="nil"/>
              <w:left w:val="nil"/>
              <w:bottom w:val="nil"/>
              <w:right w:val="nil"/>
            </w:tcBorders>
            <w:shd w:val="clear" w:color="auto" w:fill="auto"/>
            <w:vAlign w:val="center"/>
          </w:tcPr>
          <w:p w14:paraId="5D5DD836" w14:textId="2A6B501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7,7</w:t>
            </w:r>
          </w:p>
        </w:tc>
        <w:tc>
          <w:tcPr>
            <w:tcW w:w="728" w:type="dxa"/>
            <w:tcBorders>
              <w:top w:val="nil"/>
              <w:left w:val="nil"/>
              <w:bottom w:val="nil"/>
              <w:right w:val="nil"/>
            </w:tcBorders>
            <w:shd w:val="clear" w:color="auto" w:fill="auto"/>
            <w:vAlign w:val="center"/>
          </w:tcPr>
          <w:p w14:paraId="26EB68C0" w14:textId="71EC645C"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9,0</w:t>
            </w:r>
          </w:p>
        </w:tc>
      </w:tr>
      <w:tr w:rsidR="009B41CC" w:rsidRPr="009B41CC" w14:paraId="1D33A4FD" w14:textId="301E57EE" w:rsidTr="005D2ED6">
        <w:trPr>
          <w:trHeight w:val="284"/>
          <w:jc w:val="center"/>
        </w:trPr>
        <w:tc>
          <w:tcPr>
            <w:tcW w:w="1944" w:type="dxa"/>
            <w:tcBorders>
              <w:top w:val="nil"/>
              <w:left w:val="nil"/>
              <w:bottom w:val="nil"/>
              <w:right w:val="nil"/>
            </w:tcBorders>
            <w:shd w:val="clear" w:color="auto" w:fill="auto"/>
            <w:vAlign w:val="center"/>
          </w:tcPr>
          <w:p w14:paraId="4CF13BD0" w14:textId="66FA9527"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Ουγγ</w:t>
            </w:r>
            <w:proofErr w:type="spellEnd"/>
            <w:r w:rsidRPr="009B41CC">
              <w:rPr>
                <w:rFonts w:ascii="Verdana" w:hAnsi="Verdana"/>
                <w:color w:val="2F5496" w:themeColor="accent1" w:themeShade="BF"/>
                <w:sz w:val="18"/>
                <w:szCs w:val="18"/>
              </w:rPr>
              <w:t>αρία</w:t>
            </w:r>
          </w:p>
        </w:tc>
        <w:tc>
          <w:tcPr>
            <w:tcW w:w="866" w:type="dxa"/>
            <w:tcBorders>
              <w:top w:val="nil"/>
              <w:left w:val="nil"/>
              <w:bottom w:val="nil"/>
              <w:right w:val="nil"/>
            </w:tcBorders>
            <w:shd w:val="clear" w:color="auto" w:fill="auto"/>
            <w:vAlign w:val="center"/>
          </w:tcPr>
          <w:p w14:paraId="5D907BE5" w14:textId="7FC2F04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24,1</w:t>
            </w:r>
          </w:p>
        </w:tc>
        <w:tc>
          <w:tcPr>
            <w:tcW w:w="864" w:type="dxa"/>
            <w:tcBorders>
              <w:top w:val="nil"/>
              <w:left w:val="nil"/>
              <w:bottom w:val="nil"/>
              <w:right w:val="nil"/>
            </w:tcBorders>
            <w:shd w:val="clear" w:color="auto" w:fill="auto"/>
            <w:vAlign w:val="center"/>
          </w:tcPr>
          <w:p w14:paraId="0AEDD829" w14:textId="4B65CEC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20,6</w:t>
            </w:r>
          </w:p>
        </w:tc>
        <w:tc>
          <w:tcPr>
            <w:tcW w:w="864" w:type="dxa"/>
            <w:tcBorders>
              <w:top w:val="nil"/>
              <w:left w:val="nil"/>
              <w:bottom w:val="nil"/>
              <w:right w:val="nil"/>
            </w:tcBorders>
            <w:shd w:val="clear" w:color="auto" w:fill="auto"/>
            <w:vAlign w:val="center"/>
          </w:tcPr>
          <w:p w14:paraId="618A59CF" w14:textId="5FD104F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16,1</w:t>
            </w:r>
          </w:p>
        </w:tc>
        <w:tc>
          <w:tcPr>
            <w:tcW w:w="865" w:type="dxa"/>
            <w:tcBorders>
              <w:top w:val="nil"/>
              <w:left w:val="nil"/>
              <w:bottom w:val="nil"/>
              <w:right w:val="nil"/>
            </w:tcBorders>
            <w:shd w:val="clear" w:color="auto" w:fill="auto"/>
            <w:vAlign w:val="center"/>
          </w:tcPr>
          <w:p w14:paraId="13A44DE4" w14:textId="080D86E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11,9</w:t>
            </w:r>
          </w:p>
        </w:tc>
        <w:tc>
          <w:tcPr>
            <w:tcW w:w="864" w:type="dxa"/>
            <w:tcBorders>
              <w:top w:val="nil"/>
              <w:left w:val="nil"/>
              <w:bottom w:val="nil"/>
              <w:right w:val="nil"/>
            </w:tcBorders>
            <w:shd w:val="clear" w:color="auto" w:fill="auto"/>
            <w:vAlign w:val="center"/>
          </w:tcPr>
          <w:p w14:paraId="214CE8B0" w14:textId="7592200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10,9</w:t>
            </w:r>
          </w:p>
        </w:tc>
        <w:tc>
          <w:tcPr>
            <w:tcW w:w="864" w:type="dxa"/>
            <w:tcBorders>
              <w:top w:val="nil"/>
              <w:left w:val="nil"/>
              <w:bottom w:val="nil"/>
              <w:right w:val="nil"/>
            </w:tcBorders>
            <w:shd w:val="clear" w:color="auto" w:fill="auto"/>
            <w:vAlign w:val="center"/>
          </w:tcPr>
          <w:p w14:paraId="1E877F02" w14:textId="101775D1"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10,7</w:t>
            </w:r>
          </w:p>
        </w:tc>
        <w:tc>
          <w:tcPr>
            <w:tcW w:w="864" w:type="dxa"/>
            <w:tcBorders>
              <w:top w:val="nil"/>
              <w:left w:val="nil"/>
              <w:bottom w:val="nil"/>
              <w:right w:val="nil"/>
            </w:tcBorders>
            <w:shd w:val="clear" w:color="auto" w:fill="auto"/>
            <w:vAlign w:val="center"/>
          </w:tcPr>
          <w:p w14:paraId="4F2025C0" w14:textId="44C04245"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10,2</w:t>
            </w:r>
          </w:p>
        </w:tc>
        <w:tc>
          <w:tcPr>
            <w:tcW w:w="865" w:type="dxa"/>
            <w:tcBorders>
              <w:top w:val="nil"/>
              <w:left w:val="nil"/>
              <w:bottom w:val="nil"/>
              <w:right w:val="nil"/>
            </w:tcBorders>
            <w:shd w:val="clear" w:color="auto" w:fill="auto"/>
            <w:vAlign w:val="center"/>
          </w:tcPr>
          <w:p w14:paraId="1F550F2B" w14:textId="0D69D7F5"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9,1</w:t>
            </w:r>
          </w:p>
        </w:tc>
        <w:tc>
          <w:tcPr>
            <w:tcW w:w="728" w:type="dxa"/>
            <w:tcBorders>
              <w:top w:val="nil"/>
              <w:left w:val="nil"/>
              <w:bottom w:val="nil"/>
              <w:right w:val="nil"/>
            </w:tcBorders>
            <w:shd w:val="clear" w:color="auto" w:fill="auto"/>
            <w:vAlign w:val="center"/>
          </w:tcPr>
          <w:p w14:paraId="1720188F" w14:textId="308E8508"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10,4</w:t>
            </w:r>
          </w:p>
        </w:tc>
      </w:tr>
      <w:tr w:rsidR="009B41CC" w:rsidRPr="009B41CC" w14:paraId="1CEA780E" w14:textId="455AEA49" w:rsidTr="005D2ED6">
        <w:trPr>
          <w:trHeight w:val="284"/>
          <w:jc w:val="center"/>
        </w:trPr>
        <w:tc>
          <w:tcPr>
            <w:tcW w:w="1944" w:type="dxa"/>
            <w:tcBorders>
              <w:top w:val="nil"/>
              <w:left w:val="nil"/>
              <w:bottom w:val="nil"/>
              <w:right w:val="nil"/>
            </w:tcBorders>
            <w:shd w:val="clear" w:color="auto" w:fill="auto"/>
            <w:vAlign w:val="center"/>
          </w:tcPr>
          <w:p w14:paraId="614D3282" w14:textId="4195B0C3"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Ελλάδ</w:t>
            </w:r>
            <w:proofErr w:type="spellEnd"/>
            <w:r w:rsidRPr="009B41CC">
              <w:rPr>
                <w:rFonts w:ascii="Verdana" w:hAnsi="Verdana"/>
                <w:color w:val="2F5496" w:themeColor="accent1" w:themeShade="BF"/>
                <w:sz w:val="18"/>
                <w:szCs w:val="18"/>
              </w:rPr>
              <w:t>α</w:t>
            </w:r>
          </w:p>
        </w:tc>
        <w:tc>
          <w:tcPr>
            <w:tcW w:w="866" w:type="dxa"/>
            <w:tcBorders>
              <w:top w:val="nil"/>
              <w:left w:val="nil"/>
              <w:bottom w:val="nil"/>
              <w:right w:val="nil"/>
            </w:tcBorders>
            <w:shd w:val="clear" w:color="auto" w:fill="auto"/>
            <w:vAlign w:val="center"/>
          </w:tcPr>
          <w:p w14:paraId="699792B2" w14:textId="1665AE1B"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17,6</w:t>
            </w:r>
          </w:p>
        </w:tc>
        <w:tc>
          <w:tcPr>
            <w:tcW w:w="864" w:type="dxa"/>
            <w:tcBorders>
              <w:top w:val="nil"/>
              <w:left w:val="nil"/>
              <w:bottom w:val="nil"/>
              <w:right w:val="nil"/>
            </w:tcBorders>
            <w:shd w:val="clear" w:color="auto" w:fill="auto"/>
            <w:vAlign w:val="center"/>
          </w:tcPr>
          <w:p w14:paraId="76E39EF6" w14:textId="697EB8E6"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18,4</w:t>
            </w:r>
          </w:p>
        </w:tc>
        <w:tc>
          <w:tcPr>
            <w:tcW w:w="864" w:type="dxa"/>
            <w:tcBorders>
              <w:top w:val="nil"/>
              <w:left w:val="nil"/>
              <w:bottom w:val="nil"/>
              <w:right w:val="nil"/>
            </w:tcBorders>
            <w:shd w:val="clear" w:color="auto" w:fill="auto"/>
            <w:vAlign w:val="center"/>
          </w:tcPr>
          <w:p w14:paraId="15563D94" w14:textId="309C8055"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18,3</w:t>
            </w:r>
          </w:p>
        </w:tc>
        <w:tc>
          <w:tcPr>
            <w:tcW w:w="865" w:type="dxa"/>
            <w:tcBorders>
              <w:top w:val="nil"/>
              <w:left w:val="nil"/>
              <w:bottom w:val="nil"/>
              <w:right w:val="nil"/>
            </w:tcBorders>
            <w:shd w:val="clear" w:color="auto" w:fill="auto"/>
            <w:vAlign w:val="center"/>
          </w:tcPr>
          <w:p w14:paraId="28851422" w14:textId="72E21BF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16,1</w:t>
            </w:r>
          </w:p>
        </w:tc>
        <w:tc>
          <w:tcPr>
            <w:tcW w:w="864" w:type="dxa"/>
            <w:tcBorders>
              <w:top w:val="nil"/>
              <w:left w:val="nil"/>
              <w:bottom w:val="nil"/>
              <w:right w:val="nil"/>
            </w:tcBorders>
            <w:shd w:val="clear" w:color="auto" w:fill="auto"/>
            <w:vAlign w:val="center"/>
          </w:tcPr>
          <w:p w14:paraId="14622D21" w14:textId="52A2953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15,8</w:t>
            </w:r>
          </w:p>
        </w:tc>
        <w:tc>
          <w:tcPr>
            <w:tcW w:w="864" w:type="dxa"/>
            <w:tcBorders>
              <w:top w:val="nil"/>
              <w:left w:val="nil"/>
              <w:bottom w:val="nil"/>
              <w:right w:val="nil"/>
            </w:tcBorders>
            <w:shd w:val="clear" w:color="auto" w:fill="auto"/>
            <w:vAlign w:val="center"/>
          </w:tcPr>
          <w:p w14:paraId="1569F720" w14:textId="09F55AE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14,9</w:t>
            </w:r>
          </w:p>
        </w:tc>
        <w:tc>
          <w:tcPr>
            <w:tcW w:w="864" w:type="dxa"/>
            <w:tcBorders>
              <w:top w:val="nil"/>
              <w:left w:val="nil"/>
              <w:bottom w:val="nil"/>
              <w:right w:val="nil"/>
            </w:tcBorders>
            <w:shd w:val="clear" w:color="auto" w:fill="auto"/>
            <w:vAlign w:val="center"/>
          </w:tcPr>
          <w:p w14:paraId="1D3A3994" w14:textId="76EFDAEC"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13,9</w:t>
            </w:r>
          </w:p>
        </w:tc>
        <w:tc>
          <w:tcPr>
            <w:tcW w:w="865" w:type="dxa"/>
            <w:tcBorders>
              <w:top w:val="nil"/>
              <w:left w:val="nil"/>
              <w:bottom w:val="nil"/>
              <w:right w:val="nil"/>
            </w:tcBorders>
            <w:shd w:val="clear" w:color="auto" w:fill="auto"/>
            <w:vAlign w:val="center"/>
          </w:tcPr>
          <w:p w14:paraId="5DBFAA05" w14:textId="42B2BFF1"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13,9</w:t>
            </w:r>
          </w:p>
        </w:tc>
        <w:tc>
          <w:tcPr>
            <w:tcW w:w="728" w:type="dxa"/>
            <w:tcBorders>
              <w:top w:val="nil"/>
              <w:left w:val="nil"/>
              <w:bottom w:val="nil"/>
              <w:right w:val="nil"/>
            </w:tcBorders>
            <w:shd w:val="clear" w:color="auto" w:fill="auto"/>
            <w:vAlign w:val="center"/>
          </w:tcPr>
          <w:p w14:paraId="4BDABF2C" w14:textId="5E7A58D1"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13,5</w:t>
            </w:r>
          </w:p>
        </w:tc>
      </w:tr>
      <w:tr w:rsidR="009B41CC" w:rsidRPr="009B41CC" w14:paraId="359FC019" w14:textId="21E4CDDB" w:rsidTr="005D2ED6">
        <w:trPr>
          <w:trHeight w:val="284"/>
          <w:jc w:val="center"/>
        </w:trPr>
        <w:tc>
          <w:tcPr>
            <w:tcW w:w="1944" w:type="dxa"/>
            <w:tcBorders>
              <w:top w:val="nil"/>
              <w:left w:val="nil"/>
              <w:right w:val="nil"/>
            </w:tcBorders>
            <w:shd w:val="clear" w:color="auto" w:fill="auto"/>
            <w:vAlign w:val="center"/>
          </w:tcPr>
          <w:p w14:paraId="6A0C7CB0" w14:textId="0B1C6D2B"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Βουλγ</w:t>
            </w:r>
            <w:proofErr w:type="spellEnd"/>
            <w:r w:rsidRPr="009B41CC">
              <w:rPr>
                <w:rFonts w:ascii="Verdana" w:hAnsi="Verdana"/>
                <w:color w:val="2F5496" w:themeColor="accent1" w:themeShade="BF"/>
                <w:sz w:val="18"/>
                <w:szCs w:val="18"/>
              </w:rPr>
              <w:t>αρία</w:t>
            </w:r>
          </w:p>
        </w:tc>
        <w:tc>
          <w:tcPr>
            <w:tcW w:w="866" w:type="dxa"/>
            <w:tcBorders>
              <w:top w:val="nil"/>
              <w:left w:val="nil"/>
              <w:right w:val="nil"/>
            </w:tcBorders>
            <w:shd w:val="clear" w:color="auto" w:fill="auto"/>
            <w:vAlign w:val="center"/>
          </w:tcPr>
          <w:p w14:paraId="7C185057" w14:textId="3176A9B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36,8</w:t>
            </w:r>
          </w:p>
        </w:tc>
        <w:tc>
          <w:tcPr>
            <w:tcW w:w="864" w:type="dxa"/>
            <w:tcBorders>
              <w:top w:val="nil"/>
              <w:left w:val="nil"/>
              <w:right w:val="nil"/>
            </w:tcBorders>
            <w:shd w:val="clear" w:color="auto" w:fill="auto"/>
            <w:vAlign w:val="center"/>
          </w:tcPr>
          <w:p w14:paraId="4BCF02BB" w14:textId="4FE4AB9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33,5</w:t>
            </w:r>
          </w:p>
        </w:tc>
        <w:tc>
          <w:tcPr>
            <w:tcW w:w="864" w:type="dxa"/>
            <w:tcBorders>
              <w:top w:val="nil"/>
              <w:left w:val="nil"/>
              <w:right w:val="nil"/>
            </w:tcBorders>
            <w:shd w:val="clear" w:color="auto" w:fill="auto"/>
            <w:vAlign w:val="center"/>
          </w:tcPr>
          <w:p w14:paraId="5FA893C7" w14:textId="5C7758C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30,0</w:t>
            </w:r>
          </w:p>
        </w:tc>
        <w:tc>
          <w:tcPr>
            <w:tcW w:w="865" w:type="dxa"/>
            <w:tcBorders>
              <w:top w:val="nil"/>
              <w:left w:val="nil"/>
              <w:right w:val="nil"/>
            </w:tcBorders>
            <w:shd w:val="clear" w:color="auto" w:fill="auto"/>
            <w:vAlign w:val="center"/>
          </w:tcPr>
          <w:p w14:paraId="613A1CF2" w14:textId="1E672390"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22,3</w:t>
            </w:r>
          </w:p>
        </w:tc>
        <w:tc>
          <w:tcPr>
            <w:tcW w:w="864" w:type="dxa"/>
            <w:tcBorders>
              <w:top w:val="nil"/>
              <w:left w:val="nil"/>
              <w:right w:val="nil"/>
            </w:tcBorders>
            <w:shd w:val="clear" w:color="auto" w:fill="auto"/>
            <w:vAlign w:val="center"/>
          </w:tcPr>
          <w:p w14:paraId="0D756016" w14:textId="30C8FCB9"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22,1</w:t>
            </w:r>
          </w:p>
        </w:tc>
        <w:tc>
          <w:tcPr>
            <w:tcW w:w="864" w:type="dxa"/>
            <w:tcBorders>
              <w:top w:val="nil"/>
              <w:left w:val="nil"/>
              <w:right w:val="nil"/>
            </w:tcBorders>
            <w:shd w:val="clear" w:color="auto" w:fill="auto"/>
            <w:vAlign w:val="center"/>
          </w:tcPr>
          <w:p w14:paraId="6AF3DC3E" w14:textId="333B583D"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22,1</w:t>
            </w:r>
          </w:p>
        </w:tc>
        <w:tc>
          <w:tcPr>
            <w:tcW w:w="864" w:type="dxa"/>
            <w:tcBorders>
              <w:top w:val="nil"/>
              <w:left w:val="nil"/>
              <w:right w:val="nil"/>
            </w:tcBorders>
            <w:shd w:val="clear" w:color="auto" w:fill="auto"/>
            <w:vAlign w:val="center"/>
          </w:tcPr>
          <w:p w14:paraId="285535D4" w14:textId="657C849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19,1</w:t>
            </w:r>
          </w:p>
        </w:tc>
        <w:tc>
          <w:tcPr>
            <w:tcW w:w="865" w:type="dxa"/>
            <w:tcBorders>
              <w:top w:val="nil"/>
              <w:left w:val="nil"/>
              <w:right w:val="nil"/>
            </w:tcBorders>
            <w:shd w:val="clear" w:color="auto" w:fill="auto"/>
            <w:vAlign w:val="center"/>
          </w:tcPr>
          <w:p w14:paraId="67FED0DE" w14:textId="039B48C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18,7</w:t>
            </w:r>
          </w:p>
        </w:tc>
        <w:tc>
          <w:tcPr>
            <w:tcW w:w="728" w:type="dxa"/>
            <w:tcBorders>
              <w:top w:val="nil"/>
              <w:left w:val="nil"/>
              <w:right w:val="nil"/>
            </w:tcBorders>
            <w:shd w:val="clear" w:color="auto" w:fill="auto"/>
            <w:vAlign w:val="center"/>
          </w:tcPr>
          <w:p w14:paraId="61BA205A" w14:textId="7742DB11" w:rsidR="009B41CC" w:rsidRPr="00731BB7"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18,0</w:t>
            </w:r>
          </w:p>
        </w:tc>
      </w:tr>
      <w:tr w:rsidR="009B41CC" w:rsidRPr="009B41CC" w14:paraId="53A165CC" w14:textId="3C77F5B6" w:rsidTr="005D2ED6">
        <w:trPr>
          <w:trHeight w:val="340"/>
          <w:jc w:val="center"/>
        </w:trPr>
        <w:tc>
          <w:tcPr>
            <w:tcW w:w="1944" w:type="dxa"/>
            <w:tcBorders>
              <w:top w:val="nil"/>
              <w:left w:val="nil"/>
              <w:bottom w:val="single" w:sz="4" w:space="0" w:color="2F5496" w:themeColor="accent1" w:themeShade="BF"/>
              <w:right w:val="nil"/>
            </w:tcBorders>
            <w:shd w:val="clear" w:color="auto" w:fill="auto"/>
            <w:vAlign w:val="center"/>
          </w:tcPr>
          <w:p w14:paraId="4C9944B1" w14:textId="52DD24C7" w:rsidR="009B41CC" w:rsidRPr="009B41CC" w:rsidRDefault="009B41CC" w:rsidP="009B41CC">
            <w:pPr>
              <w:rPr>
                <w:rFonts w:ascii="Verdana" w:hAnsi="Verdana"/>
                <w:color w:val="2F5496" w:themeColor="accent1" w:themeShade="BF"/>
                <w:sz w:val="18"/>
                <w:szCs w:val="18"/>
              </w:rPr>
            </w:pPr>
            <w:proofErr w:type="spellStart"/>
            <w:r w:rsidRPr="009B41CC">
              <w:rPr>
                <w:rFonts w:ascii="Verdana" w:hAnsi="Verdana"/>
                <w:color w:val="2F5496" w:themeColor="accent1" w:themeShade="BF"/>
                <w:sz w:val="18"/>
                <w:szCs w:val="18"/>
              </w:rPr>
              <w:t>Ρουμ</w:t>
            </w:r>
            <w:proofErr w:type="spellEnd"/>
            <w:r w:rsidRPr="009B41CC">
              <w:rPr>
                <w:rFonts w:ascii="Verdana" w:hAnsi="Verdana"/>
                <w:color w:val="2F5496" w:themeColor="accent1" w:themeShade="BF"/>
                <w:sz w:val="18"/>
                <w:szCs w:val="18"/>
              </w:rPr>
              <w:t>ανία</w:t>
            </w:r>
          </w:p>
        </w:tc>
        <w:tc>
          <w:tcPr>
            <w:tcW w:w="866" w:type="dxa"/>
            <w:tcBorders>
              <w:top w:val="nil"/>
              <w:left w:val="nil"/>
              <w:bottom w:val="single" w:sz="4" w:space="0" w:color="2F5496" w:themeColor="accent1" w:themeShade="BF"/>
              <w:right w:val="nil"/>
            </w:tcBorders>
            <w:shd w:val="clear" w:color="auto" w:fill="auto"/>
            <w:vAlign w:val="center"/>
          </w:tcPr>
          <w:p w14:paraId="2EED0A53" w14:textId="22CA4928"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34,0</w:t>
            </w:r>
          </w:p>
        </w:tc>
        <w:tc>
          <w:tcPr>
            <w:tcW w:w="864" w:type="dxa"/>
            <w:tcBorders>
              <w:top w:val="nil"/>
              <w:left w:val="nil"/>
              <w:bottom w:val="single" w:sz="4" w:space="0" w:color="2F5496" w:themeColor="accent1" w:themeShade="BF"/>
              <w:right w:val="nil"/>
            </w:tcBorders>
            <w:shd w:val="clear" w:color="auto" w:fill="auto"/>
            <w:vAlign w:val="center"/>
          </w:tcPr>
          <w:p w14:paraId="56B1EBB1" w14:textId="5A6E91B2"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35,9</w:t>
            </w:r>
          </w:p>
        </w:tc>
        <w:tc>
          <w:tcPr>
            <w:tcW w:w="864" w:type="dxa"/>
            <w:tcBorders>
              <w:top w:val="nil"/>
              <w:left w:val="nil"/>
              <w:bottom w:val="single" w:sz="4" w:space="0" w:color="2F5496" w:themeColor="accent1" w:themeShade="BF"/>
              <w:right w:val="nil"/>
            </w:tcBorders>
            <w:shd w:val="clear" w:color="auto" w:fill="auto"/>
            <w:vAlign w:val="center"/>
          </w:tcPr>
          <w:p w14:paraId="02ABC177" w14:textId="274B0CE4"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32,4</w:t>
            </w:r>
          </w:p>
        </w:tc>
        <w:tc>
          <w:tcPr>
            <w:tcW w:w="865" w:type="dxa"/>
            <w:tcBorders>
              <w:top w:val="nil"/>
              <w:left w:val="nil"/>
              <w:bottom w:val="single" w:sz="4" w:space="0" w:color="2F5496" w:themeColor="accent1" w:themeShade="BF"/>
              <w:right w:val="nil"/>
            </w:tcBorders>
            <w:shd w:val="clear" w:color="auto" w:fill="auto"/>
            <w:vAlign w:val="center"/>
          </w:tcPr>
          <w:p w14:paraId="1229B5BE" w14:textId="28739623"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28,3</w:t>
            </w:r>
          </w:p>
        </w:tc>
        <w:tc>
          <w:tcPr>
            <w:tcW w:w="864" w:type="dxa"/>
            <w:tcBorders>
              <w:top w:val="nil"/>
              <w:left w:val="nil"/>
              <w:bottom w:val="single" w:sz="4" w:space="0" w:color="2F5496" w:themeColor="accent1" w:themeShade="BF"/>
              <w:right w:val="nil"/>
            </w:tcBorders>
            <w:shd w:val="clear" w:color="auto" w:fill="auto"/>
            <w:vAlign w:val="center"/>
          </w:tcPr>
          <w:p w14:paraId="652E06C0" w14:textId="1E03ADF7"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24,5</w:t>
            </w:r>
          </w:p>
        </w:tc>
        <w:tc>
          <w:tcPr>
            <w:tcW w:w="864" w:type="dxa"/>
            <w:tcBorders>
              <w:top w:val="nil"/>
              <w:left w:val="nil"/>
              <w:bottom w:val="single" w:sz="4" w:space="0" w:color="2F5496" w:themeColor="accent1" w:themeShade="BF"/>
              <w:right w:val="nil"/>
            </w:tcBorders>
            <w:shd w:val="clear" w:color="auto" w:fill="auto"/>
            <w:vAlign w:val="center"/>
          </w:tcPr>
          <w:p w14:paraId="31C5E498" w14:textId="3A62767A"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25,3</w:t>
            </w:r>
          </w:p>
        </w:tc>
        <w:tc>
          <w:tcPr>
            <w:tcW w:w="864" w:type="dxa"/>
            <w:tcBorders>
              <w:top w:val="nil"/>
              <w:left w:val="nil"/>
              <w:bottom w:val="single" w:sz="4" w:space="0" w:color="2F5496" w:themeColor="accent1" w:themeShade="BF"/>
              <w:right w:val="nil"/>
            </w:tcBorders>
            <w:shd w:val="clear" w:color="auto" w:fill="auto"/>
            <w:vAlign w:val="center"/>
          </w:tcPr>
          <w:p w14:paraId="0FDF63D4" w14:textId="2326613F"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23,1</w:t>
            </w:r>
          </w:p>
        </w:tc>
        <w:tc>
          <w:tcPr>
            <w:tcW w:w="865" w:type="dxa"/>
            <w:tcBorders>
              <w:top w:val="nil"/>
              <w:left w:val="nil"/>
              <w:bottom w:val="single" w:sz="4" w:space="0" w:color="2F5496" w:themeColor="accent1" w:themeShade="BF"/>
              <w:right w:val="nil"/>
            </w:tcBorders>
            <w:shd w:val="clear" w:color="auto" w:fill="auto"/>
            <w:vAlign w:val="center"/>
          </w:tcPr>
          <w:p w14:paraId="08056FDF" w14:textId="0BC0E17E" w:rsidR="009B41CC" w:rsidRPr="009B41CC" w:rsidRDefault="009B41CC" w:rsidP="005D2ED6">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24,3</w:t>
            </w:r>
          </w:p>
        </w:tc>
        <w:tc>
          <w:tcPr>
            <w:tcW w:w="728" w:type="dxa"/>
            <w:tcBorders>
              <w:top w:val="nil"/>
              <w:left w:val="nil"/>
              <w:bottom w:val="single" w:sz="4" w:space="0" w:color="2F5496" w:themeColor="accent1" w:themeShade="BF"/>
              <w:right w:val="nil"/>
            </w:tcBorders>
            <w:shd w:val="clear" w:color="auto" w:fill="auto"/>
            <w:vAlign w:val="center"/>
          </w:tcPr>
          <w:p w14:paraId="611A18DD" w14:textId="01974F68" w:rsidR="009B41CC" w:rsidRPr="008C7620" w:rsidRDefault="009B41CC" w:rsidP="005D2ED6">
            <w:pPr>
              <w:ind w:right="113"/>
              <w:jc w:val="right"/>
              <w:rPr>
                <w:rFonts w:ascii="Verdana" w:hAnsi="Verdana"/>
                <w:color w:val="2F5496" w:themeColor="accent1" w:themeShade="BF"/>
                <w:sz w:val="18"/>
                <w:szCs w:val="18"/>
                <w:lang w:val="el-GR"/>
              </w:rPr>
            </w:pPr>
            <w:r w:rsidRPr="009B41CC">
              <w:rPr>
                <w:rFonts w:ascii="Verdana" w:hAnsi="Verdana"/>
                <w:color w:val="2F5496" w:themeColor="accent1" w:themeShade="BF"/>
                <w:sz w:val="18"/>
                <w:szCs w:val="18"/>
              </w:rPr>
              <w:t>19,8</w:t>
            </w:r>
          </w:p>
        </w:tc>
      </w:tr>
      <w:bookmarkEnd w:id="3"/>
    </w:tbl>
    <w:p w14:paraId="71CB2E41" w14:textId="77777777" w:rsidR="00113CE5" w:rsidRPr="008F11B9" w:rsidRDefault="00113CE5" w:rsidP="00113CE5">
      <w:pPr>
        <w:jc w:val="both"/>
        <w:rPr>
          <w:rFonts w:ascii="Verdana" w:eastAsia="Malgun Gothic" w:hAnsi="Verdana" w:cs="Arial"/>
          <w:sz w:val="18"/>
          <w:szCs w:val="18"/>
          <w:lang w:val="el-GR"/>
        </w:rPr>
      </w:pPr>
    </w:p>
    <w:p w14:paraId="1ABA6A14" w14:textId="77777777" w:rsidR="00113CE5" w:rsidRPr="008F11B9" w:rsidRDefault="00113CE5" w:rsidP="00113CE5">
      <w:pPr>
        <w:jc w:val="both"/>
        <w:rPr>
          <w:rFonts w:ascii="Verdana" w:eastAsia="Malgun Gothic" w:hAnsi="Verdana" w:cs="Arial"/>
          <w:b/>
          <w:sz w:val="18"/>
          <w:szCs w:val="18"/>
          <w:u w:val="single"/>
        </w:rPr>
      </w:pPr>
    </w:p>
    <w:p w14:paraId="7C843B7B" w14:textId="77777777" w:rsidR="00113CE5" w:rsidRPr="008F11B9" w:rsidRDefault="00113CE5" w:rsidP="00113CE5">
      <w:pPr>
        <w:jc w:val="both"/>
        <w:rPr>
          <w:rFonts w:ascii="Verdana" w:eastAsia="Malgun Gothic" w:hAnsi="Verdana" w:cs="Arial"/>
          <w:b/>
          <w:sz w:val="18"/>
          <w:szCs w:val="18"/>
          <w:u w:val="single"/>
          <w:lang w:val="el-GR"/>
        </w:rPr>
      </w:pPr>
    </w:p>
    <w:p w14:paraId="77EAE30E" w14:textId="77777777" w:rsidR="00113CE5" w:rsidRPr="008F11B9" w:rsidRDefault="00113CE5" w:rsidP="00113CE5">
      <w:pPr>
        <w:jc w:val="both"/>
        <w:rPr>
          <w:rFonts w:ascii="Verdana" w:eastAsia="Malgun Gothic" w:hAnsi="Verdana" w:cs="Arial"/>
          <w:b/>
          <w:sz w:val="18"/>
          <w:szCs w:val="18"/>
          <w:u w:val="single"/>
          <w:lang w:val="el-GR"/>
        </w:rPr>
      </w:pPr>
    </w:p>
    <w:p w14:paraId="09157638" w14:textId="77777777" w:rsidR="00113CE5" w:rsidRPr="008F11B9" w:rsidRDefault="00113CE5" w:rsidP="00113CE5">
      <w:pPr>
        <w:jc w:val="both"/>
        <w:rPr>
          <w:rFonts w:ascii="Verdana" w:eastAsia="Malgun Gothic" w:hAnsi="Verdana" w:cs="Arial"/>
          <w:b/>
          <w:sz w:val="18"/>
          <w:szCs w:val="18"/>
          <w:u w:val="single"/>
          <w:lang w:val="el-GR"/>
        </w:rPr>
      </w:pPr>
    </w:p>
    <w:p w14:paraId="1764E5A3" w14:textId="77777777" w:rsidR="00113CE5" w:rsidRDefault="00113CE5" w:rsidP="00113CE5">
      <w:pPr>
        <w:jc w:val="both"/>
        <w:rPr>
          <w:rFonts w:ascii="Verdana" w:eastAsia="Malgun Gothic" w:hAnsi="Verdana" w:cs="Arial"/>
          <w:b/>
          <w:sz w:val="18"/>
          <w:szCs w:val="18"/>
          <w:u w:val="single"/>
          <w:lang w:val="el-GR"/>
        </w:rPr>
      </w:pPr>
    </w:p>
    <w:p w14:paraId="14CA66E6" w14:textId="77777777" w:rsidR="00113CE5" w:rsidRDefault="00113CE5" w:rsidP="00113CE5">
      <w:pPr>
        <w:jc w:val="both"/>
        <w:rPr>
          <w:rFonts w:ascii="Verdana" w:eastAsia="Malgun Gothic" w:hAnsi="Verdana" w:cs="Arial"/>
          <w:b/>
          <w:sz w:val="18"/>
          <w:szCs w:val="18"/>
          <w:u w:val="single"/>
          <w:lang w:val="el-GR"/>
        </w:rPr>
      </w:pPr>
    </w:p>
    <w:p w14:paraId="46F97D9A" w14:textId="77777777" w:rsidR="001B5658" w:rsidRPr="008F11B9" w:rsidRDefault="001B5658" w:rsidP="00113CE5">
      <w:pPr>
        <w:jc w:val="both"/>
        <w:rPr>
          <w:rFonts w:ascii="Verdana" w:eastAsia="Malgun Gothic" w:hAnsi="Verdana" w:cs="Arial"/>
          <w:b/>
          <w:sz w:val="18"/>
          <w:szCs w:val="18"/>
          <w:u w:val="single"/>
          <w:lang w:val="el-GR"/>
        </w:rPr>
      </w:pPr>
    </w:p>
    <w:p w14:paraId="33DA4060" w14:textId="77777777" w:rsidR="00113CE5" w:rsidRPr="008F11B9" w:rsidRDefault="00113CE5" w:rsidP="00113CE5">
      <w:pPr>
        <w:jc w:val="both"/>
        <w:rPr>
          <w:rFonts w:ascii="Verdana" w:eastAsia="Malgun Gothic" w:hAnsi="Verdana" w:cs="Arial"/>
          <w:b/>
          <w:sz w:val="18"/>
          <w:szCs w:val="18"/>
          <w:u w:val="single"/>
          <w:lang w:val="el-GR"/>
        </w:rPr>
      </w:pPr>
    </w:p>
    <w:p w14:paraId="56E46CE7" w14:textId="77777777" w:rsidR="00113CE5" w:rsidRDefault="00113CE5" w:rsidP="00113CE5">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1432C571" w14:textId="77777777" w:rsidR="00113CE5" w:rsidRPr="00780A62" w:rsidRDefault="00113CE5" w:rsidP="00113CE5">
      <w:pPr>
        <w:jc w:val="center"/>
        <w:rPr>
          <w:rFonts w:ascii="Verdana" w:eastAsia="Malgun Gothic" w:hAnsi="Verdana" w:cs="Arial"/>
          <w:b/>
          <w:u w:val="single"/>
          <w:lang w:val="el-GR"/>
        </w:rPr>
      </w:pPr>
    </w:p>
    <w:p w14:paraId="7ACD4CA0" w14:textId="09FE18DC" w:rsidR="00113CE5" w:rsidRDefault="00113CE5" w:rsidP="00113CE5">
      <w:pPr>
        <w:jc w:val="both"/>
        <w:rPr>
          <w:rFonts w:ascii="Verdana" w:eastAsia="Malgun Gothic" w:hAnsi="Verdana" w:cs="Arial"/>
          <w:b/>
          <w:sz w:val="18"/>
          <w:szCs w:val="18"/>
          <w:u w:val="single"/>
        </w:rPr>
      </w:pPr>
      <w:r w:rsidRPr="00435BBF">
        <w:rPr>
          <w:rFonts w:ascii="Verdana" w:eastAsia="Malgun Gothic" w:hAnsi="Verdana" w:cs="Arial"/>
          <w:b/>
          <w:sz w:val="18"/>
          <w:szCs w:val="18"/>
          <w:u w:val="single"/>
          <w:lang w:val="el-GR"/>
        </w:rPr>
        <w:t xml:space="preserve">Ταυτότητα της </w:t>
      </w:r>
      <w:r>
        <w:rPr>
          <w:rFonts w:ascii="Verdana" w:eastAsia="Malgun Gothic" w:hAnsi="Verdana" w:cs="Arial"/>
          <w:b/>
          <w:sz w:val="18"/>
          <w:szCs w:val="18"/>
          <w:u w:val="single"/>
          <w:lang w:val="el-GR"/>
        </w:rPr>
        <w:t>Έ</w:t>
      </w:r>
      <w:r w:rsidRPr="00435BBF">
        <w:rPr>
          <w:rFonts w:ascii="Verdana" w:eastAsia="Malgun Gothic" w:hAnsi="Verdana" w:cs="Arial"/>
          <w:b/>
          <w:sz w:val="18"/>
          <w:szCs w:val="18"/>
          <w:u w:val="single"/>
          <w:lang w:val="el-GR"/>
        </w:rPr>
        <w:t>ρευνας</w:t>
      </w:r>
    </w:p>
    <w:p w14:paraId="740C55C2" w14:textId="77777777" w:rsidR="003E0519" w:rsidRPr="003E0519" w:rsidRDefault="003E0519" w:rsidP="00113CE5">
      <w:pPr>
        <w:jc w:val="both"/>
        <w:rPr>
          <w:rFonts w:ascii="Verdana" w:eastAsia="Malgun Gothic" w:hAnsi="Verdana" w:cs="Arial"/>
          <w:b/>
          <w:sz w:val="18"/>
          <w:szCs w:val="18"/>
          <w:u w:val="single"/>
        </w:rPr>
      </w:pPr>
    </w:p>
    <w:p w14:paraId="31018864" w14:textId="77777777" w:rsidR="00113CE5" w:rsidRPr="00D33FA2" w:rsidRDefault="00113CE5" w:rsidP="00113CE5">
      <w:pPr>
        <w:jc w:val="both"/>
        <w:rPr>
          <w:rFonts w:ascii="Verdana" w:eastAsia="Malgun Gothic" w:hAnsi="Verdana" w:cs="Arial"/>
          <w:sz w:val="18"/>
          <w:szCs w:val="18"/>
          <w:lang w:val="el-GR"/>
        </w:rPr>
      </w:pPr>
      <w:r w:rsidRPr="00D33FA2">
        <w:rPr>
          <w:rFonts w:ascii="Verdana" w:eastAsia="Malgun Gothic" w:hAnsi="Verdana" w:cs="Arial"/>
          <w:sz w:val="18"/>
          <w:szCs w:val="18"/>
          <w:lang w:val="el-GR"/>
        </w:rPr>
        <w:t xml:space="preserve">Η έρευνα Εισοδήματος και Συνθηκών Διαβίωσης των Νοικοκυριών (EU-SILC) διεξάγεται με βάση τον Κανονισμό (ΕΚ) </w:t>
      </w:r>
      <w:proofErr w:type="spellStart"/>
      <w:r w:rsidRPr="00D33FA2">
        <w:rPr>
          <w:rFonts w:ascii="Verdana" w:eastAsia="Malgun Gothic" w:hAnsi="Verdana" w:cs="Arial"/>
          <w:sz w:val="18"/>
          <w:szCs w:val="18"/>
          <w:lang w:val="el-GR"/>
        </w:rPr>
        <w:t>αρ</w:t>
      </w:r>
      <w:proofErr w:type="spellEnd"/>
      <w:r w:rsidRPr="00D33FA2">
        <w:rPr>
          <w:rFonts w:ascii="Verdana" w:eastAsia="Malgun Gothic" w:hAnsi="Verdana" w:cs="Arial"/>
          <w:sz w:val="18"/>
          <w:szCs w:val="18"/>
          <w:lang w:val="el-GR"/>
        </w:rPr>
        <w:t xml:space="preserve">. 2019/1700 του Ευρωπαϊκού Κοινοβουλίου και του Συμβουλίου και χρησιμοποιείται από την Ευρωπαϊκή Στατιστική Υπηρεσία (EUROSTAT) ως η κύρια πηγή συγκριτικών στοιχείων μεταξύ των χωρών μελών της Ευρωπαϊκής Ένωσης (ΕΕ) σε θέματα που αφορούν στη φτώχια και τον κοινωνικό αποκλεισμό. </w:t>
      </w:r>
    </w:p>
    <w:p w14:paraId="22DA3E52" w14:textId="77777777" w:rsidR="00113CE5" w:rsidRPr="00D33FA2" w:rsidRDefault="00113CE5" w:rsidP="00113CE5">
      <w:pPr>
        <w:jc w:val="both"/>
        <w:rPr>
          <w:rFonts w:ascii="Verdana" w:eastAsia="Malgun Gothic" w:hAnsi="Verdana" w:cs="Arial"/>
          <w:sz w:val="18"/>
          <w:szCs w:val="18"/>
          <w:lang w:val="el-GR"/>
        </w:rPr>
      </w:pPr>
    </w:p>
    <w:p w14:paraId="29958909" w14:textId="77777777" w:rsidR="00113CE5" w:rsidRPr="00435BBF" w:rsidRDefault="00113CE5" w:rsidP="00113CE5">
      <w:pPr>
        <w:jc w:val="both"/>
        <w:rPr>
          <w:rFonts w:ascii="Verdana" w:eastAsia="Malgun Gothic" w:hAnsi="Verdana" w:cs="Arial"/>
          <w:sz w:val="18"/>
          <w:szCs w:val="18"/>
          <w:lang w:val="el-GR"/>
        </w:rPr>
      </w:pPr>
      <w:r w:rsidRPr="00D33FA2">
        <w:rPr>
          <w:rFonts w:ascii="Verdana" w:eastAsia="Malgun Gothic" w:hAnsi="Verdana" w:cs="Arial"/>
          <w:sz w:val="18"/>
          <w:szCs w:val="18"/>
          <w:lang w:val="el-GR"/>
        </w:rPr>
        <w:t xml:space="preserve">Σκοπός της έρευνας είναι η διερεύνηση ορισμένων </w:t>
      </w:r>
      <w:proofErr w:type="spellStart"/>
      <w:r w:rsidRPr="00D33FA2">
        <w:rPr>
          <w:rFonts w:ascii="Verdana" w:eastAsia="Malgun Gothic" w:hAnsi="Verdana" w:cs="Arial"/>
          <w:sz w:val="18"/>
          <w:szCs w:val="18"/>
          <w:lang w:val="el-GR"/>
        </w:rPr>
        <w:t>κοινωνικο</w:t>
      </w:r>
      <w:proofErr w:type="spellEnd"/>
      <w:r w:rsidRPr="00D33FA2">
        <w:rPr>
          <w:rFonts w:ascii="Verdana" w:eastAsia="Malgun Gothic" w:hAnsi="Verdana" w:cs="Arial"/>
          <w:sz w:val="18"/>
          <w:szCs w:val="18"/>
          <w:lang w:val="el-GR"/>
        </w:rPr>
        <w:t>-οικονομικών μεγεθών που επηρεάζουν τις συνθήκες διαβίωσης του πληθυσμού, ο καταρτισμός συστηματικών στατιστικών σχετικά με τις εισοδηματικές ανισότητες, τις ανισότητες στις συνθήκες διαβίωσης των νοικοκυριών, τη φτώχια και τον κοινωνικό αποκλεισμό, καθώς και ο καταρτισμός διαρθρωτικών δεικτών κοινωνικής συνοχής.</w:t>
      </w:r>
    </w:p>
    <w:p w14:paraId="68B6EF6A" w14:textId="77777777" w:rsidR="00113CE5" w:rsidRDefault="00113CE5" w:rsidP="00113CE5">
      <w:pPr>
        <w:jc w:val="both"/>
        <w:rPr>
          <w:rFonts w:ascii="Verdana" w:eastAsia="Malgun Gothic" w:hAnsi="Verdana" w:cs="Arial"/>
          <w:sz w:val="18"/>
          <w:szCs w:val="18"/>
          <w:lang w:val="el-GR"/>
        </w:rPr>
      </w:pPr>
    </w:p>
    <w:p w14:paraId="4D0BAAD8" w14:textId="1842E944" w:rsidR="00113CE5" w:rsidRDefault="00113CE5" w:rsidP="00113CE5">
      <w:pPr>
        <w:jc w:val="both"/>
        <w:rPr>
          <w:rFonts w:ascii="Verdana" w:eastAsia="Malgun Gothic" w:hAnsi="Verdana" w:cs="Arial"/>
          <w:b/>
          <w:sz w:val="18"/>
          <w:szCs w:val="18"/>
          <w:u w:val="single"/>
          <w:lang w:val="el-GR"/>
        </w:rPr>
      </w:pPr>
      <w:r w:rsidRPr="00435BBF">
        <w:rPr>
          <w:rFonts w:ascii="Verdana" w:eastAsia="Malgun Gothic" w:hAnsi="Verdana" w:cs="Arial"/>
          <w:b/>
          <w:sz w:val="18"/>
          <w:szCs w:val="18"/>
          <w:u w:val="single"/>
          <w:lang w:val="el-GR"/>
        </w:rPr>
        <w:t xml:space="preserve">Κάλυψη και </w:t>
      </w:r>
      <w:r>
        <w:rPr>
          <w:rFonts w:ascii="Verdana" w:eastAsia="Malgun Gothic" w:hAnsi="Verdana" w:cs="Arial"/>
          <w:b/>
          <w:sz w:val="18"/>
          <w:szCs w:val="18"/>
          <w:u w:val="single"/>
          <w:lang w:val="el-GR"/>
        </w:rPr>
        <w:t>Σ</w:t>
      </w:r>
      <w:r w:rsidRPr="00435BBF">
        <w:rPr>
          <w:rFonts w:ascii="Verdana" w:eastAsia="Malgun Gothic" w:hAnsi="Verdana" w:cs="Arial"/>
          <w:b/>
          <w:sz w:val="18"/>
          <w:szCs w:val="18"/>
          <w:u w:val="single"/>
          <w:lang w:val="el-GR"/>
        </w:rPr>
        <w:t xml:space="preserve">υλλογή </w:t>
      </w:r>
      <w:r>
        <w:rPr>
          <w:rFonts w:ascii="Verdana" w:eastAsia="Malgun Gothic" w:hAnsi="Verdana" w:cs="Arial"/>
          <w:b/>
          <w:sz w:val="18"/>
          <w:szCs w:val="18"/>
          <w:u w:val="single"/>
          <w:lang w:val="el-GR"/>
        </w:rPr>
        <w:t>Σ</w:t>
      </w:r>
      <w:r w:rsidRPr="00435BBF">
        <w:rPr>
          <w:rFonts w:ascii="Verdana" w:eastAsia="Malgun Gothic" w:hAnsi="Verdana" w:cs="Arial"/>
          <w:b/>
          <w:sz w:val="18"/>
          <w:szCs w:val="18"/>
          <w:u w:val="single"/>
          <w:lang w:val="el-GR"/>
        </w:rPr>
        <w:t>τοιχείων</w:t>
      </w:r>
    </w:p>
    <w:p w14:paraId="59FB9DDC" w14:textId="77777777" w:rsidR="003E0519" w:rsidRPr="00435BBF" w:rsidRDefault="003E0519" w:rsidP="00113CE5">
      <w:pPr>
        <w:jc w:val="both"/>
        <w:rPr>
          <w:rFonts w:ascii="Verdana" w:eastAsia="Malgun Gothic" w:hAnsi="Verdana" w:cs="Arial"/>
          <w:b/>
          <w:sz w:val="18"/>
          <w:szCs w:val="18"/>
          <w:u w:val="single"/>
          <w:lang w:val="el-GR"/>
        </w:rPr>
      </w:pPr>
    </w:p>
    <w:p w14:paraId="53A60B8A" w14:textId="1F1C6B27" w:rsidR="00113CE5" w:rsidRPr="00435BBF" w:rsidRDefault="00113CE5" w:rsidP="00113CE5">
      <w:pPr>
        <w:jc w:val="both"/>
        <w:rPr>
          <w:rFonts w:ascii="Verdana" w:eastAsia="Malgun Gothic" w:hAnsi="Verdana" w:cs="Arial"/>
          <w:sz w:val="18"/>
          <w:szCs w:val="18"/>
          <w:lang w:val="el-GR"/>
        </w:rPr>
      </w:pPr>
      <w:r w:rsidRPr="00994B3C">
        <w:rPr>
          <w:rFonts w:ascii="Verdana" w:eastAsia="Malgun Gothic" w:hAnsi="Verdana" w:cs="Arial"/>
          <w:sz w:val="18"/>
          <w:szCs w:val="18"/>
          <w:lang w:val="el-GR"/>
        </w:rPr>
        <w:t xml:space="preserve">Η έρευνα </w:t>
      </w:r>
      <w:r>
        <w:rPr>
          <w:rFonts w:ascii="Verdana" w:eastAsia="Malgun Gothic" w:hAnsi="Verdana" w:cs="Arial"/>
          <w:sz w:val="18"/>
          <w:szCs w:val="18"/>
          <w:lang w:val="el-GR"/>
        </w:rPr>
        <w:t>που</w:t>
      </w:r>
      <w:r w:rsidRPr="00994B3C">
        <w:rPr>
          <w:rFonts w:ascii="Verdana" w:eastAsia="Malgun Gothic" w:hAnsi="Verdana" w:cs="Arial"/>
          <w:sz w:val="18"/>
          <w:szCs w:val="18"/>
          <w:lang w:val="el-GR"/>
        </w:rPr>
        <w:t xml:space="preserve"> διενεργήθηκε το 20</w:t>
      </w:r>
      <w:r>
        <w:rPr>
          <w:rFonts w:ascii="Verdana" w:eastAsia="Malgun Gothic" w:hAnsi="Verdana" w:cs="Arial"/>
          <w:sz w:val="18"/>
          <w:szCs w:val="18"/>
          <w:lang w:val="el-GR"/>
        </w:rPr>
        <w:t>2</w:t>
      </w:r>
      <w:r w:rsidR="006B44FC">
        <w:rPr>
          <w:rFonts w:ascii="Verdana" w:eastAsia="Malgun Gothic" w:hAnsi="Verdana" w:cs="Arial"/>
          <w:sz w:val="18"/>
          <w:szCs w:val="18"/>
          <w:lang w:val="el-GR"/>
        </w:rPr>
        <w:t>3</w:t>
      </w:r>
      <w:r w:rsidRPr="00994B3C">
        <w:rPr>
          <w:rFonts w:ascii="Verdana" w:eastAsia="Malgun Gothic" w:hAnsi="Verdana" w:cs="Arial"/>
          <w:sz w:val="18"/>
          <w:szCs w:val="18"/>
          <w:lang w:val="el-GR"/>
        </w:rPr>
        <w:t xml:space="preserve">, </w:t>
      </w:r>
      <w:r w:rsidRPr="003452FB">
        <w:rPr>
          <w:rFonts w:ascii="Verdana" w:eastAsia="Malgun Gothic" w:hAnsi="Verdana" w:cs="Arial"/>
          <w:sz w:val="18"/>
          <w:szCs w:val="18"/>
          <w:lang w:val="el-GR"/>
        </w:rPr>
        <w:t>με έτος αναφοράς για το εισόδημα</w:t>
      </w:r>
      <w:r>
        <w:rPr>
          <w:rFonts w:ascii="Verdana" w:eastAsia="Malgun Gothic" w:hAnsi="Verdana" w:cs="Arial"/>
          <w:sz w:val="18"/>
          <w:szCs w:val="18"/>
          <w:lang w:val="el-GR"/>
        </w:rPr>
        <w:t xml:space="preserve"> </w:t>
      </w:r>
      <w:r w:rsidRPr="00994B3C">
        <w:rPr>
          <w:rFonts w:ascii="Verdana" w:eastAsia="Malgun Gothic" w:hAnsi="Verdana" w:cs="Arial"/>
          <w:sz w:val="18"/>
          <w:szCs w:val="18"/>
          <w:lang w:val="el-GR"/>
        </w:rPr>
        <w:t>το 20</w:t>
      </w:r>
      <w:r>
        <w:rPr>
          <w:rFonts w:ascii="Verdana" w:eastAsia="Malgun Gothic" w:hAnsi="Verdana" w:cs="Arial"/>
          <w:sz w:val="18"/>
          <w:szCs w:val="18"/>
          <w:lang w:val="el-GR"/>
        </w:rPr>
        <w:t>2</w:t>
      </w:r>
      <w:r w:rsidR="006B44FC">
        <w:rPr>
          <w:rFonts w:ascii="Verdana" w:eastAsia="Malgun Gothic" w:hAnsi="Verdana" w:cs="Arial"/>
          <w:sz w:val="18"/>
          <w:szCs w:val="18"/>
          <w:lang w:val="el-GR"/>
        </w:rPr>
        <w:t>2</w:t>
      </w:r>
      <w:r w:rsidRPr="00994B3C">
        <w:rPr>
          <w:rFonts w:ascii="Verdana" w:eastAsia="Malgun Gothic" w:hAnsi="Verdana" w:cs="Arial"/>
          <w:sz w:val="18"/>
          <w:szCs w:val="18"/>
          <w:lang w:val="el-GR"/>
        </w:rPr>
        <w:t xml:space="preserve">, κάλυψε δείγμα </w:t>
      </w:r>
      <w:r w:rsidRPr="00D77948">
        <w:rPr>
          <w:rFonts w:ascii="Verdana" w:eastAsia="Malgun Gothic" w:hAnsi="Verdana" w:cs="Arial"/>
          <w:sz w:val="18"/>
          <w:szCs w:val="18"/>
          <w:lang w:val="el-GR"/>
        </w:rPr>
        <w:t>4.</w:t>
      </w:r>
      <w:r w:rsidR="00D77948" w:rsidRPr="00D77948">
        <w:rPr>
          <w:rFonts w:ascii="Verdana" w:eastAsia="Malgun Gothic" w:hAnsi="Verdana" w:cs="Arial"/>
          <w:sz w:val="18"/>
          <w:szCs w:val="18"/>
          <w:lang w:val="el-GR"/>
        </w:rPr>
        <w:t>281</w:t>
      </w:r>
      <w:r w:rsidR="00D77948">
        <w:rPr>
          <w:rFonts w:ascii="Verdana" w:eastAsia="Malgun Gothic" w:hAnsi="Verdana" w:cs="Arial"/>
          <w:sz w:val="18"/>
          <w:szCs w:val="18"/>
          <w:lang w:val="el-GR"/>
        </w:rPr>
        <w:t xml:space="preserve"> </w:t>
      </w:r>
      <w:r w:rsidRPr="00994B3C">
        <w:rPr>
          <w:rFonts w:ascii="Verdana" w:eastAsia="Malgun Gothic" w:hAnsi="Verdana" w:cs="Arial"/>
          <w:sz w:val="18"/>
          <w:szCs w:val="18"/>
          <w:lang w:val="el-GR"/>
        </w:rPr>
        <w:t>νοικοκυριών σε όλες τις επαρχίες της Κύπρου,</w:t>
      </w:r>
      <w:r>
        <w:rPr>
          <w:rFonts w:ascii="Verdana" w:eastAsia="Malgun Gothic" w:hAnsi="Verdana" w:cs="Arial"/>
          <w:sz w:val="18"/>
          <w:szCs w:val="18"/>
          <w:lang w:val="el-GR"/>
        </w:rPr>
        <w:t xml:space="preserve"> στις</w:t>
      </w:r>
      <w:r w:rsidRPr="00994B3C">
        <w:rPr>
          <w:rFonts w:ascii="Verdana" w:eastAsia="Malgun Gothic" w:hAnsi="Verdana" w:cs="Arial"/>
          <w:sz w:val="18"/>
          <w:szCs w:val="18"/>
          <w:lang w:val="el-GR"/>
        </w:rPr>
        <w:t xml:space="preserve"> αγροτικές και αστικές περιοχές.</w:t>
      </w:r>
      <w:r w:rsidRPr="00435BBF">
        <w:rPr>
          <w:rFonts w:ascii="Verdana" w:eastAsia="Malgun Gothic" w:hAnsi="Verdana" w:cs="Arial"/>
          <w:sz w:val="18"/>
          <w:szCs w:val="18"/>
          <w:lang w:val="el-GR"/>
        </w:rPr>
        <w:t xml:space="preserve"> </w:t>
      </w:r>
    </w:p>
    <w:p w14:paraId="24159CA1" w14:textId="77777777" w:rsidR="00113CE5" w:rsidRDefault="00113CE5" w:rsidP="00113CE5">
      <w:pPr>
        <w:jc w:val="both"/>
        <w:rPr>
          <w:rFonts w:ascii="Verdana" w:eastAsia="Malgun Gothic" w:hAnsi="Verdana" w:cs="Arial"/>
          <w:sz w:val="18"/>
          <w:szCs w:val="18"/>
          <w:lang w:val="el-GR"/>
        </w:rPr>
      </w:pPr>
    </w:p>
    <w:p w14:paraId="6C268AC0" w14:textId="77777777" w:rsidR="00113CE5" w:rsidRPr="00435BBF" w:rsidRDefault="00113CE5" w:rsidP="00113CE5">
      <w:pPr>
        <w:jc w:val="both"/>
        <w:rPr>
          <w:rFonts w:ascii="Verdana" w:eastAsia="Malgun Gothic" w:hAnsi="Verdana" w:cs="Arial"/>
          <w:sz w:val="18"/>
          <w:szCs w:val="18"/>
          <w:lang w:val="el-GR"/>
        </w:rPr>
      </w:pPr>
      <w:r w:rsidRPr="00435BBF">
        <w:rPr>
          <w:rFonts w:ascii="Verdana" w:eastAsia="Malgun Gothic" w:hAnsi="Verdana" w:cs="Arial"/>
          <w:sz w:val="18"/>
          <w:szCs w:val="18"/>
          <w:lang w:val="el-GR"/>
        </w:rPr>
        <w:t>Η έρευνα διεξάγεται από το 2005 πάνω σε ετήσια βάση με εναλλασσόμενο δείγμα νοικοκυριών και αποτελείται από δύο μέρη (συνιστώσες), τη συγχρονική (</w:t>
      </w:r>
      <w:proofErr w:type="spellStart"/>
      <w:r w:rsidRPr="00435BBF">
        <w:rPr>
          <w:rFonts w:ascii="Verdana" w:eastAsia="Malgun Gothic" w:hAnsi="Verdana" w:cs="Arial"/>
          <w:sz w:val="18"/>
          <w:szCs w:val="18"/>
          <w:lang w:val="el-GR"/>
        </w:rPr>
        <w:t>cross-sectional</w:t>
      </w:r>
      <w:proofErr w:type="spellEnd"/>
      <w:r w:rsidRPr="00435BBF">
        <w:rPr>
          <w:rFonts w:ascii="Verdana" w:eastAsia="Malgun Gothic" w:hAnsi="Verdana" w:cs="Arial"/>
          <w:sz w:val="18"/>
          <w:szCs w:val="18"/>
          <w:lang w:val="el-GR"/>
        </w:rPr>
        <w:t>) και τη διαχρονική (</w:t>
      </w:r>
      <w:proofErr w:type="spellStart"/>
      <w:r w:rsidRPr="00435BBF">
        <w:rPr>
          <w:rFonts w:ascii="Verdana" w:eastAsia="Malgun Gothic" w:hAnsi="Verdana" w:cs="Arial"/>
          <w:sz w:val="18"/>
          <w:szCs w:val="18"/>
          <w:lang w:val="el-GR"/>
        </w:rPr>
        <w:t>longitudinal</w:t>
      </w:r>
      <w:proofErr w:type="spellEnd"/>
      <w:r w:rsidRPr="00435BBF">
        <w:rPr>
          <w:rFonts w:ascii="Verdana" w:eastAsia="Malgun Gothic" w:hAnsi="Verdana" w:cs="Arial"/>
          <w:sz w:val="18"/>
          <w:szCs w:val="18"/>
          <w:lang w:val="el-GR"/>
        </w:rPr>
        <w:t>) συνιστώσα. Η συγχρονική συνιστώσα της έρευνας αναφέρεται σε μια δεδομένη χρονική στιγμή ή περίοδο, ενώ η διαχρονική αναφέρεται στις αλλαγές που παρουσιάζονται σε ατομικό επίπεδο σε χρονικό διάστημα τριών ή τεσσάρων χρόνων.</w:t>
      </w:r>
    </w:p>
    <w:p w14:paraId="1DA5E5C8" w14:textId="77777777" w:rsidR="00113CE5" w:rsidRDefault="00113CE5" w:rsidP="00113CE5">
      <w:pPr>
        <w:jc w:val="both"/>
        <w:rPr>
          <w:rFonts w:ascii="Verdana" w:eastAsia="Malgun Gothic" w:hAnsi="Verdana" w:cs="Arial"/>
          <w:sz w:val="18"/>
          <w:szCs w:val="18"/>
          <w:lang w:val="el-GR"/>
        </w:rPr>
      </w:pPr>
    </w:p>
    <w:p w14:paraId="006CF138" w14:textId="77777777" w:rsidR="00113CE5" w:rsidRDefault="00113CE5" w:rsidP="00113CE5">
      <w:pPr>
        <w:jc w:val="both"/>
        <w:rPr>
          <w:rFonts w:ascii="Verdana" w:eastAsia="Malgun Gothic" w:hAnsi="Verdana" w:cs="Arial"/>
          <w:sz w:val="18"/>
          <w:szCs w:val="18"/>
          <w:lang w:val="el-GR"/>
        </w:rPr>
      </w:pPr>
      <w:r w:rsidRPr="00435BBF">
        <w:rPr>
          <w:rFonts w:ascii="Verdana" w:eastAsia="Malgun Gothic" w:hAnsi="Verdana" w:cs="Arial"/>
          <w:sz w:val="18"/>
          <w:szCs w:val="18"/>
          <w:lang w:val="el-GR"/>
        </w:rPr>
        <w:t>Η συλλογή των στοιχείων έγινε με προσωπικές και τηλεφωνικές συνεντεύξεις στα νοικοκυριά με τη χρήση ηλεκτρονικών ερωτηματολογίων.</w:t>
      </w:r>
    </w:p>
    <w:p w14:paraId="6E6E905D" w14:textId="77777777" w:rsidR="00113CE5" w:rsidRPr="00435BBF" w:rsidRDefault="00113CE5" w:rsidP="00113CE5">
      <w:pPr>
        <w:jc w:val="both"/>
        <w:rPr>
          <w:rFonts w:ascii="Verdana" w:eastAsia="Malgun Gothic" w:hAnsi="Verdana" w:cs="Arial"/>
          <w:sz w:val="18"/>
          <w:szCs w:val="18"/>
          <w:lang w:val="el-GR"/>
        </w:rPr>
      </w:pPr>
    </w:p>
    <w:p w14:paraId="22A52145" w14:textId="400994C2" w:rsidR="00113CE5" w:rsidRDefault="00113CE5" w:rsidP="00113CE5">
      <w:pPr>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4A9CA8F9" w14:textId="77777777" w:rsidR="005F6248" w:rsidRPr="00626C37" w:rsidRDefault="005F6248" w:rsidP="00113CE5">
      <w:pPr>
        <w:jc w:val="both"/>
        <w:rPr>
          <w:rFonts w:ascii="Verdana" w:eastAsia="Malgun Gothic" w:hAnsi="Verdana" w:cs="Arial"/>
          <w:b/>
          <w:sz w:val="18"/>
          <w:szCs w:val="18"/>
          <w:u w:val="single"/>
          <w:lang w:val="el-GR"/>
        </w:rPr>
      </w:pPr>
    </w:p>
    <w:p w14:paraId="33FA1F38" w14:textId="5D7BDEC4" w:rsidR="00113CE5" w:rsidRDefault="00113CE5" w:rsidP="00113CE5">
      <w:pPr>
        <w:jc w:val="both"/>
        <w:rPr>
          <w:rFonts w:ascii="Verdana" w:eastAsia="Malgun Gothic" w:hAnsi="Verdana" w:cs="Arial"/>
          <w:sz w:val="18"/>
          <w:szCs w:val="18"/>
          <w:lang w:val="el-GR"/>
        </w:rPr>
      </w:pPr>
      <w:r w:rsidRPr="00435BBF">
        <w:rPr>
          <w:rFonts w:ascii="Verdana" w:eastAsia="Malgun Gothic" w:hAnsi="Verdana" w:cs="Arial"/>
          <w:b/>
          <w:sz w:val="18"/>
          <w:szCs w:val="18"/>
          <w:lang w:val="el-GR"/>
        </w:rPr>
        <w:t>Σοβαρή υλική</w:t>
      </w:r>
      <w:r>
        <w:rPr>
          <w:rFonts w:ascii="Verdana" w:eastAsia="Malgun Gothic" w:hAnsi="Verdana" w:cs="Arial"/>
          <w:b/>
          <w:sz w:val="18"/>
          <w:szCs w:val="18"/>
          <w:lang w:val="el-GR"/>
        </w:rPr>
        <w:t xml:space="preserve"> και κοινωνική </w:t>
      </w:r>
      <w:r w:rsidRPr="00435BBF">
        <w:rPr>
          <w:rFonts w:ascii="Verdana" w:eastAsia="Malgun Gothic" w:hAnsi="Verdana" w:cs="Arial"/>
          <w:b/>
          <w:sz w:val="18"/>
          <w:szCs w:val="18"/>
          <w:lang w:val="el-GR"/>
        </w:rPr>
        <w:t>στέρηση (SM</w:t>
      </w:r>
      <w:r>
        <w:rPr>
          <w:rFonts w:ascii="Verdana" w:eastAsia="Malgun Gothic" w:hAnsi="Verdana" w:cs="Arial"/>
          <w:b/>
          <w:sz w:val="18"/>
          <w:szCs w:val="18"/>
        </w:rPr>
        <w:t>S</w:t>
      </w:r>
      <w:r w:rsidRPr="00435BBF">
        <w:rPr>
          <w:rFonts w:ascii="Verdana" w:eastAsia="Malgun Gothic" w:hAnsi="Verdana" w:cs="Arial"/>
          <w:b/>
          <w:sz w:val="18"/>
          <w:szCs w:val="18"/>
          <w:lang w:val="el-GR"/>
        </w:rPr>
        <w:t>D)</w:t>
      </w:r>
      <w:r w:rsidRPr="00435BBF">
        <w:rPr>
          <w:rFonts w:ascii="Verdana" w:eastAsia="Malgun Gothic" w:hAnsi="Verdana" w:cs="Arial"/>
          <w:sz w:val="18"/>
          <w:szCs w:val="18"/>
          <w:lang w:val="el-GR"/>
        </w:rPr>
        <w:t xml:space="preserve">: </w:t>
      </w:r>
      <w:bookmarkStart w:id="4" w:name="_Hlk139537163"/>
      <w:r w:rsidRPr="001F605D">
        <w:rPr>
          <w:rFonts w:ascii="Verdana" w:eastAsia="Malgun Gothic" w:hAnsi="Verdana" w:cs="Arial"/>
          <w:sz w:val="18"/>
          <w:szCs w:val="18"/>
          <w:lang w:val="el-GR"/>
        </w:rPr>
        <w:t>Με τον όρο σοβαρή υλική και κοινωνική στέρηση εννοούμε τον πληθυσμό  που στερείται λόγω οικονομικών δυσκολιών τουλάχιστο 7 από τα 13 ακόλουθα αγαθά, υπηρεσίες, ή κοινωνικές δραστηριότητες (7 σχετικά με το νοικοκυριό και 6 σε προσωπικό επίπεδο):</w:t>
      </w:r>
    </w:p>
    <w:p w14:paraId="741DF884" w14:textId="77777777" w:rsidR="003E0519" w:rsidRPr="001F605D" w:rsidRDefault="003E0519" w:rsidP="00113CE5">
      <w:pPr>
        <w:jc w:val="both"/>
        <w:rPr>
          <w:rFonts w:ascii="Verdana" w:eastAsia="Malgun Gothic" w:hAnsi="Verdana" w:cs="Arial"/>
          <w:sz w:val="18"/>
          <w:szCs w:val="18"/>
          <w:lang w:val="el-GR"/>
        </w:rPr>
      </w:pPr>
    </w:p>
    <w:p w14:paraId="1D8C884E" w14:textId="77777777" w:rsidR="00113CE5" w:rsidRPr="001F605D" w:rsidRDefault="00113CE5" w:rsidP="00113CE5">
      <w:pPr>
        <w:jc w:val="both"/>
        <w:rPr>
          <w:rFonts w:ascii="Verdana" w:eastAsia="Malgun Gothic" w:hAnsi="Verdana" w:cs="Arial"/>
          <w:sz w:val="18"/>
          <w:szCs w:val="18"/>
          <w:u w:val="single"/>
          <w:lang w:val="el-GR"/>
        </w:rPr>
      </w:pPr>
      <w:r w:rsidRPr="001F605D">
        <w:rPr>
          <w:rFonts w:ascii="Verdana" w:eastAsia="Malgun Gothic" w:hAnsi="Verdana" w:cs="Arial"/>
          <w:sz w:val="18"/>
          <w:szCs w:val="18"/>
          <w:u w:val="single"/>
          <w:lang w:val="el-GR"/>
        </w:rPr>
        <w:t>Σε επίπεδο νοικοκυριού</w:t>
      </w:r>
      <w:r>
        <w:rPr>
          <w:rFonts w:ascii="Verdana" w:eastAsia="Malgun Gothic" w:hAnsi="Verdana" w:cs="Arial"/>
          <w:sz w:val="18"/>
          <w:szCs w:val="18"/>
          <w:u w:val="single"/>
          <w:lang w:val="el-GR"/>
        </w:rPr>
        <w:t xml:space="preserve"> </w:t>
      </w:r>
      <w:r w:rsidRPr="004C60BF">
        <w:rPr>
          <w:rFonts w:ascii="Verdana" w:eastAsia="Malgun Gothic" w:hAnsi="Verdana" w:cs="Arial"/>
          <w:i/>
          <w:iCs/>
          <w:sz w:val="18"/>
          <w:szCs w:val="18"/>
          <w:u w:val="single"/>
          <w:lang w:val="el-GR"/>
        </w:rPr>
        <w:t>(πληροφορίες δίνονται από τον υπεύθυνο του νοικοκυριού):</w:t>
      </w:r>
    </w:p>
    <w:p w14:paraId="3355CD76" w14:textId="62B117F3"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1)</w:t>
      </w:r>
      <w:r w:rsidRPr="001F605D">
        <w:rPr>
          <w:rFonts w:ascii="Verdana" w:eastAsia="Malgun Gothic" w:hAnsi="Verdana" w:cs="Arial"/>
          <w:sz w:val="18"/>
          <w:szCs w:val="18"/>
          <w:lang w:val="el-GR"/>
        </w:rPr>
        <w:tab/>
        <w:t>οικονομική αδυναμία στην αντιμετώπιση έκτακτων αλλά αναγκαίων δαπανών</w:t>
      </w:r>
      <w:r>
        <w:rPr>
          <w:rFonts w:ascii="Verdana" w:eastAsia="Malgun Gothic" w:hAnsi="Verdana" w:cs="Arial"/>
          <w:sz w:val="18"/>
          <w:szCs w:val="18"/>
          <w:lang w:val="el-GR"/>
        </w:rPr>
        <w:t xml:space="preserve"> (202</w:t>
      </w:r>
      <w:r w:rsidR="0022728A">
        <w:rPr>
          <w:rFonts w:ascii="Verdana" w:eastAsia="Malgun Gothic" w:hAnsi="Verdana" w:cs="Arial"/>
          <w:sz w:val="18"/>
          <w:szCs w:val="18"/>
          <w:lang w:val="el-GR"/>
        </w:rPr>
        <w:t>3</w:t>
      </w:r>
      <w:r w:rsidRPr="00333DA3">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της τάξης των </w:t>
      </w:r>
      <w:r w:rsidRPr="00330CAD">
        <w:rPr>
          <w:rFonts w:ascii="Verdana" w:hAnsi="Verdana" w:cs="Arial"/>
          <w:i/>
          <w:iCs/>
          <w:sz w:val="16"/>
          <w:szCs w:val="16"/>
          <w:lang w:val="el-GR"/>
        </w:rPr>
        <w:t>€835*)</w:t>
      </w:r>
    </w:p>
    <w:p w14:paraId="7DB7F963"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2)</w:t>
      </w:r>
      <w:r w:rsidRPr="001F605D">
        <w:rPr>
          <w:rFonts w:ascii="Verdana" w:eastAsia="Malgun Gothic" w:hAnsi="Verdana" w:cs="Arial"/>
          <w:sz w:val="18"/>
          <w:szCs w:val="18"/>
          <w:lang w:val="el-GR"/>
        </w:rPr>
        <w:tab/>
        <w:t>οικονομική αδυναμία για πληρωμή μιας εβδομάδας διακοπών,</w:t>
      </w:r>
    </w:p>
    <w:p w14:paraId="15E73CC9" w14:textId="77777777" w:rsidR="00113CE5" w:rsidRPr="001F605D" w:rsidRDefault="00113CE5" w:rsidP="00113CE5">
      <w:pPr>
        <w:ind w:left="709" w:hanging="283"/>
        <w:jc w:val="both"/>
        <w:rPr>
          <w:rFonts w:ascii="Verdana" w:eastAsia="Malgun Gothic" w:hAnsi="Verdana" w:cs="Arial"/>
          <w:sz w:val="18"/>
          <w:szCs w:val="18"/>
          <w:lang w:val="el-GR"/>
        </w:rPr>
      </w:pPr>
      <w:r w:rsidRPr="001F605D">
        <w:rPr>
          <w:rFonts w:ascii="Verdana" w:eastAsia="Malgun Gothic" w:hAnsi="Verdana" w:cs="Arial"/>
          <w:sz w:val="18"/>
          <w:szCs w:val="18"/>
          <w:lang w:val="el-GR"/>
        </w:rPr>
        <w:t>3)</w:t>
      </w:r>
      <w:r w:rsidRPr="001F605D">
        <w:rPr>
          <w:rFonts w:ascii="Verdana" w:eastAsia="Malgun Gothic" w:hAnsi="Verdana" w:cs="Arial"/>
          <w:sz w:val="18"/>
          <w:szCs w:val="18"/>
          <w:lang w:val="el-GR"/>
        </w:rPr>
        <w:tab/>
        <w:t>καθυστέρηση στην αποπληρωμή πάγιων λογαριασμών (ρεύμα, νερό κ.λπ.), ενοίκιο ή δόσεις</w:t>
      </w:r>
      <w:r>
        <w:rPr>
          <w:rFonts w:ascii="Verdana" w:eastAsia="Malgun Gothic" w:hAnsi="Verdana" w:cs="Arial"/>
          <w:sz w:val="18"/>
          <w:szCs w:val="18"/>
          <w:lang w:val="el-GR"/>
        </w:rPr>
        <w:t xml:space="preserve">      </w:t>
      </w:r>
      <w:r w:rsidRPr="001F605D">
        <w:rPr>
          <w:rFonts w:ascii="Verdana" w:eastAsia="Malgun Gothic" w:hAnsi="Verdana" w:cs="Arial"/>
          <w:sz w:val="18"/>
          <w:szCs w:val="18"/>
          <w:lang w:val="el-GR"/>
        </w:rPr>
        <w:t>δανείων κύριας κατοικίας ή δόσεις άλλων δανείων,</w:t>
      </w:r>
    </w:p>
    <w:p w14:paraId="63139B32" w14:textId="77777777" w:rsidR="00113CE5" w:rsidRPr="001F605D" w:rsidRDefault="00113CE5" w:rsidP="00113CE5">
      <w:pPr>
        <w:ind w:left="709" w:hanging="283"/>
        <w:jc w:val="both"/>
        <w:rPr>
          <w:rFonts w:ascii="Verdana" w:eastAsia="Malgun Gothic" w:hAnsi="Verdana" w:cs="Arial"/>
          <w:sz w:val="18"/>
          <w:szCs w:val="18"/>
          <w:lang w:val="el-GR"/>
        </w:rPr>
      </w:pPr>
      <w:r w:rsidRPr="001F605D">
        <w:rPr>
          <w:rFonts w:ascii="Verdana" w:eastAsia="Malgun Gothic" w:hAnsi="Verdana" w:cs="Arial"/>
          <w:sz w:val="18"/>
          <w:szCs w:val="18"/>
          <w:lang w:val="el-GR"/>
        </w:rPr>
        <w:t>4)</w:t>
      </w:r>
      <w:r w:rsidRPr="001F605D">
        <w:rPr>
          <w:rFonts w:ascii="Verdana" w:eastAsia="Malgun Gothic" w:hAnsi="Verdana" w:cs="Arial"/>
          <w:sz w:val="18"/>
          <w:szCs w:val="18"/>
          <w:lang w:val="el-GR"/>
        </w:rPr>
        <w:tab/>
        <w:t>οικονομική αδυναμία για διατροφή που να περιλαμβάνει κάθε δεύτερη μέρα κοτόπουλο, κρέας, ψάρι (ή ισοδύναμο χορτοφαγικό γεύμα σε θρεπτική αξία),</w:t>
      </w:r>
    </w:p>
    <w:p w14:paraId="0235C581"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5)</w:t>
      </w:r>
      <w:r w:rsidRPr="001F605D">
        <w:rPr>
          <w:rFonts w:ascii="Verdana" w:eastAsia="Malgun Gothic" w:hAnsi="Verdana" w:cs="Arial"/>
          <w:sz w:val="18"/>
          <w:szCs w:val="18"/>
          <w:lang w:val="el-GR"/>
        </w:rPr>
        <w:tab/>
        <w:t>οικονομική αδυναμία για ικανοποιητική θέρμανση,</w:t>
      </w:r>
    </w:p>
    <w:p w14:paraId="63E68E66"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6)</w:t>
      </w:r>
      <w:r w:rsidRPr="001F605D">
        <w:rPr>
          <w:rFonts w:ascii="Verdana" w:eastAsia="Malgun Gothic" w:hAnsi="Verdana" w:cs="Arial"/>
          <w:sz w:val="18"/>
          <w:szCs w:val="18"/>
          <w:lang w:val="el-GR"/>
        </w:rPr>
        <w:tab/>
        <w:t>οικονομική αδυναμία να διαθέτουν αυτοκίνητο</w:t>
      </w:r>
      <w:r w:rsidRPr="004C60BF">
        <w:rPr>
          <w:rFonts w:ascii="Verdana" w:eastAsia="Malgun Gothic" w:hAnsi="Verdana" w:cs="Arial"/>
          <w:sz w:val="18"/>
          <w:szCs w:val="18"/>
          <w:lang w:val="el-GR"/>
        </w:rPr>
        <w:t xml:space="preserve"> </w:t>
      </w:r>
      <w:r>
        <w:rPr>
          <w:rFonts w:ascii="Verdana" w:eastAsia="Malgun Gothic" w:hAnsi="Verdana" w:cs="Arial"/>
          <w:sz w:val="18"/>
          <w:szCs w:val="18"/>
          <w:lang w:val="el-GR"/>
        </w:rPr>
        <w:t>για ιδιωτική χρήση</w:t>
      </w:r>
      <w:r w:rsidRPr="001F605D">
        <w:rPr>
          <w:rFonts w:ascii="Verdana" w:eastAsia="Malgun Gothic" w:hAnsi="Verdana" w:cs="Arial"/>
          <w:sz w:val="18"/>
          <w:szCs w:val="18"/>
          <w:lang w:val="el-GR"/>
        </w:rPr>
        <w:t>,</w:t>
      </w:r>
    </w:p>
    <w:p w14:paraId="1EF1C32A" w14:textId="77777777" w:rsidR="00113CE5"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7)</w:t>
      </w:r>
      <w:r w:rsidRPr="001F605D">
        <w:rPr>
          <w:rFonts w:ascii="Verdana" w:eastAsia="Malgun Gothic" w:hAnsi="Verdana" w:cs="Arial"/>
          <w:sz w:val="18"/>
          <w:szCs w:val="18"/>
          <w:lang w:val="el-GR"/>
        </w:rPr>
        <w:tab/>
        <w:t>οικονομική αδυναμία να αντικαθιστά φθαρμένα έπιπλα.</w:t>
      </w:r>
    </w:p>
    <w:p w14:paraId="3BD8E026" w14:textId="02E9F4E0" w:rsidR="00113CE5" w:rsidRPr="006437C3" w:rsidRDefault="00113CE5" w:rsidP="00113CE5">
      <w:pPr>
        <w:jc w:val="both"/>
        <w:rPr>
          <w:rFonts w:ascii="Verdana" w:eastAsia="Malgun Gothic" w:hAnsi="Verdana" w:cs="Arial"/>
          <w:sz w:val="18"/>
          <w:szCs w:val="18"/>
          <w:lang w:val="el-GR"/>
        </w:rPr>
      </w:pPr>
      <w:r>
        <w:rPr>
          <w:rFonts w:ascii="Verdana" w:hAnsi="Verdana" w:cs="Arial"/>
          <w:i/>
          <w:iCs/>
          <w:sz w:val="16"/>
          <w:szCs w:val="16"/>
          <w:vertAlign w:val="superscript"/>
          <w:lang w:val="el-GR"/>
        </w:rPr>
        <w:t>*</w:t>
      </w:r>
      <w:r w:rsidRPr="003026DA">
        <w:rPr>
          <w:rFonts w:ascii="Verdana" w:hAnsi="Verdana" w:cs="Arial"/>
          <w:i/>
          <w:iCs/>
          <w:sz w:val="16"/>
          <w:szCs w:val="16"/>
          <w:lang w:val="el-GR"/>
        </w:rPr>
        <w:t xml:space="preserve">Το ποσό των </w:t>
      </w:r>
      <w:bookmarkStart w:id="5" w:name="_Hlk140063529"/>
      <w:r w:rsidRPr="003026DA">
        <w:rPr>
          <w:rFonts w:ascii="Verdana" w:hAnsi="Verdana" w:cs="Arial"/>
          <w:i/>
          <w:iCs/>
          <w:sz w:val="16"/>
          <w:szCs w:val="16"/>
          <w:lang w:val="el-GR"/>
        </w:rPr>
        <w:t xml:space="preserve">€835 </w:t>
      </w:r>
      <w:bookmarkEnd w:id="5"/>
      <w:r w:rsidRPr="003026DA">
        <w:rPr>
          <w:rFonts w:ascii="Verdana" w:hAnsi="Verdana" w:cs="Arial"/>
          <w:i/>
          <w:iCs/>
          <w:sz w:val="16"/>
          <w:szCs w:val="16"/>
          <w:lang w:val="el-GR"/>
        </w:rPr>
        <w:t xml:space="preserve">καθορίζεται στην έρευνα από το μηνιαίο ισοδύναμο διαθέσιμο εισόδημα του ετήσιου ορίου κινδύνου φτώχιας το οποίο </w:t>
      </w:r>
      <w:r w:rsidR="00D77948">
        <w:rPr>
          <w:rFonts w:ascii="Verdana" w:hAnsi="Verdana" w:cs="Arial"/>
          <w:i/>
          <w:iCs/>
          <w:sz w:val="16"/>
          <w:szCs w:val="16"/>
          <w:lang w:val="el-GR"/>
        </w:rPr>
        <w:t>προκύπτει</w:t>
      </w:r>
      <w:r w:rsidRPr="003026DA">
        <w:rPr>
          <w:rFonts w:ascii="Verdana" w:hAnsi="Verdana" w:cs="Arial"/>
          <w:i/>
          <w:iCs/>
          <w:sz w:val="16"/>
          <w:szCs w:val="16"/>
          <w:lang w:val="el-GR"/>
        </w:rPr>
        <w:t xml:space="preserve"> </w:t>
      </w:r>
      <w:r w:rsidR="00330CAD">
        <w:rPr>
          <w:rFonts w:ascii="Verdana" w:hAnsi="Verdana" w:cs="Arial"/>
          <w:i/>
          <w:iCs/>
          <w:sz w:val="16"/>
          <w:szCs w:val="16"/>
          <w:lang w:val="el-GR"/>
        </w:rPr>
        <w:t xml:space="preserve">από τα τελευταία διαθέσιμα στοιχεία </w:t>
      </w:r>
      <w:r w:rsidRPr="003026DA">
        <w:rPr>
          <w:rFonts w:ascii="Verdana" w:hAnsi="Verdana" w:cs="Arial"/>
          <w:i/>
          <w:iCs/>
          <w:sz w:val="16"/>
          <w:szCs w:val="16"/>
          <w:lang w:val="el-GR"/>
        </w:rPr>
        <w:t>και είναι ανεξάρτητο από το μέγεθος και τη σύνθεση του νοικοκυριού</w:t>
      </w:r>
      <w:r>
        <w:rPr>
          <w:rFonts w:ascii="Verdana" w:hAnsi="Verdana" w:cs="Arial"/>
          <w:i/>
          <w:iCs/>
          <w:sz w:val="16"/>
          <w:szCs w:val="16"/>
          <w:lang w:val="el-GR"/>
        </w:rPr>
        <w:t>. (Το αντίστοιχο ποσό για το 202</w:t>
      </w:r>
      <w:r w:rsidR="00330CAD">
        <w:rPr>
          <w:rFonts w:ascii="Verdana" w:hAnsi="Verdana" w:cs="Arial"/>
          <w:i/>
          <w:iCs/>
          <w:sz w:val="16"/>
          <w:szCs w:val="16"/>
          <w:lang w:val="el-GR"/>
        </w:rPr>
        <w:t>2</w:t>
      </w:r>
      <w:r>
        <w:rPr>
          <w:rFonts w:ascii="Verdana" w:hAnsi="Verdana" w:cs="Arial"/>
          <w:i/>
          <w:iCs/>
          <w:sz w:val="16"/>
          <w:szCs w:val="16"/>
          <w:lang w:val="el-GR"/>
        </w:rPr>
        <w:t xml:space="preserve"> ήταν </w:t>
      </w:r>
      <w:r w:rsidR="00F942F5">
        <w:rPr>
          <w:rFonts w:ascii="Verdana" w:hAnsi="Verdana" w:cs="Arial"/>
          <w:i/>
          <w:iCs/>
          <w:sz w:val="16"/>
          <w:szCs w:val="16"/>
          <w:lang w:val="el-GR"/>
        </w:rPr>
        <w:t xml:space="preserve">επίσης </w:t>
      </w:r>
      <w:r w:rsidRPr="003026DA">
        <w:rPr>
          <w:rFonts w:ascii="Verdana" w:hAnsi="Verdana" w:cs="Arial"/>
          <w:i/>
          <w:iCs/>
          <w:sz w:val="16"/>
          <w:szCs w:val="16"/>
          <w:lang w:val="el-GR"/>
        </w:rPr>
        <w:t>€</w:t>
      </w:r>
      <w:r w:rsidR="00F942F5">
        <w:rPr>
          <w:rFonts w:ascii="Verdana" w:hAnsi="Verdana" w:cs="Arial"/>
          <w:i/>
          <w:iCs/>
          <w:sz w:val="16"/>
          <w:szCs w:val="16"/>
          <w:lang w:val="el-GR"/>
        </w:rPr>
        <w:t>835</w:t>
      </w:r>
      <w:r>
        <w:rPr>
          <w:rFonts w:ascii="Verdana" w:hAnsi="Verdana" w:cs="Arial"/>
          <w:i/>
          <w:iCs/>
          <w:sz w:val="16"/>
          <w:szCs w:val="16"/>
          <w:lang w:val="el-GR"/>
        </w:rPr>
        <w:t>)</w:t>
      </w:r>
    </w:p>
    <w:p w14:paraId="0A1BECFF" w14:textId="77777777" w:rsidR="00113CE5" w:rsidRPr="001F605D" w:rsidRDefault="00113CE5" w:rsidP="00113CE5">
      <w:pPr>
        <w:ind w:left="426"/>
        <w:jc w:val="both"/>
        <w:rPr>
          <w:rFonts w:ascii="Verdana" w:eastAsia="Malgun Gothic" w:hAnsi="Verdana" w:cs="Arial"/>
          <w:sz w:val="18"/>
          <w:szCs w:val="18"/>
          <w:lang w:val="el-GR"/>
        </w:rPr>
      </w:pPr>
    </w:p>
    <w:p w14:paraId="6C5FA848" w14:textId="77777777" w:rsidR="00113CE5" w:rsidRPr="001F605D" w:rsidRDefault="00113CE5" w:rsidP="00113CE5">
      <w:pPr>
        <w:jc w:val="both"/>
        <w:rPr>
          <w:rFonts w:ascii="Verdana" w:eastAsia="Malgun Gothic" w:hAnsi="Verdana" w:cs="Arial"/>
          <w:sz w:val="18"/>
          <w:szCs w:val="18"/>
          <w:lang w:val="el-GR"/>
        </w:rPr>
      </w:pPr>
      <w:r w:rsidRPr="001F605D">
        <w:rPr>
          <w:rFonts w:ascii="Verdana" w:eastAsia="Malgun Gothic" w:hAnsi="Verdana" w:cs="Arial"/>
          <w:sz w:val="18"/>
          <w:szCs w:val="18"/>
          <w:u w:val="single"/>
          <w:lang w:val="el-GR"/>
        </w:rPr>
        <w:t xml:space="preserve">Σε προσωπικό επίπεδο: </w:t>
      </w:r>
    </w:p>
    <w:p w14:paraId="2CC7D475" w14:textId="77777777" w:rsidR="00113CE5" w:rsidRPr="001F605D" w:rsidRDefault="00113CE5" w:rsidP="00113CE5">
      <w:pPr>
        <w:jc w:val="both"/>
        <w:rPr>
          <w:rFonts w:ascii="Verdana" w:eastAsia="Malgun Gothic" w:hAnsi="Verdana" w:cs="Arial"/>
          <w:sz w:val="18"/>
          <w:szCs w:val="18"/>
          <w:lang w:val="el-GR"/>
        </w:rPr>
      </w:pPr>
      <w:r w:rsidRPr="001F605D">
        <w:rPr>
          <w:rFonts w:ascii="Verdana" w:eastAsia="Malgun Gothic" w:hAnsi="Verdana" w:cs="Arial"/>
          <w:sz w:val="18"/>
          <w:szCs w:val="18"/>
          <w:lang w:val="el-GR"/>
        </w:rPr>
        <w:t>Οικονομική αδυναμία να:</w:t>
      </w:r>
    </w:p>
    <w:p w14:paraId="092E618D"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1)</w:t>
      </w:r>
      <w:r w:rsidRPr="001F605D">
        <w:rPr>
          <w:rFonts w:ascii="Verdana" w:eastAsia="Malgun Gothic" w:hAnsi="Verdana" w:cs="Arial"/>
          <w:sz w:val="18"/>
          <w:szCs w:val="18"/>
          <w:lang w:val="el-GR"/>
        </w:rPr>
        <w:tab/>
        <w:t>έχει σύνδεση στο διαδίκτυο</w:t>
      </w:r>
      <w:r>
        <w:rPr>
          <w:rFonts w:ascii="Verdana" w:eastAsia="Malgun Gothic" w:hAnsi="Verdana" w:cs="Arial"/>
          <w:sz w:val="18"/>
          <w:szCs w:val="18"/>
          <w:lang w:val="el-GR"/>
        </w:rPr>
        <w:t xml:space="preserve"> για ιδιωτική χρήση στο σπίτι</w:t>
      </w:r>
      <w:r w:rsidRPr="001F605D">
        <w:rPr>
          <w:rFonts w:ascii="Verdana" w:eastAsia="Malgun Gothic" w:hAnsi="Verdana" w:cs="Arial"/>
          <w:sz w:val="18"/>
          <w:szCs w:val="18"/>
          <w:lang w:val="el-GR"/>
        </w:rPr>
        <w:t>,</w:t>
      </w:r>
    </w:p>
    <w:p w14:paraId="536117EB"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2)</w:t>
      </w:r>
      <w:r w:rsidRPr="001F605D">
        <w:rPr>
          <w:rFonts w:ascii="Verdana" w:eastAsia="Malgun Gothic" w:hAnsi="Verdana" w:cs="Arial"/>
          <w:sz w:val="18"/>
          <w:szCs w:val="18"/>
          <w:lang w:val="el-GR"/>
        </w:rPr>
        <w:tab/>
        <w:t>αντικαθιστά φθαρμένα ρούχα με καινούργια,</w:t>
      </w:r>
    </w:p>
    <w:p w14:paraId="4EDF66F7" w14:textId="77777777" w:rsidR="00113CE5" w:rsidRPr="001F605D" w:rsidRDefault="00113CE5" w:rsidP="00113CE5">
      <w:pPr>
        <w:ind w:left="709" w:hanging="283"/>
        <w:jc w:val="both"/>
        <w:rPr>
          <w:rFonts w:ascii="Verdana" w:eastAsia="Malgun Gothic" w:hAnsi="Verdana" w:cs="Arial"/>
          <w:sz w:val="18"/>
          <w:szCs w:val="18"/>
          <w:lang w:val="el-GR"/>
        </w:rPr>
      </w:pPr>
      <w:r w:rsidRPr="001F605D">
        <w:rPr>
          <w:rFonts w:ascii="Verdana" w:eastAsia="Malgun Gothic" w:hAnsi="Verdana" w:cs="Arial"/>
          <w:sz w:val="18"/>
          <w:szCs w:val="18"/>
          <w:lang w:val="el-GR"/>
        </w:rPr>
        <w:t>3)</w:t>
      </w:r>
      <w:r w:rsidRPr="001F605D">
        <w:rPr>
          <w:rFonts w:ascii="Verdana" w:eastAsia="Malgun Gothic" w:hAnsi="Verdana" w:cs="Arial"/>
          <w:sz w:val="18"/>
          <w:szCs w:val="18"/>
          <w:lang w:val="el-GR"/>
        </w:rPr>
        <w:tab/>
        <w:t xml:space="preserve">έχει 2 ζευγάρια παπούτσια στο σωστό μέγεθος </w:t>
      </w:r>
      <w:r>
        <w:rPr>
          <w:rFonts w:ascii="Verdana" w:eastAsia="Malgun Gothic" w:hAnsi="Verdana" w:cs="Arial"/>
          <w:sz w:val="18"/>
          <w:szCs w:val="18"/>
          <w:lang w:val="el-GR"/>
        </w:rPr>
        <w:t>,</w:t>
      </w:r>
    </w:p>
    <w:p w14:paraId="6B7DEE57"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4)</w:t>
      </w:r>
      <w:r w:rsidRPr="001F605D">
        <w:rPr>
          <w:rFonts w:ascii="Verdana" w:eastAsia="Malgun Gothic" w:hAnsi="Verdana" w:cs="Arial"/>
          <w:sz w:val="18"/>
          <w:szCs w:val="18"/>
          <w:lang w:val="el-GR"/>
        </w:rPr>
        <w:tab/>
        <w:t>ξοδεύει ένα μικρό χρηματικό ποσό κάθε εβδομάδα για τον εαυτό του/της,</w:t>
      </w:r>
    </w:p>
    <w:p w14:paraId="592D6CED"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5)</w:t>
      </w:r>
      <w:r w:rsidRPr="001F605D">
        <w:rPr>
          <w:rFonts w:ascii="Verdana" w:eastAsia="Malgun Gothic" w:hAnsi="Verdana" w:cs="Arial"/>
          <w:sz w:val="18"/>
          <w:szCs w:val="18"/>
          <w:lang w:val="el-GR"/>
        </w:rPr>
        <w:tab/>
        <w:t>συμμετέχει τακτικά σε δραστηριότητες αναψυχής,</w:t>
      </w:r>
    </w:p>
    <w:p w14:paraId="3EB89A89"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6)</w:t>
      </w:r>
      <w:r w:rsidRPr="001F605D">
        <w:rPr>
          <w:rFonts w:ascii="Verdana" w:eastAsia="Malgun Gothic" w:hAnsi="Verdana" w:cs="Arial"/>
          <w:sz w:val="18"/>
          <w:szCs w:val="18"/>
          <w:lang w:val="el-GR"/>
        </w:rPr>
        <w:tab/>
        <w:t>συναντιέται με φίλους/ συγγενείς για ποτό/φαγητό τουλάχιστον 1 φορά τον μήνα.</w:t>
      </w:r>
    </w:p>
    <w:p w14:paraId="4B0D5CD3" w14:textId="77777777" w:rsidR="00113CE5" w:rsidRPr="001F605D" w:rsidRDefault="00113CE5" w:rsidP="00113CE5">
      <w:pPr>
        <w:jc w:val="both"/>
        <w:rPr>
          <w:rFonts w:ascii="Verdana" w:eastAsia="Malgun Gothic" w:hAnsi="Verdana" w:cs="Arial"/>
          <w:sz w:val="18"/>
          <w:szCs w:val="18"/>
          <w:lang w:val="el-GR"/>
        </w:rPr>
      </w:pPr>
    </w:p>
    <w:p w14:paraId="6560FDCA" w14:textId="77777777" w:rsidR="00626C37" w:rsidRDefault="00113CE5" w:rsidP="00113CE5">
      <w:pPr>
        <w:jc w:val="both"/>
        <w:rPr>
          <w:rFonts w:ascii="Verdana" w:eastAsia="Malgun Gothic" w:hAnsi="Verdana" w:cs="Arial"/>
          <w:sz w:val="18"/>
          <w:szCs w:val="18"/>
          <w:lang w:val="el-GR"/>
        </w:rPr>
      </w:pPr>
      <w:r w:rsidRPr="001F605D">
        <w:rPr>
          <w:rFonts w:ascii="Verdana" w:eastAsia="Malgun Gothic" w:hAnsi="Verdana" w:cs="Arial"/>
          <w:sz w:val="18"/>
          <w:szCs w:val="18"/>
          <w:lang w:val="el-GR"/>
        </w:rPr>
        <w:t xml:space="preserve">Τα 6 είδη που είναι σε προσωπικό επίπεδο συλλέγονται μόνο για τα άτομα 16 ετών και πάνω. Για τα παιδιά κάτω των 16 ετών γίνεται εκτίμηση χρησιμοποιώντας τον κανόνα: αν τουλάχιστον οι μισοί ενήλικες του νοικοκυριού στερούνται ένα είδος, </w:t>
      </w:r>
      <w:r>
        <w:rPr>
          <w:rFonts w:ascii="Verdana" w:eastAsia="Malgun Gothic" w:hAnsi="Verdana" w:cs="Arial"/>
          <w:sz w:val="18"/>
          <w:szCs w:val="18"/>
          <w:lang w:val="el-GR"/>
        </w:rPr>
        <w:t xml:space="preserve">συνεπάγεται ότι </w:t>
      </w:r>
      <w:r w:rsidRPr="001F605D">
        <w:rPr>
          <w:rFonts w:ascii="Verdana" w:eastAsia="Malgun Gothic" w:hAnsi="Verdana" w:cs="Arial"/>
          <w:sz w:val="18"/>
          <w:szCs w:val="18"/>
          <w:lang w:val="el-GR"/>
        </w:rPr>
        <w:t xml:space="preserve">και τα παιδιά του </w:t>
      </w:r>
      <w:r>
        <w:rPr>
          <w:rFonts w:ascii="Verdana" w:eastAsia="Malgun Gothic" w:hAnsi="Verdana" w:cs="Arial"/>
          <w:sz w:val="18"/>
          <w:szCs w:val="18"/>
          <w:lang w:val="el-GR"/>
        </w:rPr>
        <w:t xml:space="preserve">εν λόγω </w:t>
      </w:r>
      <w:r w:rsidRPr="001F605D">
        <w:rPr>
          <w:rFonts w:ascii="Verdana" w:eastAsia="Malgun Gothic" w:hAnsi="Verdana" w:cs="Arial"/>
          <w:sz w:val="18"/>
          <w:szCs w:val="18"/>
          <w:lang w:val="el-GR"/>
        </w:rPr>
        <w:t>νοικοκυριού στερούνται αυτό το είδος.</w:t>
      </w:r>
    </w:p>
    <w:p w14:paraId="16249499" w14:textId="77777777" w:rsidR="00626C37" w:rsidRDefault="00626C37" w:rsidP="00113CE5">
      <w:pPr>
        <w:jc w:val="both"/>
        <w:rPr>
          <w:rFonts w:ascii="Verdana" w:eastAsia="Malgun Gothic" w:hAnsi="Verdana" w:cs="Arial"/>
          <w:sz w:val="18"/>
          <w:szCs w:val="18"/>
          <w:lang w:val="el-GR"/>
        </w:rPr>
      </w:pPr>
    </w:p>
    <w:p w14:paraId="13E51F77" w14:textId="77777777" w:rsidR="00626C37" w:rsidRDefault="00626C37" w:rsidP="00113CE5">
      <w:pPr>
        <w:jc w:val="both"/>
        <w:rPr>
          <w:rFonts w:ascii="Verdana" w:eastAsia="Malgun Gothic" w:hAnsi="Verdana" w:cs="Arial"/>
          <w:sz w:val="18"/>
          <w:szCs w:val="18"/>
          <w:lang w:val="el-GR"/>
        </w:rPr>
      </w:pPr>
    </w:p>
    <w:p w14:paraId="7FB192D0" w14:textId="77777777" w:rsidR="00626C37" w:rsidRDefault="00626C37" w:rsidP="00113CE5">
      <w:pPr>
        <w:jc w:val="both"/>
        <w:rPr>
          <w:rFonts w:ascii="Verdana" w:eastAsia="Malgun Gothic" w:hAnsi="Verdana" w:cs="Arial"/>
          <w:sz w:val="18"/>
          <w:szCs w:val="18"/>
          <w:lang w:val="el-GR"/>
        </w:rPr>
      </w:pPr>
    </w:p>
    <w:p w14:paraId="49E70E4D" w14:textId="77777777" w:rsidR="00626C37" w:rsidRDefault="00626C37" w:rsidP="00113CE5">
      <w:pPr>
        <w:jc w:val="both"/>
        <w:rPr>
          <w:rFonts w:ascii="Verdana" w:eastAsia="Malgun Gothic" w:hAnsi="Verdana" w:cs="Arial"/>
          <w:sz w:val="18"/>
          <w:szCs w:val="18"/>
          <w:lang w:val="el-GR"/>
        </w:rPr>
      </w:pPr>
    </w:p>
    <w:p w14:paraId="54F51F99" w14:textId="77777777" w:rsidR="00626C37" w:rsidRPr="005F6248" w:rsidRDefault="00626C37" w:rsidP="00626C37">
      <w:pPr>
        <w:jc w:val="both"/>
        <w:rPr>
          <w:rFonts w:ascii="Verdana" w:eastAsia="Malgun Gothic" w:hAnsi="Verdana" w:cs="Arial"/>
          <w:sz w:val="18"/>
          <w:szCs w:val="18"/>
          <w:lang w:val="el-GR"/>
        </w:rPr>
      </w:pPr>
      <w:bookmarkStart w:id="6" w:name="_Hlk140072132"/>
      <w:r w:rsidRPr="005F6248">
        <w:rPr>
          <w:rFonts w:ascii="Verdana" w:eastAsia="Malgun Gothic" w:hAnsi="Verdana" w:cs="Arial"/>
          <w:b/>
          <w:sz w:val="18"/>
          <w:szCs w:val="18"/>
          <w:lang w:val="el-GR"/>
        </w:rPr>
        <w:lastRenderedPageBreak/>
        <w:t>Χρηματικό όριο κινδύνου φτώχιας:</w:t>
      </w:r>
      <w:r>
        <w:rPr>
          <w:rFonts w:ascii="Verdana" w:hAnsi="Verdana"/>
          <w:sz w:val="18"/>
          <w:szCs w:val="18"/>
          <w:lang w:val="el-GR"/>
        </w:rPr>
        <w:t xml:space="preserve"> </w:t>
      </w:r>
      <w:r w:rsidRPr="005F6248">
        <w:rPr>
          <w:rFonts w:ascii="Verdana" w:eastAsia="Malgun Gothic" w:hAnsi="Verdana" w:cs="Arial"/>
          <w:sz w:val="18"/>
          <w:szCs w:val="18"/>
          <w:lang w:val="el-GR"/>
        </w:rPr>
        <w:t>Το όριο φτώχιας ορίζεται στο 60% του διάμεσου ισοδύναμου διαθέσιμου εισοδήματος, το οποίο υπολογίζεται διαιρώντας το συνολικό διαθέσιμο εισόδημα του νοικοκυριού (συνολικό καθαρό εισόδημα όλων των μελών του μετά τις κοινωνικές μεταβιβάσεις) διά το ισοδύναμο μέγεθος του νοικοκυριού, το οποίο προκύπτει από την εφαρμογή των ακόλουθων συντελεστών στάθμισης: 1ος ενήλικας = 1,0 μονάδα, υπόλοιπα άτομα ηλικίας 14 χρονών και άνω = 0,5 μονάδες και άτομα κάτω των 14 χρονών = 0,3 μονάδες.</w:t>
      </w:r>
      <w:bookmarkEnd w:id="6"/>
    </w:p>
    <w:p w14:paraId="5ACA1C07" w14:textId="77777777" w:rsidR="00626C37" w:rsidRDefault="00626C37" w:rsidP="00626C37">
      <w:pPr>
        <w:jc w:val="both"/>
        <w:rPr>
          <w:rFonts w:ascii="Verdana" w:eastAsia="Malgun Gothic" w:hAnsi="Verdana" w:cs="Arial"/>
          <w:sz w:val="18"/>
          <w:szCs w:val="18"/>
          <w:lang w:val="el-GR"/>
        </w:rPr>
      </w:pPr>
    </w:p>
    <w:p w14:paraId="16A22484" w14:textId="77777777" w:rsidR="00626C37" w:rsidRPr="006437C3" w:rsidRDefault="00626C37" w:rsidP="00626C37">
      <w:pPr>
        <w:jc w:val="both"/>
        <w:rPr>
          <w:rFonts w:ascii="Verdana" w:eastAsia="Malgun Gothic" w:hAnsi="Verdana" w:cs="Arial"/>
          <w:sz w:val="18"/>
          <w:szCs w:val="18"/>
          <w:lang w:val="el-GR"/>
        </w:rPr>
      </w:pPr>
    </w:p>
    <w:p w14:paraId="655FABF9" w14:textId="77777777" w:rsidR="00626C37" w:rsidRDefault="00626C37" w:rsidP="00626C37">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22556F5D" w14:textId="77777777" w:rsidR="00626C37" w:rsidRDefault="00626C37" w:rsidP="00626C37">
      <w:pPr>
        <w:rPr>
          <w:color w:val="000000"/>
          <w:lang w:val="el-GR"/>
        </w:rPr>
      </w:pPr>
      <w:r>
        <w:rPr>
          <w:rFonts w:ascii="Verdana" w:hAnsi="Verdana"/>
          <w:color w:val="000000"/>
          <w:sz w:val="18"/>
          <w:szCs w:val="18"/>
          <w:lang w:val="el-GR"/>
        </w:rPr>
        <w:t xml:space="preserve">Πύλη Στατιστικής Υπηρεσίας, υπόθεμα </w:t>
      </w:r>
      <w:hyperlink r:id="rId12" w:tooltip="Συνθήκες Διαβίωσης και Κοινωνική Προστασία" w:history="1">
        <w:r w:rsidRPr="0053705D">
          <w:rPr>
            <w:rStyle w:val="Hyperlink"/>
            <w:rFonts w:ascii="Verdana" w:hAnsi="Verdana"/>
            <w:sz w:val="18"/>
            <w:szCs w:val="18"/>
            <w:lang w:val="el-GR"/>
          </w:rPr>
          <w:t>Συνθήκες Διαβίωσης και Κοινωνική Προστασία</w:t>
        </w:r>
      </w:hyperlink>
      <w:r>
        <w:rPr>
          <w:rFonts w:ascii="Verdana" w:hAnsi="Verdana"/>
          <w:color w:val="000000"/>
          <w:sz w:val="18"/>
          <w:szCs w:val="18"/>
          <w:lang w:val="el-GR"/>
        </w:rPr>
        <w:t> </w:t>
      </w:r>
    </w:p>
    <w:p w14:paraId="429DF895" w14:textId="77777777" w:rsidR="00626C37" w:rsidRDefault="00000000" w:rsidP="00626C37">
      <w:pPr>
        <w:rPr>
          <w:rFonts w:ascii="Verdana" w:hAnsi="Verdana"/>
          <w:color w:val="000000"/>
          <w:sz w:val="18"/>
          <w:szCs w:val="18"/>
          <w:lang w:val="el-GR"/>
        </w:rPr>
      </w:pPr>
      <w:hyperlink r:id="rId13" w:history="1">
        <w:r w:rsidR="00626C37" w:rsidRPr="004F6F5E">
          <w:rPr>
            <w:rStyle w:val="Hyperlink"/>
            <w:rFonts w:ascii="Verdana" w:hAnsi="Verdana"/>
            <w:sz w:val="18"/>
            <w:szCs w:val="18"/>
            <w:lang w:val="el-GR"/>
          </w:rPr>
          <w:t>Προκαθορισμένοι</w:t>
        </w:r>
      </w:hyperlink>
      <w:r w:rsidR="00626C37">
        <w:rPr>
          <w:rFonts w:ascii="Verdana" w:hAnsi="Verdana"/>
          <w:color w:val="0000FF"/>
          <w:sz w:val="18"/>
          <w:szCs w:val="18"/>
          <w:u w:val="single"/>
          <w:lang w:val="el-GR"/>
        </w:rPr>
        <w:t xml:space="preserve"> Πίνακες</w:t>
      </w:r>
      <w:r w:rsidR="00626C37">
        <w:rPr>
          <w:rFonts w:ascii="Verdana" w:hAnsi="Verdana"/>
          <w:color w:val="000000"/>
          <w:sz w:val="18"/>
          <w:szCs w:val="18"/>
          <w:lang w:val="el-GR"/>
        </w:rPr>
        <w:t> (</w:t>
      </w:r>
      <w:r w:rsidR="00626C37">
        <w:rPr>
          <w:rFonts w:ascii="Verdana" w:hAnsi="Verdana"/>
          <w:color w:val="000000"/>
          <w:sz w:val="18"/>
          <w:szCs w:val="18"/>
        </w:rPr>
        <w:t>Excel</w:t>
      </w:r>
      <w:r w:rsidR="00626C37">
        <w:rPr>
          <w:rFonts w:ascii="Verdana" w:hAnsi="Verdana"/>
          <w:color w:val="000000"/>
          <w:sz w:val="18"/>
          <w:szCs w:val="18"/>
          <w:lang w:val="el-GR"/>
        </w:rPr>
        <w:t>)</w:t>
      </w:r>
    </w:p>
    <w:p w14:paraId="41565601" w14:textId="77777777" w:rsidR="00626C37" w:rsidRDefault="00000000" w:rsidP="00626C37">
      <w:pPr>
        <w:jc w:val="both"/>
        <w:rPr>
          <w:rFonts w:ascii="Verdana" w:hAnsi="Verdana"/>
          <w:sz w:val="18"/>
          <w:szCs w:val="18"/>
          <w:lang w:val="el-GR"/>
        </w:rPr>
      </w:pPr>
      <w:hyperlink r:id="rId14" w:history="1">
        <w:r w:rsidR="00626C37" w:rsidRPr="004F6F5E">
          <w:rPr>
            <w:rStyle w:val="Hyperlink"/>
            <w:rFonts w:ascii="Verdana" w:hAnsi="Verdana"/>
            <w:sz w:val="18"/>
            <w:szCs w:val="18"/>
            <w:lang w:val="el-GR"/>
          </w:rPr>
          <w:t>Μεθοδολογικές</w:t>
        </w:r>
      </w:hyperlink>
      <w:r w:rsidR="00626C37">
        <w:rPr>
          <w:rFonts w:ascii="Verdana" w:hAnsi="Verdana"/>
          <w:color w:val="0000FF"/>
          <w:sz w:val="18"/>
          <w:szCs w:val="18"/>
          <w:u w:val="single"/>
          <w:lang w:val="el-GR"/>
        </w:rPr>
        <w:t xml:space="preserve"> Πληροφορίες</w:t>
      </w:r>
    </w:p>
    <w:p w14:paraId="282E3117" w14:textId="77777777" w:rsidR="00626C37" w:rsidRDefault="00626C37" w:rsidP="00626C37">
      <w:pPr>
        <w:jc w:val="both"/>
        <w:rPr>
          <w:rFonts w:ascii="Verdana" w:hAnsi="Verdana" w:cs="Arial"/>
          <w:sz w:val="18"/>
          <w:szCs w:val="18"/>
          <w:lang w:val="el-GR"/>
        </w:rPr>
      </w:pPr>
    </w:p>
    <w:p w14:paraId="0F1E1933" w14:textId="77777777" w:rsidR="00626C37" w:rsidRDefault="00626C37" w:rsidP="00626C3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10B964D7" w14:textId="77777777" w:rsidR="00626C37" w:rsidRDefault="00626C37" w:rsidP="00626C37">
      <w:pPr>
        <w:ind w:right="-79"/>
        <w:jc w:val="both"/>
        <w:rPr>
          <w:rFonts w:ascii="Verdana" w:eastAsia="Malgun Gothic" w:hAnsi="Verdana" w:cs="Arial"/>
          <w:sz w:val="18"/>
          <w:szCs w:val="18"/>
          <w:lang w:val="el-GR"/>
        </w:rPr>
      </w:pPr>
      <w:r>
        <w:rPr>
          <w:rFonts w:ascii="Verdana" w:eastAsia="Malgun Gothic" w:hAnsi="Verdana" w:cs="Arial"/>
          <w:sz w:val="18"/>
          <w:szCs w:val="18"/>
          <w:lang w:val="el-GR"/>
        </w:rPr>
        <w:t>Δήμητρα Κώστα</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:+3572260</w:t>
      </w:r>
      <w:r>
        <w:rPr>
          <w:rFonts w:ascii="Verdana" w:eastAsia="Malgun Gothic" w:hAnsi="Verdana" w:cs="Arial"/>
          <w:sz w:val="18"/>
          <w:szCs w:val="18"/>
          <w:lang w:val="el-GR"/>
        </w:rPr>
        <w:t>5112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w:t>
      </w:r>
      <w:r>
        <w:rPr>
          <w:rFonts w:ascii="Verdana" w:eastAsia="Malgun Gothic" w:hAnsi="Verdana" w:cs="Arial"/>
          <w:sz w:val="18"/>
          <w:szCs w:val="18"/>
          <w:lang w:val="el-GR"/>
        </w:rPr>
        <w:t xml:space="preserve"> </w:t>
      </w:r>
      <w:hyperlink r:id="rId15" w:history="1">
        <w:r w:rsidRPr="00C44733">
          <w:rPr>
            <w:rStyle w:val="Hyperlink"/>
            <w:rFonts w:ascii="Verdana" w:eastAsia="Malgun Gothic" w:hAnsi="Verdana" w:cs="Arial"/>
            <w:sz w:val="18"/>
            <w:szCs w:val="18"/>
          </w:rPr>
          <w:t>dcosta</w:t>
        </w:r>
        <w:r w:rsidRPr="00C44733">
          <w:rPr>
            <w:rStyle w:val="Hyperlink"/>
            <w:rFonts w:ascii="Verdana" w:eastAsia="Malgun Gothic" w:hAnsi="Verdana" w:cs="Arial"/>
            <w:sz w:val="18"/>
            <w:szCs w:val="18"/>
            <w:lang w:val="el-GR"/>
          </w:rPr>
          <w:t>@cystat.mof.gov.cy</w:t>
        </w:r>
      </w:hyperlink>
    </w:p>
    <w:p w14:paraId="50DC90BA" w14:textId="4A200456" w:rsidR="00113CE5" w:rsidRPr="00320F19" w:rsidRDefault="00626C37" w:rsidP="00626C37">
      <w:pPr>
        <w:jc w:val="both"/>
        <w:rPr>
          <w:rFonts w:ascii="Verdana" w:hAnsi="Verdana" w:cs="Arial"/>
          <w:sz w:val="18"/>
          <w:szCs w:val="18"/>
          <w:lang w:val="el-GR"/>
        </w:rPr>
      </w:pPr>
      <w:r>
        <w:rPr>
          <w:rFonts w:ascii="Verdana" w:eastAsia="Malgun Gothic" w:hAnsi="Verdana" w:cs="Arial"/>
          <w:sz w:val="18"/>
          <w:szCs w:val="18"/>
          <w:lang w:val="el-GR"/>
        </w:rPr>
        <w:t>Χαράλαμπος Χαραλάμπους</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:+35722602</w:t>
      </w:r>
      <w:r>
        <w:rPr>
          <w:rFonts w:ascii="Verdana" w:eastAsia="Malgun Gothic" w:hAnsi="Verdana" w:cs="Arial"/>
          <w:sz w:val="18"/>
          <w:szCs w:val="18"/>
          <w:lang w:val="el-GR"/>
        </w:rPr>
        <w:t>24</w:t>
      </w:r>
      <w:r w:rsidRPr="00780A62">
        <w:rPr>
          <w:rFonts w:ascii="Verdana" w:eastAsia="Malgun Gothic" w:hAnsi="Verdana" w:cs="Arial"/>
          <w:sz w:val="18"/>
          <w:szCs w:val="18"/>
          <w:lang w:val="el-GR"/>
        </w:rPr>
        <w:t xml:space="preserve">1,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w:t>
      </w:r>
      <w:r>
        <w:rPr>
          <w:rFonts w:ascii="Verdana" w:eastAsia="Malgun Gothic" w:hAnsi="Verdana" w:cs="Arial"/>
          <w:sz w:val="18"/>
          <w:szCs w:val="18"/>
          <w:lang w:val="el-GR"/>
        </w:rPr>
        <w:t xml:space="preserve"> </w:t>
      </w:r>
      <w:hyperlink r:id="rId16" w:history="1">
        <w:r w:rsidRPr="00153D82">
          <w:rPr>
            <w:rStyle w:val="Hyperlink"/>
            <w:rFonts w:ascii="Verdana" w:eastAsia="Malgun Gothic" w:hAnsi="Verdana" w:cs="Arial"/>
            <w:sz w:val="18"/>
            <w:szCs w:val="18"/>
            <w:lang w:val="el-GR"/>
          </w:rPr>
          <w:t>chcharalambous@cystat.mof.gov.cy</w:t>
        </w:r>
      </w:hyperlink>
      <w:bookmarkEnd w:id="4"/>
    </w:p>
    <w:sectPr w:rsidR="00113CE5" w:rsidRPr="00320F19" w:rsidSect="007E1AED">
      <w:headerReference w:type="default" r:id="rId17"/>
      <w:footerReference w:type="default" r:id="rId18"/>
      <w:headerReference w:type="first" r:id="rId19"/>
      <w:footerReference w:type="first" r:id="rId20"/>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C6352" w14:textId="77777777" w:rsidR="00662F4B" w:rsidRDefault="00662F4B" w:rsidP="00FB398F">
      <w:r>
        <w:separator/>
      </w:r>
    </w:p>
  </w:endnote>
  <w:endnote w:type="continuationSeparator" w:id="0">
    <w:p w14:paraId="5F0E7C03" w14:textId="77777777" w:rsidR="00662F4B" w:rsidRDefault="00662F4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77172F" w:rsidRPr="000A1A88" w:rsidRDefault="0077172F"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77172F" w:rsidRPr="00233FBF" w:rsidRDefault="0077172F"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77172F" w:rsidRPr="00233FBF" w:rsidRDefault="0077172F"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01127E">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370CCFC2" w:rsidR="0077172F" w:rsidRPr="00D91192" w:rsidRDefault="0077172F" w:rsidP="000932CF">
    <w:pPr>
      <w:pStyle w:val="Footer"/>
      <w:tabs>
        <w:tab w:val="left" w:pos="4500"/>
      </w:tabs>
      <w:jc w:val="center"/>
      <w:rPr>
        <w:rFonts w:ascii="Arial" w:hAnsi="Arial" w:cs="Arial"/>
        <w:lang w:val="el-GR"/>
      </w:rPr>
    </w:pPr>
    <w:r>
      <w:rPr>
        <w:rFonts w:ascii="Arial" w:hAnsi="Arial" w:cs="Arial"/>
        <w:i/>
        <w:iCs/>
        <w:sz w:val="16"/>
        <w:szCs w:val="16"/>
        <w:lang w:val="el-GR"/>
      </w:rPr>
      <w:t>Ιστότοπος</w:t>
    </w:r>
    <w:r w:rsidRPr="00D91192">
      <w:rPr>
        <w:rFonts w:ascii="Arial" w:hAnsi="Arial" w:cs="Arial"/>
        <w:i/>
        <w:iCs/>
        <w:sz w:val="16"/>
        <w:szCs w:val="16"/>
        <w:lang w:val="el-GR"/>
      </w:rPr>
      <w:t xml:space="preserve">: </w:t>
    </w:r>
    <w:hyperlink r:id="rId2" w:history="1">
      <w:r w:rsidRPr="00233FBF">
        <w:rPr>
          <w:rStyle w:val="Hyperlink"/>
          <w:rFonts w:ascii="Arial" w:hAnsi="Arial" w:cs="Arial"/>
          <w:i/>
          <w:iCs/>
          <w:sz w:val="16"/>
          <w:szCs w:val="16"/>
        </w:rPr>
        <w:t>http</w:t>
      </w:r>
      <w:r w:rsidRPr="00D91192">
        <w:rPr>
          <w:rStyle w:val="Hyperlink"/>
          <w:rFonts w:ascii="Arial" w:hAnsi="Arial" w:cs="Arial"/>
          <w:i/>
          <w:iCs/>
          <w:sz w:val="16"/>
          <w:szCs w:val="16"/>
          <w:lang w:val="el-GR"/>
        </w:rPr>
        <w:t>://</w:t>
      </w:r>
      <w:r w:rsidRPr="00233FBF">
        <w:rPr>
          <w:rStyle w:val="Hyperlink"/>
          <w:rFonts w:ascii="Arial" w:hAnsi="Arial" w:cs="Arial"/>
          <w:i/>
          <w:iCs/>
          <w:sz w:val="16"/>
          <w:szCs w:val="16"/>
        </w:rPr>
        <w:t>www</w:t>
      </w:r>
      <w:r w:rsidRPr="00D91192">
        <w:rPr>
          <w:rStyle w:val="Hyperlink"/>
          <w:rFonts w:ascii="Arial" w:hAnsi="Arial" w:cs="Arial"/>
          <w:i/>
          <w:iCs/>
          <w:sz w:val="16"/>
          <w:szCs w:val="16"/>
          <w:lang w:val="el-GR"/>
        </w:rPr>
        <w:t>.</w:t>
      </w:r>
      <w:proofErr w:type="spellStart"/>
      <w:r w:rsidRPr="00233FBF">
        <w:rPr>
          <w:rStyle w:val="Hyperlink"/>
          <w:rFonts w:ascii="Arial" w:hAnsi="Arial" w:cs="Arial"/>
          <w:i/>
          <w:iCs/>
          <w:sz w:val="16"/>
          <w:szCs w:val="16"/>
        </w:rPr>
        <w:t>cystat</w:t>
      </w:r>
      <w:proofErr w:type="spellEnd"/>
      <w:r w:rsidRPr="00D91192">
        <w:rPr>
          <w:rStyle w:val="Hyperlink"/>
          <w:rFonts w:ascii="Arial" w:hAnsi="Arial" w:cs="Arial"/>
          <w:i/>
          <w:iCs/>
          <w:sz w:val="16"/>
          <w:szCs w:val="16"/>
          <w:lang w:val="el-GR"/>
        </w:rPr>
        <w:t>.</w:t>
      </w:r>
      <w:r w:rsidRPr="00233FBF">
        <w:rPr>
          <w:rStyle w:val="Hyperlink"/>
          <w:rFonts w:ascii="Arial" w:hAnsi="Arial" w:cs="Arial"/>
          <w:i/>
          <w:iCs/>
          <w:sz w:val="16"/>
          <w:szCs w:val="16"/>
        </w:rPr>
        <w:t>gov</w:t>
      </w:r>
      <w:r w:rsidRPr="00D91192">
        <w:rPr>
          <w:rStyle w:val="Hyperlink"/>
          <w:rFonts w:ascii="Arial" w:hAnsi="Arial" w:cs="Arial"/>
          <w:i/>
          <w:iCs/>
          <w:sz w:val="16"/>
          <w:szCs w:val="16"/>
          <w:lang w:val="el-GR"/>
        </w:rPr>
        <w:t>.</w:t>
      </w:r>
      <w:r w:rsidRPr="00233FBF">
        <w:rPr>
          <w:rStyle w:val="Hyperlink"/>
          <w:rFonts w:ascii="Arial" w:hAnsi="Arial" w:cs="Arial"/>
          <w:i/>
          <w:iCs/>
          <w:sz w:val="16"/>
          <w:szCs w:val="16"/>
        </w:rPr>
        <w:t>cy</w:t>
      </w:r>
    </w:hyperlink>
    <w:r w:rsidRPr="00D91192">
      <w:rPr>
        <w:rFonts w:ascii="Arial" w:hAnsi="Arial" w:cs="Arial"/>
        <w:i/>
        <w:iCs/>
        <w:sz w:val="18"/>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EBBE1" w14:textId="77777777" w:rsidR="00662F4B" w:rsidRDefault="00662F4B" w:rsidP="00FB398F">
      <w:r>
        <w:separator/>
      </w:r>
    </w:p>
  </w:footnote>
  <w:footnote w:type="continuationSeparator" w:id="0">
    <w:p w14:paraId="6C55F9A2" w14:textId="77777777" w:rsidR="00662F4B" w:rsidRDefault="00662F4B" w:rsidP="00FB398F">
      <w:r>
        <w:continuationSeparator/>
      </w:r>
    </w:p>
  </w:footnote>
  <w:footnote w:id="1">
    <w:p w14:paraId="759658E8" w14:textId="5A55874C" w:rsidR="0077172F" w:rsidRPr="00F265D5" w:rsidRDefault="0077172F" w:rsidP="00113CE5">
      <w:pPr>
        <w:pStyle w:val="FootnoteText"/>
        <w:rPr>
          <w:rFonts w:ascii="Verdana" w:hAnsi="Verdana"/>
          <w:sz w:val="16"/>
          <w:szCs w:val="16"/>
          <w:lang w:val="el-GR"/>
        </w:rPr>
      </w:pPr>
      <w:r w:rsidRPr="00F265D5">
        <w:rPr>
          <w:rStyle w:val="FootnoteReference"/>
          <w:rFonts w:ascii="Verdana" w:hAnsi="Verdana"/>
          <w:b/>
          <w:bCs/>
          <w:sz w:val="16"/>
          <w:szCs w:val="16"/>
        </w:rPr>
        <w:footnoteRef/>
      </w:r>
      <w:r w:rsidRPr="00F265D5">
        <w:rPr>
          <w:rFonts w:ascii="Verdana" w:hAnsi="Verdana"/>
          <w:sz w:val="16"/>
          <w:szCs w:val="16"/>
          <w:lang w:val="el-GR"/>
        </w:rPr>
        <w:t xml:space="preserve"> Στην Έρευνα του 202</w:t>
      </w:r>
      <w:r w:rsidR="00146E82">
        <w:rPr>
          <w:rFonts w:ascii="Verdana" w:hAnsi="Verdana"/>
          <w:sz w:val="16"/>
          <w:szCs w:val="16"/>
          <w:lang w:val="el-GR"/>
        </w:rPr>
        <w:t>3</w:t>
      </w:r>
      <w:r w:rsidRPr="00F265D5">
        <w:rPr>
          <w:rFonts w:ascii="Verdana" w:hAnsi="Verdana"/>
          <w:sz w:val="16"/>
          <w:szCs w:val="16"/>
          <w:lang w:val="el-GR"/>
        </w:rPr>
        <w:t xml:space="preserve"> η περίοδος αναφοράς εισοδήματος είναι το 202</w:t>
      </w:r>
      <w:r w:rsidR="00146E82">
        <w:rPr>
          <w:rFonts w:ascii="Verdana" w:hAnsi="Verdana"/>
          <w:sz w:val="16"/>
          <w:szCs w:val="16"/>
          <w:lang w:val="el-GR"/>
        </w:rPr>
        <w:t>2</w:t>
      </w:r>
      <w:r w:rsidRPr="00F265D5">
        <w:rPr>
          <w:rFonts w:ascii="Verdana" w:hAnsi="Verdana"/>
          <w:sz w:val="16"/>
          <w:szCs w:val="16"/>
          <w:lang w:val="el-GR"/>
        </w:rPr>
        <w:t xml:space="preserve"> και το χρηματικό όριο κινδύνου φτώχιας ήταν €</w:t>
      </w:r>
      <w:r w:rsidR="00146E82">
        <w:rPr>
          <w:rFonts w:ascii="Verdana" w:hAnsi="Verdana"/>
          <w:sz w:val="16"/>
          <w:szCs w:val="16"/>
          <w:lang w:val="el-GR"/>
        </w:rPr>
        <w:t>11.324</w:t>
      </w:r>
      <w:r w:rsidRPr="00F265D5">
        <w:rPr>
          <w:rFonts w:ascii="Verdana" w:hAnsi="Verdana"/>
          <w:sz w:val="16"/>
          <w:szCs w:val="16"/>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77172F" w:rsidRPr="00AC704B" w:rsidRDefault="0077172F"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77172F" w:rsidRDefault="0077172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77172F" w:rsidRDefault="0077172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77172F" w:rsidRDefault="0077172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77172F" w:rsidRDefault="0077172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77172F" w:rsidRDefault="0077172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77172F" w:rsidRDefault="0077172F"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77172F" w:rsidRDefault="0077172F"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77172F" w:rsidRDefault="0077172F"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77172F" w:rsidRDefault="0077172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77172F" w:rsidRDefault="0077172F"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77172F" w:rsidRPr="00BA5A5E" w:rsidRDefault="0077172F"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77172F" w:rsidRDefault="0077172F"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77172F" w:rsidRPr="00BA5A5E" w:rsidRDefault="0077172F"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77172F" w:rsidRPr="00AC704B" w:rsidRDefault="0077172F"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83BC0B8" w:rsidR="0077172F" w:rsidRPr="00AC704B" w:rsidRDefault="0077172F"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77172F" w:rsidRDefault="00771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59999638">
    <w:abstractNumId w:val="4"/>
  </w:num>
  <w:num w:numId="2" w16cid:durableId="1350597965">
    <w:abstractNumId w:val="1"/>
  </w:num>
  <w:num w:numId="3" w16cid:durableId="116341727">
    <w:abstractNumId w:val="2"/>
  </w:num>
  <w:num w:numId="4" w16cid:durableId="2045595240">
    <w:abstractNumId w:val="3"/>
  </w:num>
  <w:num w:numId="5" w16cid:durableId="163320079">
    <w:abstractNumId w:val="0"/>
  </w:num>
  <w:num w:numId="6" w16cid:durableId="997533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127E"/>
    <w:rsid w:val="00013E40"/>
    <w:rsid w:val="000161B1"/>
    <w:rsid w:val="00025A39"/>
    <w:rsid w:val="00027853"/>
    <w:rsid w:val="00030E18"/>
    <w:rsid w:val="00031D32"/>
    <w:rsid w:val="0003603D"/>
    <w:rsid w:val="00045088"/>
    <w:rsid w:val="00045A06"/>
    <w:rsid w:val="00050391"/>
    <w:rsid w:val="00055291"/>
    <w:rsid w:val="000563D3"/>
    <w:rsid w:val="00057E44"/>
    <w:rsid w:val="00061299"/>
    <w:rsid w:val="00070576"/>
    <w:rsid w:val="000752BB"/>
    <w:rsid w:val="00081ADF"/>
    <w:rsid w:val="00084A02"/>
    <w:rsid w:val="00084BF7"/>
    <w:rsid w:val="000870E9"/>
    <w:rsid w:val="000932CF"/>
    <w:rsid w:val="00096ED8"/>
    <w:rsid w:val="000A1A88"/>
    <w:rsid w:val="000A2B5C"/>
    <w:rsid w:val="000A3601"/>
    <w:rsid w:val="000A6FA8"/>
    <w:rsid w:val="000C1070"/>
    <w:rsid w:val="000C4E72"/>
    <w:rsid w:val="000C622F"/>
    <w:rsid w:val="000D1E7A"/>
    <w:rsid w:val="000E24B1"/>
    <w:rsid w:val="000E2735"/>
    <w:rsid w:val="000E32D6"/>
    <w:rsid w:val="000E4CB0"/>
    <w:rsid w:val="000E57F2"/>
    <w:rsid w:val="000E72A7"/>
    <w:rsid w:val="000F1162"/>
    <w:rsid w:val="000F1B6C"/>
    <w:rsid w:val="000F3467"/>
    <w:rsid w:val="000F38DE"/>
    <w:rsid w:val="000F532A"/>
    <w:rsid w:val="000F5D6C"/>
    <w:rsid w:val="00103CF5"/>
    <w:rsid w:val="00106852"/>
    <w:rsid w:val="00110F9D"/>
    <w:rsid w:val="00113CE5"/>
    <w:rsid w:val="00114A67"/>
    <w:rsid w:val="001253B6"/>
    <w:rsid w:val="001262C3"/>
    <w:rsid w:val="00127320"/>
    <w:rsid w:val="00127456"/>
    <w:rsid w:val="001312D8"/>
    <w:rsid w:val="0013137B"/>
    <w:rsid w:val="00146E82"/>
    <w:rsid w:val="0015118B"/>
    <w:rsid w:val="001519CE"/>
    <w:rsid w:val="00161CF3"/>
    <w:rsid w:val="00162C00"/>
    <w:rsid w:val="001639EF"/>
    <w:rsid w:val="0016589F"/>
    <w:rsid w:val="001712CF"/>
    <w:rsid w:val="0017769A"/>
    <w:rsid w:val="00183DFC"/>
    <w:rsid w:val="00184384"/>
    <w:rsid w:val="00186717"/>
    <w:rsid w:val="00187FFC"/>
    <w:rsid w:val="0019391C"/>
    <w:rsid w:val="001A2018"/>
    <w:rsid w:val="001A28FA"/>
    <w:rsid w:val="001B2C39"/>
    <w:rsid w:val="001B3675"/>
    <w:rsid w:val="001B5658"/>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10B58"/>
    <w:rsid w:val="00222423"/>
    <w:rsid w:val="00225B28"/>
    <w:rsid w:val="00226891"/>
    <w:rsid w:val="0022728A"/>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8338F"/>
    <w:rsid w:val="002915C4"/>
    <w:rsid w:val="00297E6B"/>
    <w:rsid w:val="002A1D1C"/>
    <w:rsid w:val="002A4D64"/>
    <w:rsid w:val="002B4969"/>
    <w:rsid w:val="002B6554"/>
    <w:rsid w:val="002D05F0"/>
    <w:rsid w:val="002D2829"/>
    <w:rsid w:val="002D7D4A"/>
    <w:rsid w:val="002E3846"/>
    <w:rsid w:val="002E3F78"/>
    <w:rsid w:val="002F400C"/>
    <w:rsid w:val="002F4D76"/>
    <w:rsid w:val="002F6D26"/>
    <w:rsid w:val="0030231E"/>
    <w:rsid w:val="003042C4"/>
    <w:rsid w:val="00304CB4"/>
    <w:rsid w:val="00306297"/>
    <w:rsid w:val="00313F37"/>
    <w:rsid w:val="003141D0"/>
    <w:rsid w:val="003168C1"/>
    <w:rsid w:val="00322FBE"/>
    <w:rsid w:val="00325632"/>
    <w:rsid w:val="00327549"/>
    <w:rsid w:val="00330CAD"/>
    <w:rsid w:val="003342A5"/>
    <w:rsid w:val="00334616"/>
    <w:rsid w:val="00336C36"/>
    <w:rsid w:val="00343815"/>
    <w:rsid w:val="003456A2"/>
    <w:rsid w:val="00350FC8"/>
    <w:rsid w:val="003522BB"/>
    <w:rsid w:val="00352F6C"/>
    <w:rsid w:val="003556EA"/>
    <w:rsid w:val="00386FC7"/>
    <w:rsid w:val="00390A32"/>
    <w:rsid w:val="00391A60"/>
    <w:rsid w:val="00396ABA"/>
    <w:rsid w:val="003A1E91"/>
    <w:rsid w:val="003A40F2"/>
    <w:rsid w:val="003A471D"/>
    <w:rsid w:val="003A50D1"/>
    <w:rsid w:val="003B196D"/>
    <w:rsid w:val="003B2710"/>
    <w:rsid w:val="003B4608"/>
    <w:rsid w:val="003C2392"/>
    <w:rsid w:val="003C26BD"/>
    <w:rsid w:val="003C5174"/>
    <w:rsid w:val="003C5240"/>
    <w:rsid w:val="003C76E6"/>
    <w:rsid w:val="003D14E0"/>
    <w:rsid w:val="003D1EA5"/>
    <w:rsid w:val="003D3348"/>
    <w:rsid w:val="003D4E63"/>
    <w:rsid w:val="003D5FFB"/>
    <w:rsid w:val="003D6822"/>
    <w:rsid w:val="003D724C"/>
    <w:rsid w:val="003E0519"/>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45C3"/>
    <w:rsid w:val="004929C2"/>
    <w:rsid w:val="00493FDD"/>
    <w:rsid w:val="0049586B"/>
    <w:rsid w:val="004A116F"/>
    <w:rsid w:val="004A3E44"/>
    <w:rsid w:val="004B2018"/>
    <w:rsid w:val="004B2896"/>
    <w:rsid w:val="004B38E9"/>
    <w:rsid w:val="004B3FBA"/>
    <w:rsid w:val="004B6599"/>
    <w:rsid w:val="004C1B09"/>
    <w:rsid w:val="004C6CA7"/>
    <w:rsid w:val="004D4357"/>
    <w:rsid w:val="004D4950"/>
    <w:rsid w:val="004E2393"/>
    <w:rsid w:val="004E3745"/>
    <w:rsid w:val="004E42BE"/>
    <w:rsid w:val="004E4F42"/>
    <w:rsid w:val="004E63D5"/>
    <w:rsid w:val="004F03FD"/>
    <w:rsid w:val="004F52F0"/>
    <w:rsid w:val="004F6250"/>
    <w:rsid w:val="004F677C"/>
    <w:rsid w:val="004F6D8F"/>
    <w:rsid w:val="0050536E"/>
    <w:rsid w:val="00505503"/>
    <w:rsid w:val="0051107B"/>
    <w:rsid w:val="00512F9C"/>
    <w:rsid w:val="00525712"/>
    <w:rsid w:val="00527CDB"/>
    <w:rsid w:val="005341C9"/>
    <w:rsid w:val="005369CA"/>
    <w:rsid w:val="00536DE9"/>
    <w:rsid w:val="00541E08"/>
    <w:rsid w:val="005531BD"/>
    <w:rsid w:val="00554FE0"/>
    <w:rsid w:val="0055789A"/>
    <w:rsid w:val="00560952"/>
    <w:rsid w:val="005652D1"/>
    <w:rsid w:val="005660A0"/>
    <w:rsid w:val="00566A4F"/>
    <w:rsid w:val="00567D64"/>
    <w:rsid w:val="005978D4"/>
    <w:rsid w:val="005A0CC5"/>
    <w:rsid w:val="005A23FA"/>
    <w:rsid w:val="005B2A67"/>
    <w:rsid w:val="005B3DCD"/>
    <w:rsid w:val="005B4AD4"/>
    <w:rsid w:val="005C1721"/>
    <w:rsid w:val="005C2798"/>
    <w:rsid w:val="005C36C3"/>
    <w:rsid w:val="005C56EE"/>
    <w:rsid w:val="005D1714"/>
    <w:rsid w:val="005D2ED6"/>
    <w:rsid w:val="005D7638"/>
    <w:rsid w:val="005F12F5"/>
    <w:rsid w:val="005F6248"/>
    <w:rsid w:val="005F7C7D"/>
    <w:rsid w:val="006044B7"/>
    <w:rsid w:val="006071CE"/>
    <w:rsid w:val="006075B5"/>
    <w:rsid w:val="0061018C"/>
    <w:rsid w:val="0061094E"/>
    <w:rsid w:val="00613440"/>
    <w:rsid w:val="00613BE3"/>
    <w:rsid w:val="0062327B"/>
    <w:rsid w:val="00626C37"/>
    <w:rsid w:val="00632777"/>
    <w:rsid w:val="00633750"/>
    <w:rsid w:val="00634491"/>
    <w:rsid w:val="0063679C"/>
    <w:rsid w:val="00637055"/>
    <w:rsid w:val="00641D59"/>
    <w:rsid w:val="00644507"/>
    <w:rsid w:val="00645D89"/>
    <w:rsid w:val="00646880"/>
    <w:rsid w:val="00647D2A"/>
    <w:rsid w:val="00651D2F"/>
    <w:rsid w:val="006537BB"/>
    <w:rsid w:val="0065643E"/>
    <w:rsid w:val="00662F4B"/>
    <w:rsid w:val="00667E07"/>
    <w:rsid w:val="00671785"/>
    <w:rsid w:val="00672BA9"/>
    <w:rsid w:val="00673005"/>
    <w:rsid w:val="006804BE"/>
    <w:rsid w:val="0068434A"/>
    <w:rsid w:val="006861EE"/>
    <w:rsid w:val="0069008E"/>
    <w:rsid w:val="0069087E"/>
    <w:rsid w:val="006925C4"/>
    <w:rsid w:val="006A02B7"/>
    <w:rsid w:val="006A7019"/>
    <w:rsid w:val="006B0487"/>
    <w:rsid w:val="006B44FC"/>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07C8C"/>
    <w:rsid w:val="00711475"/>
    <w:rsid w:val="0072548A"/>
    <w:rsid w:val="007277A6"/>
    <w:rsid w:val="00731BB7"/>
    <w:rsid w:val="007437AB"/>
    <w:rsid w:val="00745425"/>
    <w:rsid w:val="007534F8"/>
    <w:rsid w:val="007542E8"/>
    <w:rsid w:val="007545AD"/>
    <w:rsid w:val="00761E3A"/>
    <w:rsid w:val="00763722"/>
    <w:rsid w:val="00764BC1"/>
    <w:rsid w:val="00770869"/>
    <w:rsid w:val="0077172F"/>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1793"/>
    <w:rsid w:val="00803642"/>
    <w:rsid w:val="00806EA2"/>
    <w:rsid w:val="00812A2B"/>
    <w:rsid w:val="00814A4C"/>
    <w:rsid w:val="00816D59"/>
    <w:rsid w:val="00831AAB"/>
    <w:rsid w:val="00833BCD"/>
    <w:rsid w:val="00834B82"/>
    <w:rsid w:val="0083574E"/>
    <w:rsid w:val="0083640C"/>
    <w:rsid w:val="008374E3"/>
    <w:rsid w:val="0084157B"/>
    <w:rsid w:val="00842BFB"/>
    <w:rsid w:val="00846B85"/>
    <w:rsid w:val="00847733"/>
    <w:rsid w:val="00847DC3"/>
    <w:rsid w:val="00847F49"/>
    <w:rsid w:val="008535C5"/>
    <w:rsid w:val="00853765"/>
    <w:rsid w:val="0085516F"/>
    <w:rsid w:val="00867186"/>
    <w:rsid w:val="00870AF6"/>
    <w:rsid w:val="0087251F"/>
    <w:rsid w:val="00877452"/>
    <w:rsid w:val="00881268"/>
    <w:rsid w:val="0088394A"/>
    <w:rsid w:val="008860BD"/>
    <w:rsid w:val="00887399"/>
    <w:rsid w:val="0088779E"/>
    <w:rsid w:val="008912AF"/>
    <w:rsid w:val="00892114"/>
    <w:rsid w:val="00892CB9"/>
    <w:rsid w:val="008935CB"/>
    <w:rsid w:val="00897F83"/>
    <w:rsid w:val="008B0E7E"/>
    <w:rsid w:val="008B65BD"/>
    <w:rsid w:val="008B7900"/>
    <w:rsid w:val="008C71BF"/>
    <w:rsid w:val="008C7620"/>
    <w:rsid w:val="008C7FE0"/>
    <w:rsid w:val="008D5717"/>
    <w:rsid w:val="008E223D"/>
    <w:rsid w:val="008E44A9"/>
    <w:rsid w:val="008E6B4D"/>
    <w:rsid w:val="008E6BFF"/>
    <w:rsid w:val="008F21AF"/>
    <w:rsid w:val="008F2400"/>
    <w:rsid w:val="008F61BA"/>
    <w:rsid w:val="008F6E3C"/>
    <w:rsid w:val="008F7C55"/>
    <w:rsid w:val="00914A23"/>
    <w:rsid w:val="00930754"/>
    <w:rsid w:val="009342FD"/>
    <w:rsid w:val="00934F68"/>
    <w:rsid w:val="009355AC"/>
    <w:rsid w:val="00935F38"/>
    <w:rsid w:val="00937586"/>
    <w:rsid w:val="00947889"/>
    <w:rsid w:val="009478BD"/>
    <w:rsid w:val="00960E98"/>
    <w:rsid w:val="00963A82"/>
    <w:rsid w:val="009669A6"/>
    <w:rsid w:val="00972912"/>
    <w:rsid w:val="00973BFC"/>
    <w:rsid w:val="00976D1F"/>
    <w:rsid w:val="00981C81"/>
    <w:rsid w:val="009A2D24"/>
    <w:rsid w:val="009A456C"/>
    <w:rsid w:val="009A7A28"/>
    <w:rsid w:val="009B00E0"/>
    <w:rsid w:val="009B292A"/>
    <w:rsid w:val="009B41CC"/>
    <w:rsid w:val="009B76D5"/>
    <w:rsid w:val="009C165D"/>
    <w:rsid w:val="009C3CEA"/>
    <w:rsid w:val="009C583D"/>
    <w:rsid w:val="009D2611"/>
    <w:rsid w:val="009D79D2"/>
    <w:rsid w:val="009E247C"/>
    <w:rsid w:val="009E31BA"/>
    <w:rsid w:val="009F0528"/>
    <w:rsid w:val="009F0806"/>
    <w:rsid w:val="009F233B"/>
    <w:rsid w:val="00A05D16"/>
    <w:rsid w:val="00A0659F"/>
    <w:rsid w:val="00A0687C"/>
    <w:rsid w:val="00A079BA"/>
    <w:rsid w:val="00A14E8C"/>
    <w:rsid w:val="00A20C70"/>
    <w:rsid w:val="00A32262"/>
    <w:rsid w:val="00A33875"/>
    <w:rsid w:val="00A360A1"/>
    <w:rsid w:val="00A402B3"/>
    <w:rsid w:val="00A544B7"/>
    <w:rsid w:val="00A618CF"/>
    <w:rsid w:val="00A62770"/>
    <w:rsid w:val="00A62EEB"/>
    <w:rsid w:val="00A660FF"/>
    <w:rsid w:val="00A73395"/>
    <w:rsid w:val="00A771E3"/>
    <w:rsid w:val="00A82B4C"/>
    <w:rsid w:val="00A93A4C"/>
    <w:rsid w:val="00A94AFC"/>
    <w:rsid w:val="00A94D5D"/>
    <w:rsid w:val="00AA1D9B"/>
    <w:rsid w:val="00AA2543"/>
    <w:rsid w:val="00AA3804"/>
    <w:rsid w:val="00AA55C2"/>
    <w:rsid w:val="00AB0ACA"/>
    <w:rsid w:val="00AB1D41"/>
    <w:rsid w:val="00AC5E9A"/>
    <w:rsid w:val="00AC704B"/>
    <w:rsid w:val="00AD553E"/>
    <w:rsid w:val="00AD5848"/>
    <w:rsid w:val="00AE5ADA"/>
    <w:rsid w:val="00AF6145"/>
    <w:rsid w:val="00AF7377"/>
    <w:rsid w:val="00B01386"/>
    <w:rsid w:val="00B01915"/>
    <w:rsid w:val="00B01BB5"/>
    <w:rsid w:val="00B026CC"/>
    <w:rsid w:val="00B04AF4"/>
    <w:rsid w:val="00B05214"/>
    <w:rsid w:val="00B30D97"/>
    <w:rsid w:val="00B31074"/>
    <w:rsid w:val="00B3181A"/>
    <w:rsid w:val="00B35A7C"/>
    <w:rsid w:val="00B44ECD"/>
    <w:rsid w:val="00B450D1"/>
    <w:rsid w:val="00B53D47"/>
    <w:rsid w:val="00B54A25"/>
    <w:rsid w:val="00B618C3"/>
    <w:rsid w:val="00B63652"/>
    <w:rsid w:val="00B668B0"/>
    <w:rsid w:val="00B70F5C"/>
    <w:rsid w:val="00B71873"/>
    <w:rsid w:val="00B75AE5"/>
    <w:rsid w:val="00B800C0"/>
    <w:rsid w:val="00B8132B"/>
    <w:rsid w:val="00B819AE"/>
    <w:rsid w:val="00B84C5A"/>
    <w:rsid w:val="00B858F5"/>
    <w:rsid w:val="00B93668"/>
    <w:rsid w:val="00BA68C6"/>
    <w:rsid w:val="00BB12F1"/>
    <w:rsid w:val="00BB276E"/>
    <w:rsid w:val="00BB3FEE"/>
    <w:rsid w:val="00BB4112"/>
    <w:rsid w:val="00BB5EB0"/>
    <w:rsid w:val="00BC245A"/>
    <w:rsid w:val="00BD16FA"/>
    <w:rsid w:val="00BD41C3"/>
    <w:rsid w:val="00BD488B"/>
    <w:rsid w:val="00BD7CCC"/>
    <w:rsid w:val="00BE002A"/>
    <w:rsid w:val="00BE0283"/>
    <w:rsid w:val="00BE1BC9"/>
    <w:rsid w:val="00BE5CDA"/>
    <w:rsid w:val="00BE608F"/>
    <w:rsid w:val="00BF23BB"/>
    <w:rsid w:val="00BF33DD"/>
    <w:rsid w:val="00BF4AB7"/>
    <w:rsid w:val="00BF5755"/>
    <w:rsid w:val="00BF684B"/>
    <w:rsid w:val="00C016F3"/>
    <w:rsid w:val="00C1132E"/>
    <w:rsid w:val="00C15193"/>
    <w:rsid w:val="00C15609"/>
    <w:rsid w:val="00C15F6A"/>
    <w:rsid w:val="00C23EA7"/>
    <w:rsid w:val="00C256F3"/>
    <w:rsid w:val="00C270A2"/>
    <w:rsid w:val="00C315B5"/>
    <w:rsid w:val="00C34BC8"/>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4B8A"/>
    <w:rsid w:val="00C84BCA"/>
    <w:rsid w:val="00C85E65"/>
    <w:rsid w:val="00C86C31"/>
    <w:rsid w:val="00C87CA1"/>
    <w:rsid w:val="00C911B4"/>
    <w:rsid w:val="00C91B3B"/>
    <w:rsid w:val="00C94262"/>
    <w:rsid w:val="00C976E1"/>
    <w:rsid w:val="00CA148E"/>
    <w:rsid w:val="00CA3A9A"/>
    <w:rsid w:val="00CB6BC1"/>
    <w:rsid w:val="00CB7021"/>
    <w:rsid w:val="00CC61C5"/>
    <w:rsid w:val="00CD3294"/>
    <w:rsid w:val="00CD4524"/>
    <w:rsid w:val="00CD784D"/>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77948"/>
    <w:rsid w:val="00D91192"/>
    <w:rsid w:val="00DA55C0"/>
    <w:rsid w:val="00DA7D12"/>
    <w:rsid w:val="00DC23CF"/>
    <w:rsid w:val="00DC6562"/>
    <w:rsid w:val="00DE130D"/>
    <w:rsid w:val="00DE24CF"/>
    <w:rsid w:val="00DE407C"/>
    <w:rsid w:val="00DE7C7D"/>
    <w:rsid w:val="00DF2992"/>
    <w:rsid w:val="00DF2D0C"/>
    <w:rsid w:val="00E00058"/>
    <w:rsid w:val="00E01B9D"/>
    <w:rsid w:val="00E0468F"/>
    <w:rsid w:val="00E04F5E"/>
    <w:rsid w:val="00E0522E"/>
    <w:rsid w:val="00E120F4"/>
    <w:rsid w:val="00E16307"/>
    <w:rsid w:val="00E17172"/>
    <w:rsid w:val="00E30113"/>
    <w:rsid w:val="00E3181C"/>
    <w:rsid w:val="00E3280A"/>
    <w:rsid w:val="00E372AF"/>
    <w:rsid w:val="00E37D68"/>
    <w:rsid w:val="00E40EAE"/>
    <w:rsid w:val="00E436AC"/>
    <w:rsid w:val="00E44F7A"/>
    <w:rsid w:val="00E44FF8"/>
    <w:rsid w:val="00E5066A"/>
    <w:rsid w:val="00E523C8"/>
    <w:rsid w:val="00E52CF9"/>
    <w:rsid w:val="00E63F34"/>
    <w:rsid w:val="00E63FEA"/>
    <w:rsid w:val="00E6435C"/>
    <w:rsid w:val="00E6715A"/>
    <w:rsid w:val="00E7040E"/>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6A47"/>
    <w:rsid w:val="00EF7AF9"/>
    <w:rsid w:val="00F00952"/>
    <w:rsid w:val="00F01495"/>
    <w:rsid w:val="00F10138"/>
    <w:rsid w:val="00F13F92"/>
    <w:rsid w:val="00F22ECA"/>
    <w:rsid w:val="00F240E8"/>
    <w:rsid w:val="00F244FA"/>
    <w:rsid w:val="00F366A2"/>
    <w:rsid w:val="00F44F43"/>
    <w:rsid w:val="00F450E1"/>
    <w:rsid w:val="00F50DF4"/>
    <w:rsid w:val="00F51354"/>
    <w:rsid w:val="00F54D11"/>
    <w:rsid w:val="00F57AFE"/>
    <w:rsid w:val="00F6278E"/>
    <w:rsid w:val="00F63C41"/>
    <w:rsid w:val="00F63E96"/>
    <w:rsid w:val="00F701E3"/>
    <w:rsid w:val="00F71008"/>
    <w:rsid w:val="00F71F8C"/>
    <w:rsid w:val="00F73492"/>
    <w:rsid w:val="00F86AD4"/>
    <w:rsid w:val="00F942F5"/>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FootnoteText">
    <w:name w:val="footnote text"/>
    <w:basedOn w:val="Normal"/>
    <w:link w:val="FootnoteTextChar"/>
    <w:uiPriority w:val="99"/>
    <w:semiHidden/>
    <w:unhideWhenUsed/>
    <w:rsid w:val="00113CE5"/>
    <w:rPr>
      <w:sz w:val="20"/>
      <w:szCs w:val="20"/>
    </w:rPr>
  </w:style>
  <w:style w:type="character" w:customStyle="1" w:styleId="FootnoteTextChar">
    <w:name w:val="Footnote Text Char"/>
    <w:basedOn w:val="DefaultParagraphFont"/>
    <w:link w:val="FootnoteText"/>
    <w:uiPriority w:val="99"/>
    <w:semiHidden/>
    <w:rsid w:val="00113CE5"/>
    <w:rPr>
      <w:lang w:val="en-US" w:eastAsia="en-US"/>
    </w:rPr>
  </w:style>
  <w:style w:type="character" w:styleId="FootnoteReference">
    <w:name w:val="footnote reference"/>
    <w:basedOn w:val="DefaultParagraphFont"/>
    <w:uiPriority w:val="99"/>
    <w:semiHidden/>
    <w:unhideWhenUsed/>
    <w:rsid w:val="00113CE5"/>
    <w:rPr>
      <w:vertAlign w:val="superscript"/>
    </w:rPr>
  </w:style>
  <w:style w:type="character" w:styleId="FollowedHyperlink">
    <w:name w:val="FollowedHyperlink"/>
    <w:basedOn w:val="DefaultParagraphFont"/>
    <w:uiPriority w:val="99"/>
    <w:semiHidden/>
    <w:unhideWhenUsed/>
    <w:rsid w:val="001B56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88642384">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KeyFiguresList?s=4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l/SubthemeStatistics?s=4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hcharalambous@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costa@cystat.mof.gov.cy"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l/MethodologicalDetails?m=209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0.emf"/><Relationship Id="rId2" Type="http://schemas.openxmlformats.org/officeDocument/2006/relationships/image" Target="media/image6.emf"/><Relationship Id="rId1" Type="http://schemas.openxmlformats.org/officeDocument/2006/relationships/image" Target="media/image5.png"/><Relationship Id="rId5" Type="http://schemas.openxmlformats.org/officeDocument/2006/relationships/image" Target="media/image70.emf"/><Relationship Id="rId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67E67-F1D6-4708-94EF-88A8A56C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10184</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9</cp:revision>
  <cp:lastPrinted>2016-09-28T08:22:00Z</cp:lastPrinted>
  <dcterms:created xsi:type="dcterms:W3CDTF">2024-10-10T12:02:00Z</dcterms:created>
  <dcterms:modified xsi:type="dcterms:W3CDTF">2024-10-15T09:10:00Z</dcterms:modified>
</cp:coreProperties>
</file>