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35ED" w14:textId="77777777" w:rsidR="00985D01" w:rsidRDefault="00985D01" w:rsidP="00985D01">
      <w:pPr>
        <w:tabs>
          <w:tab w:val="left" w:pos="1080"/>
          <w:tab w:val="left" w:pos="7088"/>
        </w:tabs>
        <w:jc w:val="both"/>
        <w:rPr>
          <w:rFonts w:ascii="Verdana" w:hAnsi="Verdana" w:cs="Arial"/>
          <w:sz w:val="18"/>
          <w:szCs w:val="18"/>
        </w:rPr>
      </w:pPr>
    </w:p>
    <w:p w14:paraId="3826EBBD" w14:textId="77777777" w:rsidR="00985D01" w:rsidRPr="00742740" w:rsidRDefault="00985D01" w:rsidP="00985D01">
      <w:pPr>
        <w:tabs>
          <w:tab w:val="left" w:pos="1080"/>
          <w:tab w:val="left" w:pos="7088"/>
        </w:tabs>
        <w:jc w:val="right"/>
        <w:rPr>
          <w:rFonts w:ascii="Verdana" w:hAnsi="Verdana" w:cs="Arial"/>
          <w:sz w:val="18"/>
          <w:szCs w:val="18"/>
        </w:rPr>
      </w:pPr>
      <w:r>
        <w:rPr>
          <w:rFonts w:ascii="Verdana" w:hAnsi="Verdana" w:cs="Arial"/>
          <w:sz w:val="18"/>
          <w:szCs w:val="18"/>
        </w:rPr>
        <w:t>18</w:t>
      </w:r>
      <w:r w:rsidRPr="004D35AD">
        <w:rPr>
          <w:rFonts w:ascii="Verdana" w:hAnsi="Verdana" w:cs="Arial"/>
          <w:sz w:val="18"/>
          <w:szCs w:val="18"/>
        </w:rPr>
        <w:t xml:space="preserve"> August, 20</w:t>
      </w:r>
      <w:r>
        <w:rPr>
          <w:rFonts w:ascii="Verdana" w:hAnsi="Verdana" w:cs="Arial"/>
          <w:sz w:val="18"/>
          <w:szCs w:val="18"/>
        </w:rPr>
        <w:t>22</w:t>
      </w:r>
    </w:p>
    <w:p w14:paraId="482E923E" w14:textId="77777777" w:rsidR="00985D01" w:rsidRPr="00931164" w:rsidRDefault="00985D01" w:rsidP="00985D01">
      <w:pPr>
        <w:jc w:val="center"/>
        <w:rPr>
          <w:rFonts w:ascii="Verdana" w:eastAsia="Malgun Gothic" w:hAnsi="Verdana" w:cs="Arial"/>
          <w:b/>
          <w:sz w:val="24"/>
          <w:szCs w:val="24"/>
        </w:rPr>
      </w:pPr>
    </w:p>
    <w:p w14:paraId="3DAD3388" w14:textId="77777777" w:rsidR="00985D01" w:rsidRPr="00931164" w:rsidRDefault="00985D01" w:rsidP="00985D01">
      <w:pPr>
        <w:jc w:val="center"/>
        <w:rPr>
          <w:rFonts w:ascii="Verdana" w:eastAsia="Malgun Gothic" w:hAnsi="Verdana" w:cs="Arial"/>
          <w:b/>
          <w:sz w:val="24"/>
          <w:szCs w:val="24"/>
        </w:rPr>
      </w:pPr>
      <w:r>
        <w:rPr>
          <w:rFonts w:ascii="Verdana" w:eastAsia="Malgun Gothic" w:hAnsi="Verdana" w:cs="Arial"/>
          <w:b/>
          <w:sz w:val="24"/>
          <w:szCs w:val="24"/>
        </w:rPr>
        <w:t>PRESS RELEASE</w:t>
      </w:r>
    </w:p>
    <w:p w14:paraId="389ECE89" w14:textId="77777777" w:rsidR="00985D01" w:rsidRDefault="00985D01" w:rsidP="00985D01">
      <w:pPr>
        <w:rPr>
          <w:rFonts w:ascii="Verdana" w:eastAsia="Malgun Gothic" w:hAnsi="Verdana" w:cs="Arial"/>
        </w:rPr>
      </w:pPr>
    </w:p>
    <w:p w14:paraId="3F662759" w14:textId="77777777" w:rsidR="00985D01" w:rsidRPr="002853F1" w:rsidRDefault="00985D01" w:rsidP="00985D01">
      <w:pPr>
        <w:pStyle w:val="Heading6"/>
        <w:tabs>
          <w:tab w:val="clear" w:pos="6840"/>
        </w:tabs>
        <w:jc w:val="left"/>
        <w:rPr>
          <w:rFonts w:ascii="Verdana" w:eastAsia="Malgun Gothic" w:hAnsi="Verdana" w:cs="Arial"/>
          <w:b w:val="0"/>
          <w:szCs w:val="22"/>
          <w:lang w:val="en-US"/>
        </w:rPr>
      </w:pPr>
      <w:r>
        <w:rPr>
          <w:rFonts w:ascii="Verdana" w:eastAsia="Malgun Gothic" w:hAnsi="Verdana" w:cs="Arial"/>
          <w:b w:val="0"/>
          <w:szCs w:val="22"/>
          <w:lang w:val="en-US"/>
        </w:rPr>
        <w:t>POVERTY AND SOCIAL EXCLUSION</w:t>
      </w:r>
      <w:r w:rsidRPr="00931164">
        <w:rPr>
          <w:rFonts w:ascii="Verdana" w:eastAsia="Malgun Gothic" w:hAnsi="Verdana" w:cs="Arial"/>
          <w:b w:val="0"/>
          <w:szCs w:val="22"/>
          <w:lang w:val="en-US"/>
        </w:rPr>
        <w:t>:</w:t>
      </w:r>
      <w:r>
        <w:rPr>
          <w:rFonts w:ascii="Verdana" w:eastAsia="Malgun Gothic" w:hAnsi="Verdana" w:cs="Arial"/>
          <w:b w:val="0"/>
          <w:szCs w:val="22"/>
          <w:lang w:val="en-US"/>
        </w:rPr>
        <w:t xml:space="preserve"> </w:t>
      </w:r>
      <w:r w:rsidRPr="00931164">
        <w:rPr>
          <w:rFonts w:ascii="Verdana" w:eastAsia="Malgun Gothic" w:hAnsi="Verdana" w:cs="Arial"/>
          <w:b w:val="0"/>
          <w:szCs w:val="22"/>
          <w:lang w:val="en-US"/>
        </w:rPr>
        <w:t xml:space="preserve"> </w:t>
      </w:r>
      <w:r w:rsidRPr="004D35AD">
        <w:rPr>
          <w:rFonts w:ascii="Verdana" w:eastAsia="Malgun Gothic" w:hAnsi="Verdana" w:cs="Arial"/>
          <w:szCs w:val="22"/>
          <w:lang w:val="en-US"/>
        </w:rPr>
        <w:t>20</w:t>
      </w:r>
      <w:r w:rsidRPr="002853F1">
        <w:rPr>
          <w:rFonts w:ascii="Verdana" w:eastAsia="Malgun Gothic" w:hAnsi="Verdana" w:cs="Arial"/>
          <w:szCs w:val="22"/>
          <w:lang w:val="en-US"/>
        </w:rPr>
        <w:t>2</w:t>
      </w:r>
      <w:r>
        <w:rPr>
          <w:rFonts w:ascii="Verdana" w:eastAsia="Malgun Gothic" w:hAnsi="Verdana" w:cs="Arial"/>
          <w:szCs w:val="22"/>
          <w:lang w:val="en-US"/>
        </w:rPr>
        <w:t>1</w:t>
      </w:r>
    </w:p>
    <w:p w14:paraId="4D006968" w14:textId="77777777" w:rsidR="00985D01" w:rsidRPr="00931164" w:rsidRDefault="00985D01" w:rsidP="00985D01">
      <w:pPr>
        <w:rPr>
          <w:rFonts w:ascii="Verdana" w:eastAsia="Malgun Gothic" w:hAnsi="Verdana" w:cs="Arial"/>
        </w:rPr>
      </w:pPr>
    </w:p>
    <w:p w14:paraId="23D8A016" w14:textId="77777777" w:rsidR="00985D01" w:rsidRPr="000E189C" w:rsidRDefault="00985D01" w:rsidP="00985D01">
      <w:pPr>
        <w:jc w:val="center"/>
        <w:rPr>
          <w:rFonts w:ascii="Verdana" w:eastAsia="Malgun Gothic" w:hAnsi="Verdana" w:cs="Arial"/>
          <w:b/>
        </w:rPr>
      </w:pPr>
      <w:r>
        <w:rPr>
          <w:rFonts w:ascii="Verdana" w:eastAsia="Malgun Gothic" w:hAnsi="Verdana" w:cs="Arial"/>
          <w:b/>
        </w:rPr>
        <w:t>At R</w:t>
      </w:r>
      <w:r w:rsidRPr="000E189C">
        <w:rPr>
          <w:rFonts w:ascii="Verdana" w:eastAsia="Malgun Gothic" w:hAnsi="Verdana" w:cs="Arial"/>
          <w:b/>
        </w:rPr>
        <w:t xml:space="preserve">isk of </w:t>
      </w:r>
      <w:r>
        <w:rPr>
          <w:rFonts w:ascii="Verdana" w:eastAsia="Malgun Gothic" w:hAnsi="Verdana" w:cs="Arial"/>
          <w:b/>
        </w:rPr>
        <w:t>P</w:t>
      </w:r>
      <w:r w:rsidRPr="000E189C">
        <w:rPr>
          <w:rFonts w:ascii="Verdana" w:eastAsia="Malgun Gothic" w:hAnsi="Verdana" w:cs="Arial"/>
          <w:b/>
        </w:rPr>
        <w:t xml:space="preserve">overty or </w:t>
      </w:r>
      <w:r>
        <w:rPr>
          <w:rFonts w:ascii="Verdana" w:eastAsia="Malgun Gothic" w:hAnsi="Verdana" w:cs="Arial"/>
          <w:b/>
        </w:rPr>
        <w:t>S</w:t>
      </w:r>
      <w:r w:rsidRPr="000E189C">
        <w:rPr>
          <w:rFonts w:ascii="Verdana" w:eastAsia="Malgun Gothic" w:hAnsi="Verdana" w:cs="Arial"/>
          <w:b/>
        </w:rPr>
        <w:t xml:space="preserve">ocial </w:t>
      </w:r>
      <w:r>
        <w:rPr>
          <w:rFonts w:ascii="Verdana" w:eastAsia="Malgun Gothic" w:hAnsi="Verdana" w:cs="Arial"/>
          <w:b/>
        </w:rPr>
        <w:t>E</w:t>
      </w:r>
      <w:r w:rsidRPr="000E189C">
        <w:rPr>
          <w:rFonts w:ascii="Verdana" w:eastAsia="Malgun Gothic" w:hAnsi="Verdana" w:cs="Arial"/>
          <w:b/>
        </w:rPr>
        <w:t xml:space="preserve">xclusion (AROPE) </w:t>
      </w:r>
      <w:r>
        <w:rPr>
          <w:rFonts w:ascii="Verdana" w:eastAsia="Malgun Gothic" w:hAnsi="Verdana" w:cs="Arial"/>
          <w:b/>
        </w:rPr>
        <w:t>17</w:t>
      </w:r>
      <w:r w:rsidRPr="000E189C">
        <w:rPr>
          <w:rFonts w:ascii="Verdana" w:eastAsia="Malgun Gothic" w:hAnsi="Verdana" w:cs="Arial"/>
          <w:b/>
        </w:rPr>
        <w:t>,</w:t>
      </w:r>
      <w:r>
        <w:rPr>
          <w:rFonts w:ascii="Verdana" w:eastAsia="Malgun Gothic" w:hAnsi="Verdana" w:cs="Arial"/>
          <w:b/>
        </w:rPr>
        <w:t>3</w:t>
      </w:r>
      <w:r w:rsidRPr="000E189C">
        <w:rPr>
          <w:rFonts w:ascii="Verdana" w:eastAsia="Malgun Gothic" w:hAnsi="Verdana" w:cs="Arial"/>
          <w:b/>
        </w:rPr>
        <w:t>%</w:t>
      </w:r>
    </w:p>
    <w:p w14:paraId="488235A6" w14:textId="77777777" w:rsidR="00985D01" w:rsidRPr="000E189C" w:rsidRDefault="00985D01" w:rsidP="00985D01">
      <w:pPr>
        <w:jc w:val="both"/>
        <w:rPr>
          <w:rFonts w:ascii="Verdana" w:hAnsi="Verdana" w:cs="Arial"/>
          <w:sz w:val="18"/>
          <w:szCs w:val="18"/>
        </w:rPr>
      </w:pPr>
    </w:p>
    <w:p w14:paraId="4650E9FC" w14:textId="77777777" w:rsidR="00985D01" w:rsidRDefault="00985D01" w:rsidP="00985D01">
      <w:pPr>
        <w:jc w:val="both"/>
        <w:rPr>
          <w:rFonts w:ascii="Verdana" w:hAnsi="Verdana" w:cs="Arial"/>
          <w:sz w:val="18"/>
          <w:szCs w:val="18"/>
        </w:rPr>
      </w:pPr>
    </w:p>
    <w:p w14:paraId="292D49BB" w14:textId="77777777" w:rsidR="00985D01" w:rsidRPr="00985D01" w:rsidRDefault="00985D01" w:rsidP="00985D01">
      <w:pPr>
        <w:jc w:val="both"/>
        <w:rPr>
          <w:rFonts w:ascii="Verdana" w:hAnsi="Verdana" w:cs="Arial"/>
          <w:sz w:val="18"/>
          <w:szCs w:val="18"/>
        </w:rPr>
      </w:pPr>
      <w:r w:rsidRPr="000E189C">
        <w:rPr>
          <w:rFonts w:ascii="Verdana" w:hAnsi="Verdana" w:cs="Arial"/>
          <w:sz w:val="18"/>
          <w:szCs w:val="18"/>
        </w:rPr>
        <w:t xml:space="preserve">According to the results of the </w:t>
      </w:r>
      <w:r>
        <w:rPr>
          <w:rFonts w:ascii="Verdana" w:hAnsi="Verdana" w:cs="Arial"/>
          <w:sz w:val="18"/>
          <w:szCs w:val="18"/>
        </w:rPr>
        <w:t>S</w:t>
      </w:r>
      <w:r w:rsidRPr="000E189C">
        <w:rPr>
          <w:rFonts w:ascii="Verdana" w:hAnsi="Verdana" w:cs="Arial"/>
          <w:sz w:val="18"/>
          <w:szCs w:val="18"/>
        </w:rPr>
        <w:t xml:space="preserve">urvey on Income </w:t>
      </w:r>
      <w:r w:rsidRPr="004D35AD">
        <w:rPr>
          <w:rFonts w:ascii="Verdana" w:hAnsi="Verdana" w:cs="Arial"/>
          <w:sz w:val="18"/>
          <w:szCs w:val="18"/>
        </w:rPr>
        <w:t>and Living Conditions 20</w:t>
      </w:r>
      <w:r>
        <w:rPr>
          <w:rFonts w:ascii="Verdana" w:hAnsi="Verdana" w:cs="Arial"/>
          <w:sz w:val="18"/>
          <w:szCs w:val="18"/>
        </w:rPr>
        <w:t>21</w:t>
      </w:r>
      <w:r w:rsidRPr="004D35AD">
        <w:rPr>
          <w:rFonts w:ascii="Verdana" w:hAnsi="Verdana" w:cs="Arial"/>
          <w:sz w:val="18"/>
          <w:szCs w:val="18"/>
        </w:rPr>
        <w:t>,</w:t>
      </w:r>
      <w:r>
        <w:rPr>
          <w:rFonts w:ascii="Verdana" w:hAnsi="Verdana" w:cs="Arial"/>
          <w:sz w:val="18"/>
          <w:szCs w:val="18"/>
        </w:rPr>
        <w:t xml:space="preserve"> with income reference period the</w:t>
      </w:r>
      <w:r w:rsidRPr="000E189C">
        <w:rPr>
          <w:rFonts w:ascii="Verdana" w:hAnsi="Verdana" w:cs="Arial"/>
          <w:sz w:val="18"/>
          <w:szCs w:val="18"/>
        </w:rPr>
        <w:t xml:space="preserve"> year 20</w:t>
      </w:r>
      <w:r>
        <w:rPr>
          <w:rFonts w:ascii="Verdana" w:hAnsi="Verdana" w:cs="Arial"/>
          <w:sz w:val="18"/>
          <w:szCs w:val="18"/>
        </w:rPr>
        <w:t>20</w:t>
      </w:r>
      <w:r w:rsidRPr="000E189C">
        <w:rPr>
          <w:rFonts w:ascii="Verdana" w:hAnsi="Verdana" w:cs="Arial"/>
          <w:sz w:val="18"/>
          <w:szCs w:val="18"/>
        </w:rPr>
        <w:t xml:space="preserve">, </w:t>
      </w:r>
      <w:r>
        <w:rPr>
          <w:rFonts w:ascii="Verdana" w:hAnsi="Verdana" w:cs="Arial"/>
          <w:sz w:val="18"/>
          <w:szCs w:val="18"/>
        </w:rPr>
        <w:t>17</w:t>
      </w:r>
      <w:r w:rsidRPr="000E189C">
        <w:rPr>
          <w:rFonts w:ascii="Verdana" w:hAnsi="Verdana" w:cs="Arial"/>
          <w:sz w:val="18"/>
          <w:szCs w:val="18"/>
        </w:rPr>
        <w:t>,</w:t>
      </w:r>
      <w:r>
        <w:rPr>
          <w:rFonts w:ascii="Verdana" w:hAnsi="Verdana" w:cs="Arial"/>
          <w:sz w:val="18"/>
          <w:szCs w:val="18"/>
        </w:rPr>
        <w:t>3</w:t>
      </w:r>
      <w:r w:rsidRPr="000E189C">
        <w:rPr>
          <w:rFonts w:ascii="Verdana" w:hAnsi="Verdana" w:cs="Arial"/>
          <w:sz w:val="18"/>
          <w:szCs w:val="18"/>
        </w:rPr>
        <w:t xml:space="preserve">% of the population or </w:t>
      </w:r>
      <w:r>
        <w:rPr>
          <w:rFonts w:ascii="Verdana" w:hAnsi="Verdana" w:cs="Arial"/>
          <w:sz w:val="18"/>
          <w:szCs w:val="18"/>
        </w:rPr>
        <w:t>154.000</w:t>
      </w:r>
      <w:r w:rsidRPr="000E189C">
        <w:rPr>
          <w:rFonts w:ascii="Verdana" w:hAnsi="Verdana" w:cs="Arial"/>
          <w:sz w:val="18"/>
          <w:szCs w:val="18"/>
        </w:rPr>
        <w:t xml:space="preserve"> persons were at risk of poverty or social exclusion (AROPE indicator,</w:t>
      </w:r>
      <w:r w:rsidRPr="00837B3A">
        <w:t xml:space="preserve"> </w:t>
      </w:r>
      <w:r w:rsidRPr="00837B3A">
        <w:rPr>
          <w:rFonts w:ascii="Verdana" w:hAnsi="Verdana" w:cs="Arial"/>
          <w:sz w:val="18"/>
          <w:szCs w:val="18"/>
        </w:rPr>
        <w:t>the main indicator to monitor the EU 2030 target on poverty and social exclusion</w:t>
      </w:r>
      <w:r w:rsidRPr="000E189C">
        <w:rPr>
          <w:rFonts w:ascii="Verdana" w:hAnsi="Verdana" w:cs="Arial"/>
          <w:sz w:val="18"/>
          <w:szCs w:val="18"/>
        </w:rPr>
        <w:t xml:space="preserve">). Namely, </w:t>
      </w:r>
      <w:r>
        <w:rPr>
          <w:rFonts w:ascii="Verdana" w:hAnsi="Verdana" w:cs="Arial"/>
          <w:sz w:val="18"/>
          <w:szCs w:val="18"/>
        </w:rPr>
        <w:t>17</w:t>
      </w:r>
      <w:r w:rsidRPr="000E189C">
        <w:rPr>
          <w:rFonts w:ascii="Verdana" w:hAnsi="Verdana" w:cs="Arial"/>
          <w:sz w:val="18"/>
          <w:szCs w:val="18"/>
        </w:rPr>
        <w:t>,</w:t>
      </w:r>
      <w:r>
        <w:rPr>
          <w:rFonts w:ascii="Verdana" w:hAnsi="Verdana" w:cs="Arial"/>
          <w:sz w:val="18"/>
          <w:szCs w:val="18"/>
        </w:rPr>
        <w:t>3</w:t>
      </w:r>
      <w:r w:rsidRPr="0095137E">
        <w:rPr>
          <w:rFonts w:ascii="Verdana" w:hAnsi="Verdana" w:cs="Arial"/>
          <w:sz w:val="18"/>
          <w:szCs w:val="18"/>
        </w:rPr>
        <w:t>%</w:t>
      </w:r>
      <w:r w:rsidRPr="000E189C">
        <w:rPr>
          <w:rFonts w:ascii="Verdana" w:hAnsi="Verdana" w:cs="Arial"/>
          <w:sz w:val="18"/>
          <w:szCs w:val="18"/>
        </w:rPr>
        <w:t xml:space="preserve"> of the population was living in households whose disposable income was below the </w:t>
      </w:r>
      <w:r>
        <w:rPr>
          <w:rFonts w:ascii="Verdana" w:hAnsi="Verdana" w:cs="Arial"/>
          <w:sz w:val="18"/>
          <w:szCs w:val="18"/>
        </w:rPr>
        <w:t>at-risk-of-poverty threshold or</w:t>
      </w:r>
      <w:r w:rsidRPr="00837B3A">
        <w:rPr>
          <w:rFonts w:ascii="Verdana" w:hAnsi="Verdana" w:cs="Arial"/>
          <w:sz w:val="18"/>
          <w:szCs w:val="18"/>
        </w:rPr>
        <w:t xml:space="preserve"> was severely materially and socially deprived </w:t>
      </w:r>
      <w:r w:rsidRPr="005379FF">
        <w:rPr>
          <w:rFonts w:ascii="Verdana" w:hAnsi="Verdana" w:cs="Arial"/>
          <w:sz w:val="18"/>
          <w:szCs w:val="18"/>
        </w:rPr>
        <w:t>or was living in households with very low work intensity. This indicator exhibited a</w:t>
      </w:r>
      <w:r>
        <w:rPr>
          <w:rFonts w:ascii="Verdana" w:hAnsi="Verdana" w:cs="Arial"/>
          <w:sz w:val="18"/>
          <w:szCs w:val="18"/>
        </w:rPr>
        <w:t xml:space="preserve"> minor</w:t>
      </w:r>
      <w:r w:rsidRPr="005379FF">
        <w:rPr>
          <w:rFonts w:ascii="Verdana" w:hAnsi="Verdana" w:cs="Arial"/>
          <w:sz w:val="18"/>
          <w:szCs w:val="18"/>
        </w:rPr>
        <w:t xml:space="preserve"> improvement in comparison with the previous year </w:t>
      </w:r>
      <w:r>
        <w:rPr>
          <w:rFonts w:ascii="Verdana" w:hAnsi="Verdana" w:cs="Arial"/>
          <w:sz w:val="18"/>
          <w:szCs w:val="18"/>
        </w:rPr>
        <w:t>when it stood at</w:t>
      </w:r>
      <w:r w:rsidRPr="005379FF">
        <w:rPr>
          <w:rFonts w:ascii="Verdana" w:hAnsi="Verdana" w:cs="Arial"/>
          <w:sz w:val="18"/>
          <w:szCs w:val="18"/>
        </w:rPr>
        <w:t xml:space="preserve"> </w:t>
      </w:r>
      <w:r>
        <w:rPr>
          <w:rFonts w:ascii="Verdana" w:hAnsi="Verdana" w:cs="Arial"/>
          <w:sz w:val="18"/>
          <w:szCs w:val="18"/>
        </w:rPr>
        <w:t>17</w:t>
      </w:r>
      <w:r w:rsidRPr="005379FF">
        <w:rPr>
          <w:rFonts w:ascii="Verdana" w:hAnsi="Verdana" w:cs="Arial"/>
          <w:sz w:val="18"/>
          <w:szCs w:val="18"/>
        </w:rPr>
        <w:t>,</w:t>
      </w:r>
      <w:r>
        <w:rPr>
          <w:rFonts w:ascii="Verdana" w:hAnsi="Verdana" w:cs="Arial"/>
          <w:sz w:val="18"/>
          <w:szCs w:val="18"/>
        </w:rPr>
        <w:t>6</w:t>
      </w:r>
      <w:r w:rsidRPr="005379FF">
        <w:rPr>
          <w:rFonts w:ascii="Verdana" w:hAnsi="Verdana" w:cs="Arial"/>
          <w:sz w:val="18"/>
          <w:szCs w:val="18"/>
        </w:rPr>
        <w:t xml:space="preserve">%, continuing its downward trend of the recent years. This improvement is reflected </w:t>
      </w:r>
      <w:r>
        <w:rPr>
          <w:rFonts w:ascii="Verdana" w:hAnsi="Verdana" w:cs="Arial"/>
          <w:sz w:val="18"/>
          <w:szCs w:val="18"/>
        </w:rPr>
        <w:t xml:space="preserve">exclusively </w:t>
      </w:r>
      <w:r w:rsidRPr="005379FF">
        <w:rPr>
          <w:rFonts w:ascii="Verdana" w:hAnsi="Verdana" w:cs="Arial"/>
          <w:sz w:val="18"/>
          <w:szCs w:val="18"/>
        </w:rPr>
        <w:t>in the percentage</w:t>
      </w:r>
      <w:r>
        <w:rPr>
          <w:rFonts w:ascii="Verdana" w:hAnsi="Verdana" w:cs="Arial"/>
          <w:sz w:val="18"/>
          <w:szCs w:val="18"/>
        </w:rPr>
        <w:t xml:space="preserve"> of</w:t>
      </w:r>
      <w:r w:rsidRPr="005379FF">
        <w:rPr>
          <w:rFonts w:ascii="Verdana" w:hAnsi="Verdana" w:cs="Arial"/>
          <w:sz w:val="18"/>
          <w:szCs w:val="18"/>
        </w:rPr>
        <w:t xml:space="preserve"> men</w:t>
      </w:r>
      <w:r>
        <w:rPr>
          <w:rFonts w:ascii="Verdana" w:hAnsi="Verdana" w:cs="Arial"/>
          <w:sz w:val="18"/>
          <w:szCs w:val="18"/>
        </w:rPr>
        <w:t xml:space="preserve"> (15,8%), as the percentage of </w:t>
      </w:r>
      <w:proofErr w:type="gramStart"/>
      <w:r w:rsidRPr="005379FF">
        <w:rPr>
          <w:rFonts w:ascii="Verdana" w:hAnsi="Verdana" w:cs="Arial"/>
          <w:sz w:val="18"/>
          <w:szCs w:val="18"/>
        </w:rPr>
        <w:t>women</w:t>
      </w:r>
      <w:r>
        <w:rPr>
          <w:rFonts w:ascii="Verdana" w:hAnsi="Verdana" w:cs="Arial"/>
          <w:sz w:val="18"/>
          <w:szCs w:val="18"/>
        </w:rPr>
        <w:t xml:space="preserve">  remained</w:t>
      </w:r>
      <w:proofErr w:type="gramEnd"/>
      <w:r>
        <w:rPr>
          <w:rFonts w:ascii="Verdana" w:hAnsi="Verdana" w:cs="Arial"/>
          <w:sz w:val="18"/>
          <w:szCs w:val="18"/>
        </w:rPr>
        <w:t xml:space="preserve"> </w:t>
      </w:r>
      <w:r>
        <w:rPr>
          <w:rFonts w:ascii="Verdana" w:hAnsi="Verdana" w:cs="Arial"/>
          <w:sz w:val="18"/>
          <w:szCs w:val="18"/>
          <w:lang w:val="en-GB"/>
        </w:rPr>
        <w:t>almost</w:t>
      </w:r>
      <w:r>
        <w:rPr>
          <w:rFonts w:ascii="Verdana" w:hAnsi="Verdana" w:cs="Arial"/>
          <w:sz w:val="18"/>
          <w:szCs w:val="18"/>
        </w:rPr>
        <w:t xml:space="preserve"> at the same level (18.7%) as the previous year. T</w:t>
      </w:r>
      <w:r w:rsidRPr="000E189C">
        <w:rPr>
          <w:rFonts w:ascii="Verdana" w:hAnsi="Verdana" w:cs="Arial"/>
          <w:sz w:val="18"/>
          <w:szCs w:val="18"/>
        </w:rPr>
        <w:t>hroughout the years</w:t>
      </w:r>
      <w:r>
        <w:rPr>
          <w:rFonts w:ascii="Verdana" w:hAnsi="Verdana" w:cs="Arial"/>
          <w:sz w:val="18"/>
          <w:szCs w:val="18"/>
        </w:rPr>
        <w:t xml:space="preserve">, </w:t>
      </w:r>
      <w:r w:rsidRPr="000E189C">
        <w:rPr>
          <w:rFonts w:ascii="Verdana" w:hAnsi="Verdana" w:cs="Arial"/>
          <w:sz w:val="18"/>
          <w:szCs w:val="18"/>
        </w:rPr>
        <w:t xml:space="preserve">women </w:t>
      </w:r>
      <w:r>
        <w:rPr>
          <w:rFonts w:ascii="Verdana" w:hAnsi="Verdana" w:cs="Arial"/>
          <w:sz w:val="18"/>
          <w:szCs w:val="18"/>
        </w:rPr>
        <w:t xml:space="preserve">are </w:t>
      </w:r>
      <w:r w:rsidRPr="000E189C">
        <w:rPr>
          <w:rFonts w:ascii="Verdana" w:hAnsi="Verdana" w:cs="Arial"/>
          <w:sz w:val="18"/>
          <w:szCs w:val="18"/>
        </w:rPr>
        <w:t>maintaining their unfavorable p</w:t>
      </w:r>
      <w:r>
        <w:rPr>
          <w:rFonts w:ascii="Verdana" w:hAnsi="Verdana" w:cs="Arial"/>
          <w:sz w:val="18"/>
          <w:szCs w:val="18"/>
        </w:rPr>
        <w:t>osition in respect to men. Chart</w:t>
      </w:r>
      <w:r w:rsidRPr="000E189C">
        <w:rPr>
          <w:rFonts w:ascii="Verdana" w:hAnsi="Verdana" w:cs="Arial"/>
          <w:sz w:val="18"/>
          <w:szCs w:val="18"/>
        </w:rPr>
        <w:t xml:space="preserve"> 1 shows the evolution of this indicator in the years 20</w:t>
      </w:r>
      <w:r>
        <w:rPr>
          <w:rFonts w:ascii="Verdana" w:hAnsi="Verdana" w:cs="Arial"/>
          <w:sz w:val="18"/>
          <w:szCs w:val="18"/>
        </w:rPr>
        <w:t>15</w:t>
      </w:r>
      <w:r w:rsidRPr="000E189C">
        <w:rPr>
          <w:rFonts w:ascii="Verdana" w:hAnsi="Verdana" w:cs="Arial"/>
          <w:sz w:val="18"/>
          <w:szCs w:val="18"/>
        </w:rPr>
        <w:t xml:space="preserve"> to 20</w:t>
      </w:r>
      <w:r>
        <w:rPr>
          <w:rFonts w:ascii="Verdana" w:hAnsi="Verdana" w:cs="Arial"/>
          <w:sz w:val="18"/>
          <w:szCs w:val="18"/>
        </w:rPr>
        <w:t>21</w:t>
      </w:r>
      <w:r w:rsidRPr="000E189C">
        <w:rPr>
          <w:rFonts w:ascii="Verdana" w:hAnsi="Verdana" w:cs="Arial"/>
          <w:sz w:val="18"/>
          <w:szCs w:val="18"/>
        </w:rPr>
        <w:t>.</w:t>
      </w:r>
    </w:p>
    <w:p w14:paraId="497254F6" w14:textId="77777777" w:rsidR="00985D01" w:rsidRPr="00985D01" w:rsidRDefault="00985D01" w:rsidP="00985D01">
      <w:pPr>
        <w:jc w:val="center"/>
        <w:rPr>
          <w:rFonts w:ascii="Verdana" w:hAnsi="Verdana" w:cs="Arial"/>
          <w:sz w:val="18"/>
          <w:szCs w:val="18"/>
        </w:rPr>
      </w:pPr>
    </w:p>
    <w:p w14:paraId="42324CE4" w14:textId="77777777" w:rsidR="00985D01" w:rsidRPr="00985D01" w:rsidRDefault="00985D01" w:rsidP="00985D01">
      <w:pPr>
        <w:jc w:val="center"/>
        <w:rPr>
          <w:rFonts w:ascii="Verdana" w:hAnsi="Verdana" w:cs="Arial"/>
          <w:sz w:val="18"/>
          <w:szCs w:val="18"/>
        </w:rPr>
      </w:pPr>
    </w:p>
    <w:p w14:paraId="1EBC9368" w14:textId="70269B3C" w:rsidR="00985D01" w:rsidRPr="003A2F0B" w:rsidRDefault="00985D01" w:rsidP="00985D01">
      <w:pPr>
        <w:jc w:val="center"/>
        <w:rPr>
          <w:rFonts w:ascii="Verdana" w:hAnsi="Verdana" w:cs="Arial"/>
          <w:sz w:val="18"/>
          <w:szCs w:val="18"/>
          <w:lang w:val="el-GR"/>
        </w:rPr>
      </w:pPr>
      <w:r>
        <w:rPr>
          <w:rFonts w:ascii="Verdana" w:hAnsi="Verdana" w:cs="Arial"/>
          <w:noProof/>
          <w:sz w:val="18"/>
          <w:szCs w:val="18"/>
          <w:lang w:val="el-GR" w:eastAsia="el-GR"/>
        </w:rPr>
        <w:drawing>
          <wp:inline distT="0" distB="0" distL="0" distR="0" wp14:anchorId="22298106" wp14:editId="64A6DAD9">
            <wp:extent cx="5882640" cy="413766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2640" cy="4137660"/>
                    </a:xfrm>
                    <a:prstGeom prst="rect">
                      <a:avLst/>
                    </a:prstGeom>
                    <a:noFill/>
                  </pic:spPr>
                </pic:pic>
              </a:graphicData>
            </a:graphic>
          </wp:inline>
        </w:drawing>
      </w:r>
    </w:p>
    <w:p w14:paraId="436FC8AF" w14:textId="77777777" w:rsidR="00985D01" w:rsidRDefault="00985D01" w:rsidP="00985D01">
      <w:pPr>
        <w:jc w:val="center"/>
        <w:rPr>
          <w:rFonts w:ascii="Verdana" w:hAnsi="Verdana" w:cs="Arial"/>
          <w:sz w:val="18"/>
          <w:szCs w:val="18"/>
        </w:rPr>
      </w:pPr>
    </w:p>
    <w:p w14:paraId="3272BB7D" w14:textId="77777777" w:rsidR="00985D01" w:rsidRDefault="00985D01" w:rsidP="00985D01">
      <w:pPr>
        <w:jc w:val="center"/>
        <w:rPr>
          <w:rFonts w:ascii="Verdana" w:eastAsia="Malgun Gothic" w:hAnsi="Verdana" w:cs="Arial"/>
          <w:sz w:val="18"/>
          <w:szCs w:val="18"/>
        </w:rPr>
      </w:pPr>
    </w:p>
    <w:p w14:paraId="66077294" w14:textId="77777777" w:rsidR="00985D01" w:rsidRPr="00980A5B" w:rsidRDefault="00985D01" w:rsidP="00985D01">
      <w:pPr>
        <w:jc w:val="center"/>
        <w:rPr>
          <w:rFonts w:ascii="Verdana" w:eastAsia="Malgun Gothic" w:hAnsi="Verdana" w:cs="Arial"/>
          <w:sz w:val="18"/>
          <w:szCs w:val="18"/>
        </w:rPr>
      </w:pPr>
    </w:p>
    <w:p w14:paraId="768F830C" w14:textId="77777777" w:rsidR="00985D01" w:rsidRPr="000E189C" w:rsidRDefault="00985D01" w:rsidP="00985D01">
      <w:pPr>
        <w:jc w:val="both"/>
        <w:rPr>
          <w:rFonts w:ascii="Verdana" w:eastAsia="Malgun Gothic" w:hAnsi="Verdana" w:cs="Arial"/>
          <w:b/>
          <w:sz w:val="18"/>
          <w:szCs w:val="18"/>
          <w:u w:val="single"/>
        </w:rPr>
      </w:pPr>
      <w:r>
        <w:rPr>
          <w:rFonts w:ascii="Verdana" w:eastAsia="Malgun Gothic" w:hAnsi="Verdana" w:cs="Arial"/>
          <w:b/>
          <w:sz w:val="18"/>
          <w:szCs w:val="18"/>
          <w:u w:val="single"/>
        </w:rPr>
        <w:lastRenderedPageBreak/>
        <w:t>At-R</w:t>
      </w:r>
      <w:r w:rsidRPr="000E189C">
        <w:rPr>
          <w:rFonts w:ascii="Verdana" w:eastAsia="Malgun Gothic" w:hAnsi="Verdana" w:cs="Arial"/>
          <w:b/>
          <w:sz w:val="18"/>
          <w:szCs w:val="18"/>
          <w:u w:val="single"/>
        </w:rPr>
        <w:t>isk</w:t>
      </w:r>
      <w:r>
        <w:rPr>
          <w:rFonts w:ascii="Verdana" w:eastAsia="Malgun Gothic" w:hAnsi="Verdana" w:cs="Arial"/>
          <w:b/>
          <w:sz w:val="18"/>
          <w:szCs w:val="18"/>
          <w:u w:val="single"/>
        </w:rPr>
        <w:t>-</w:t>
      </w:r>
      <w:r w:rsidRPr="000E189C">
        <w:rPr>
          <w:rFonts w:ascii="Verdana" w:eastAsia="Malgun Gothic" w:hAnsi="Verdana" w:cs="Arial"/>
          <w:b/>
          <w:sz w:val="18"/>
          <w:szCs w:val="18"/>
          <w:u w:val="single"/>
        </w:rPr>
        <w:t>of</w:t>
      </w:r>
      <w:r>
        <w:rPr>
          <w:rFonts w:ascii="Verdana" w:eastAsia="Malgun Gothic" w:hAnsi="Verdana" w:cs="Arial"/>
          <w:b/>
          <w:sz w:val="18"/>
          <w:szCs w:val="18"/>
          <w:u w:val="single"/>
        </w:rPr>
        <w:t>-P</w:t>
      </w:r>
      <w:r w:rsidRPr="000E189C">
        <w:rPr>
          <w:rFonts w:ascii="Verdana" w:eastAsia="Malgun Gothic" w:hAnsi="Verdana" w:cs="Arial"/>
          <w:b/>
          <w:sz w:val="18"/>
          <w:szCs w:val="18"/>
          <w:u w:val="single"/>
        </w:rPr>
        <w:t xml:space="preserve">overty </w:t>
      </w:r>
      <w:r>
        <w:rPr>
          <w:rFonts w:ascii="Verdana" w:eastAsia="Malgun Gothic" w:hAnsi="Verdana" w:cs="Arial"/>
          <w:b/>
          <w:sz w:val="18"/>
          <w:szCs w:val="18"/>
          <w:u w:val="single"/>
        </w:rPr>
        <w:t>I</w:t>
      </w:r>
      <w:r w:rsidRPr="000E189C">
        <w:rPr>
          <w:rFonts w:ascii="Verdana" w:eastAsia="Malgun Gothic" w:hAnsi="Verdana" w:cs="Arial"/>
          <w:b/>
          <w:sz w:val="18"/>
          <w:szCs w:val="18"/>
          <w:u w:val="single"/>
        </w:rPr>
        <w:t xml:space="preserve">ndicator (AROP) </w:t>
      </w:r>
    </w:p>
    <w:p w14:paraId="7AA35EFD" w14:textId="77777777" w:rsidR="00985D01" w:rsidRDefault="00985D01" w:rsidP="00985D01">
      <w:pPr>
        <w:jc w:val="both"/>
        <w:rPr>
          <w:rFonts w:ascii="Verdana" w:eastAsia="Malgun Gothic" w:hAnsi="Verdana" w:cs="Arial"/>
          <w:sz w:val="18"/>
          <w:szCs w:val="18"/>
        </w:rPr>
      </w:pPr>
    </w:p>
    <w:p w14:paraId="688004DF" w14:textId="77777777" w:rsidR="00985D01" w:rsidRPr="000E189C" w:rsidRDefault="00985D01" w:rsidP="00985D01">
      <w:pPr>
        <w:jc w:val="both"/>
        <w:rPr>
          <w:rFonts w:ascii="Verdana" w:eastAsia="Malgun Gothic" w:hAnsi="Verdana" w:cs="Arial"/>
          <w:sz w:val="18"/>
          <w:szCs w:val="18"/>
        </w:rPr>
      </w:pPr>
      <w:r w:rsidRPr="000E189C">
        <w:rPr>
          <w:rFonts w:ascii="Verdana" w:eastAsia="Malgun Gothic" w:hAnsi="Verdana" w:cs="Arial"/>
          <w:sz w:val="18"/>
          <w:szCs w:val="18"/>
        </w:rPr>
        <w:t>The percentage of the population that was at</w:t>
      </w:r>
      <w:r>
        <w:rPr>
          <w:rFonts w:ascii="Verdana" w:eastAsia="Malgun Gothic" w:hAnsi="Verdana" w:cs="Arial"/>
          <w:sz w:val="18"/>
          <w:szCs w:val="18"/>
        </w:rPr>
        <w:t xml:space="preserve"> </w:t>
      </w:r>
      <w:r w:rsidRPr="000E189C">
        <w:rPr>
          <w:rFonts w:ascii="Verdana" w:eastAsia="Malgun Gothic" w:hAnsi="Verdana" w:cs="Arial"/>
          <w:sz w:val="18"/>
          <w:szCs w:val="18"/>
        </w:rPr>
        <w:t>risk</w:t>
      </w:r>
      <w:r>
        <w:rPr>
          <w:rFonts w:ascii="Verdana" w:eastAsia="Malgun Gothic" w:hAnsi="Verdana" w:cs="Arial"/>
          <w:sz w:val="18"/>
          <w:szCs w:val="18"/>
        </w:rPr>
        <w:t xml:space="preserve"> </w:t>
      </w:r>
      <w:r w:rsidRPr="000E189C">
        <w:rPr>
          <w:rFonts w:ascii="Verdana" w:eastAsia="Malgun Gothic" w:hAnsi="Verdana" w:cs="Arial"/>
          <w:sz w:val="18"/>
          <w:szCs w:val="18"/>
        </w:rPr>
        <w:t>of</w:t>
      </w:r>
      <w:r>
        <w:rPr>
          <w:rFonts w:ascii="Verdana" w:eastAsia="Malgun Gothic" w:hAnsi="Verdana" w:cs="Arial"/>
          <w:sz w:val="18"/>
          <w:szCs w:val="18"/>
        </w:rPr>
        <w:t xml:space="preserve"> </w:t>
      </w:r>
      <w:r w:rsidRPr="000E189C">
        <w:rPr>
          <w:rFonts w:ascii="Verdana" w:eastAsia="Malgun Gothic" w:hAnsi="Verdana" w:cs="Arial"/>
          <w:sz w:val="18"/>
          <w:szCs w:val="18"/>
        </w:rPr>
        <w:t xml:space="preserve">poverty, meaning that its disposable income was below the at-risk-of-poverty threshold, exhibited </w:t>
      </w:r>
      <w:r w:rsidRPr="004D35AD">
        <w:rPr>
          <w:rFonts w:ascii="Verdana" w:eastAsia="Malgun Gothic" w:hAnsi="Verdana" w:cs="Arial"/>
          <w:sz w:val="18"/>
          <w:szCs w:val="18"/>
          <w:lang w:val="en-GB"/>
        </w:rPr>
        <w:t xml:space="preserve">a </w:t>
      </w:r>
      <w:r>
        <w:rPr>
          <w:rFonts w:ascii="Verdana" w:eastAsia="Malgun Gothic" w:hAnsi="Verdana" w:cs="Arial"/>
          <w:sz w:val="18"/>
          <w:szCs w:val="18"/>
        </w:rPr>
        <w:t xml:space="preserve">slight </w:t>
      </w:r>
      <w:r w:rsidRPr="004D35AD">
        <w:rPr>
          <w:rFonts w:ascii="Verdana" w:eastAsia="Malgun Gothic" w:hAnsi="Verdana" w:cs="Arial"/>
          <w:sz w:val="18"/>
          <w:szCs w:val="18"/>
        </w:rPr>
        <w:t>decrease</w:t>
      </w:r>
      <w:r w:rsidRPr="000E189C">
        <w:rPr>
          <w:rFonts w:ascii="Verdana" w:eastAsia="Malgun Gothic" w:hAnsi="Verdana" w:cs="Arial"/>
          <w:sz w:val="18"/>
          <w:szCs w:val="18"/>
        </w:rPr>
        <w:t xml:space="preserve">, reaching </w:t>
      </w:r>
      <w:r>
        <w:rPr>
          <w:rFonts w:ascii="Verdana" w:eastAsia="Malgun Gothic" w:hAnsi="Verdana" w:cs="Arial"/>
          <w:sz w:val="18"/>
          <w:szCs w:val="18"/>
        </w:rPr>
        <w:t>13</w:t>
      </w:r>
      <w:r w:rsidRPr="000E189C">
        <w:rPr>
          <w:rFonts w:ascii="Verdana" w:eastAsia="Malgun Gothic" w:hAnsi="Verdana" w:cs="Arial"/>
          <w:sz w:val="18"/>
          <w:szCs w:val="18"/>
        </w:rPr>
        <w:t>,</w:t>
      </w:r>
      <w:r>
        <w:rPr>
          <w:rFonts w:ascii="Verdana" w:eastAsia="Malgun Gothic" w:hAnsi="Verdana" w:cs="Arial"/>
          <w:sz w:val="18"/>
          <w:szCs w:val="18"/>
        </w:rPr>
        <w:t>8</w:t>
      </w:r>
      <w:r w:rsidRPr="000E189C">
        <w:rPr>
          <w:rFonts w:ascii="Verdana" w:eastAsia="Malgun Gothic" w:hAnsi="Verdana" w:cs="Arial"/>
          <w:sz w:val="18"/>
          <w:szCs w:val="18"/>
        </w:rPr>
        <w:t xml:space="preserve">% in respect to </w:t>
      </w:r>
      <w:r>
        <w:rPr>
          <w:rFonts w:ascii="Verdana" w:eastAsia="Malgun Gothic" w:hAnsi="Verdana" w:cs="Arial"/>
          <w:sz w:val="18"/>
          <w:szCs w:val="18"/>
        </w:rPr>
        <w:t>14,3</w:t>
      </w:r>
      <w:r w:rsidRPr="000E189C">
        <w:rPr>
          <w:rFonts w:ascii="Verdana" w:eastAsia="Malgun Gothic" w:hAnsi="Verdana" w:cs="Arial"/>
          <w:sz w:val="18"/>
          <w:szCs w:val="18"/>
        </w:rPr>
        <w:t>% that was in 20</w:t>
      </w:r>
      <w:r>
        <w:rPr>
          <w:rFonts w:ascii="Verdana" w:eastAsia="Malgun Gothic" w:hAnsi="Verdana" w:cs="Arial"/>
          <w:sz w:val="18"/>
          <w:szCs w:val="18"/>
        </w:rPr>
        <w:t>20</w:t>
      </w:r>
      <w:r w:rsidRPr="005A5AB7">
        <w:rPr>
          <w:rFonts w:ascii="Verdana" w:eastAsia="Malgun Gothic" w:hAnsi="Verdana" w:cs="Arial"/>
          <w:sz w:val="18"/>
          <w:szCs w:val="18"/>
        </w:rPr>
        <w:t>. The highest percentage that this indicator has ever reached was 16,2% in 2015.  The</w:t>
      </w:r>
      <w:r w:rsidRPr="000E189C">
        <w:rPr>
          <w:rFonts w:ascii="Verdana" w:eastAsia="Malgun Gothic" w:hAnsi="Verdana" w:cs="Arial"/>
          <w:sz w:val="18"/>
          <w:szCs w:val="18"/>
        </w:rPr>
        <w:t xml:space="preserve"> at-risk-of-poverty threshold </w:t>
      </w:r>
      <w:r>
        <w:rPr>
          <w:rFonts w:ascii="Verdana" w:eastAsia="Malgun Gothic" w:hAnsi="Verdana" w:cs="Arial"/>
          <w:sz w:val="18"/>
          <w:szCs w:val="18"/>
        </w:rPr>
        <w:t xml:space="preserve">remained </w:t>
      </w:r>
      <w:r>
        <w:rPr>
          <w:rFonts w:ascii="Verdana" w:eastAsia="Malgun Gothic" w:hAnsi="Verdana" w:cs="Arial"/>
          <w:sz w:val="18"/>
          <w:szCs w:val="18"/>
          <w:lang w:val="en-GB"/>
        </w:rPr>
        <w:t xml:space="preserve">nearly unchanged between the years 2021 and 2020, </w:t>
      </w:r>
      <w:r>
        <w:rPr>
          <w:rFonts w:ascii="Verdana" w:eastAsia="Malgun Gothic" w:hAnsi="Verdana" w:cs="Arial"/>
          <w:sz w:val="18"/>
          <w:szCs w:val="18"/>
        </w:rPr>
        <w:t xml:space="preserve">reaching </w:t>
      </w:r>
      <w:r w:rsidRPr="000E189C">
        <w:rPr>
          <w:rFonts w:ascii="Verdana" w:eastAsia="Malgun Gothic" w:hAnsi="Verdana" w:cs="Arial"/>
          <w:sz w:val="18"/>
          <w:szCs w:val="18"/>
        </w:rPr>
        <w:t>€</w:t>
      </w:r>
      <w:r>
        <w:rPr>
          <w:rFonts w:ascii="Verdana" w:eastAsia="Malgun Gothic" w:hAnsi="Verdana" w:cs="Arial"/>
          <w:sz w:val="18"/>
          <w:szCs w:val="18"/>
        </w:rPr>
        <w:t>10.011</w:t>
      </w:r>
      <w:r w:rsidRPr="000E189C">
        <w:rPr>
          <w:rFonts w:ascii="Verdana" w:eastAsia="Malgun Gothic" w:hAnsi="Verdana" w:cs="Arial"/>
          <w:sz w:val="18"/>
          <w:szCs w:val="18"/>
        </w:rPr>
        <w:t xml:space="preserve"> for single person households </w:t>
      </w:r>
      <w:r>
        <w:rPr>
          <w:rFonts w:ascii="Verdana" w:eastAsia="Malgun Gothic" w:hAnsi="Verdana" w:cs="Arial"/>
          <w:sz w:val="18"/>
          <w:szCs w:val="18"/>
        </w:rPr>
        <w:t>in 2021 compared to</w:t>
      </w:r>
      <w:r w:rsidRPr="000E189C">
        <w:rPr>
          <w:rFonts w:ascii="Verdana" w:eastAsia="Malgun Gothic" w:hAnsi="Verdana" w:cs="Arial"/>
          <w:sz w:val="18"/>
          <w:szCs w:val="18"/>
        </w:rPr>
        <w:t xml:space="preserve"> €</w:t>
      </w:r>
      <w:r>
        <w:rPr>
          <w:rFonts w:ascii="Verdana" w:eastAsia="Malgun Gothic" w:hAnsi="Verdana" w:cs="Arial"/>
          <w:sz w:val="18"/>
          <w:szCs w:val="18"/>
        </w:rPr>
        <w:t xml:space="preserve">10.022 </w:t>
      </w:r>
      <w:r w:rsidRPr="000E189C">
        <w:rPr>
          <w:rFonts w:ascii="Verdana" w:eastAsia="Malgun Gothic" w:hAnsi="Verdana" w:cs="Arial"/>
          <w:sz w:val="18"/>
          <w:szCs w:val="18"/>
        </w:rPr>
        <w:t>in 20</w:t>
      </w:r>
      <w:r>
        <w:rPr>
          <w:rFonts w:ascii="Verdana" w:eastAsia="Malgun Gothic" w:hAnsi="Verdana" w:cs="Arial"/>
          <w:sz w:val="18"/>
          <w:szCs w:val="18"/>
        </w:rPr>
        <w:t>20</w:t>
      </w:r>
      <w:r w:rsidRPr="000E189C">
        <w:rPr>
          <w:rFonts w:ascii="Verdana" w:eastAsia="Malgun Gothic" w:hAnsi="Verdana" w:cs="Arial"/>
          <w:sz w:val="18"/>
          <w:szCs w:val="18"/>
        </w:rPr>
        <w:t xml:space="preserve"> and </w:t>
      </w:r>
      <w:r>
        <w:rPr>
          <w:rFonts w:ascii="Verdana" w:eastAsia="Malgun Gothic" w:hAnsi="Verdana" w:cs="Arial"/>
          <w:sz w:val="18"/>
          <w:szCs w:val="18"/>
        </w:rPr>
        <w:t xml:space="preserve">to </w:t>
      </w:r>
      <w:r w:rsidRPr="000E189C">
        <w:rPr>
          <w:rFonts w:ascii="Verdana" w:eastAsia="Malgun Gothic" w:hAnsi="Verdana" w:cs="Arial"/>
          <w:sz w:val="18"/>
          <w:szCs w:val="18"/>
        </w:rPr>
        <w:t>€</w:t>
      </w:r>
      <w:r>
        <w:rPr>
          <w:rFonts w:ascii="Verdana" w:eastAsia="Malgun Gothic" w:hAnsi="Verdana" w:cs="Arial"/>
          <w:sz w:val="18"/>
          <w:szCs w:val="18"/>
        </w:rPr>
        <w:t>21.024 f</w:t>
      </w:r>
      <w:r w:rsidRPr="000E189C">
        <w:rPr>
          <w:rFonts w:ascii="Verdana" w:eastAsia="Malgun Gothic" w:hAnsi="Verdana" w:cs="Arial"/>
          <w:sz w:val="18"/>
          <w:szCs w:val="18"/>
        </w:rPr>
        <w:t xml:space="preserve">or households with 2 adults and 2 dependent children </w:t>
      </w:r>
      <w:r>
        <w:rPr>
          <w:rFonts w:ascii="Verdana" w:eastAsia="Malgun Gothic" w:hAnsi="Verdana" w:cs="Arial"/>
          <w:sz w:val="18"/>
          <w:szCs w:val="18"/>
        </w:rPr>
        <w:t>compared</w:t>
      </w:r>
      <w:r w:rsidRPr="000E189C">
        <w:rPr>
          <w:rFonts w:ascii="Verdana" w:eastAsia="Malgun Gothic" w:hAnsi="Verdana" w:cs="Arial"/>
          <w:sz w:val="18"/>
          <w:szCs w:val="18"/>
        </w:rPr>
        <w:t xml:space="preserve"> to €</w:t>
      </w:r>
      <w:r>
        <w:rPr>
          <w:rFonts w:ascii="Verdana" w:eastAsia="Malgun Gothic" w:hAnsi="Verdana" w:cs="Arial"/>
          <w:sz w:val="18"/>
          <w:szCs w:val="18"/>
        </w:rPr>
        <w:t xml:space="preserve">21.047 </w:t>
      </w:r>
      <w:r w:rsidRPr="000E189C">
        <w:rPr>
          <w:rFonts w:ascii="Verdana" w:eastAsia="Malgun Gothic" w:hAnsi="Verdana" w:cs="Arial"/>
          <w:sz w:val="18"/>
          <w:szCs w:val="18"/>
        </w:rPr>
        <w:t>in 20</w:t>
      </w:r>
      <w:r>
        <w:rPr>
          <w:rFonts w:ascii="Verdana" w:eastAsia="Malgun Gothic" w:hAnsi="Verdana" w:cs="Arial"/>
          <w:sz w:val="18"/>
          <w:szCs w:val="18"/>
        </w:rPr>
        <w:t>20</w:t>
      </w:r>
      <w:r w:rsidRPr="000E189C">
        <w:rPr>
          <w:rFonts w:ascii="Verdana" w:eastAsia="Malgun Gothic" w:hAnsi="Verdana" w:cs="Arial"/>
          <w:sz w:val="18"/>
          <w:szCs w:val="18"/>
        </w:rPr>
        <w:t xml:space="preserve">. </w:t>
      </w:r>
    </w:p>
    <w:p w14:paraId="1247CDAF" w14:textId="77777777" w:rsidR="00985D01" w:rsidRDefault="00985D01" w:rsidP="00985D01">
      <w:pPr>
        <w:jc w:val="both"/>
        <w:rPr>
          <w:rFonts w:ascii="Verdana" w:eastAsia="Malgun Gothic" w:hAnsi="Verdana" w:cs="Arial"/>
          <w:sz w:val="18"/>
          <w:szCs w:val="18"/>
        </w:rPr>
      </w:pPr>
    </w:p>
    <w:p w14:paraId="67AA70EA" w14:textId="77777777" w:rsidR="00985D01" w:rsidRDefault="00985D01" w:rsidP="00985D01">
      <w:pPr>
        <w:jc w:val="both"/>
        <w:rPr>
          <w:rFonts w:ascii="Verdana" w:eastAsia="Malgun Gothic" w:hAnsi="Verdana" w:cs="Arial"/>
          <w:b/>
          <w:sz w:val="18"/>
          <w:szCs w:val="18"/>
          <w:u w:val="single"/>
        </w:rPr>
      </w:pPr>
      <w:r w:rsidRPr="002271A7">
        <w:rPr>
          <w:rFonts w:ascii="Verdana" w:eastAsia="Malgun Gothic" w:hAnsi="Verdana" w:cs="Arial"/>
          <w:b/>
          <w:sz w:val="18"/>
          <w:szCs w:val="18"/>
          <w:u w:val="single"/>
        </w:rPr>
        <w:t>Severe Material and Social Deprivation Indicator (SMSD)</w:t>
      </w:r>
    </w:p>
    <w:p w14:paraId="10BA9FA5" w14:textId="77777777" w:rsidR="00985D01" w:rsidRDefault="00985D01" w:rsidP="00985D01">
      <w:pPr>
        <w:jc w:val="both"/>
        <w:rPr>
          <w:rFonts w:ascii="Verdana" w:eastAsia="Malgun Gothic" w:hAnsi="Verdana" w:cs="Arial"/>
          <w:sz w:val="18"/>
          <w:szCs w:val="18"/>
        </w:rPr>
      </w:pPr>
    </w:p>
    <w:p w14:paraId="628B403A" w14:textId="77777777" w:rsidR="00985D01" w:rsidRDefault="00985D01" w:rsidP="00985D01">
      <w:pPr>
        <w:jc w:val="both"/>
        <w:rPr>
          <w:rFonts w:ascii="Verdana" w:eastAsia="Malgun Gothic" w:hAnsi="Verdana" w:cs="Arial"/>
          <w:sz w:val="18"/>
          <w:szCs w:val="18"/>
        </w:rPr>
      </w:pPr>
      <w:r w:rsidRPr="002271A7">
        <w:rPr>
          <w:rFonts w:ascii="Verdana" w:eastAsia="Malgun Gothic" w:hAnsi="Verdana" w:cs="Arial"/>
          <w:sz w:val="18"/>
          <w:szCs w:val="18"/>
        </w:rPr>
        <w:t xml:space="preserve">The percentage of the population that was severely materially and socially deprived, meaning that they were experiencing enforced lack of at least 7 out of 13 deprivation items (7 related to the household and 6 to the individual), </w:t>
      </w:r>
      <w:r>
        <w:rPr>
          <w:rFonts w:ascii="Verdana" w:eastAsia="Malgun Gothic" w:hAnsi="Verdana" w:cs="Arial"/>
          <w:sz w:val="18"/>
          <w:szCs w:val="18"/>
        </w:rPr>
        <w:t>has decreased to 2</w:t>
      </w:r>
      <w:r w:rsidRPr="002271A7">
        <w:rPr>
          <w:rFonts w:ascii="Verdana" w:eastAsia="Malgun Gothic" w:hAnsi="Verdana" w:cs="Arial"/>
          <w:sz w:val="18"/>
          <w:szCs w:val="18"/>
        </w:rPr>
        <w:t>,6% in 202</w:t>
      </w:r>
      <w:r>
        <w:rPr>
          <w:rFonts w:ascii="Verdana" w:eastAsia="Malgun Gothic" w:hAnsi="Verdana" w:cs="Arial"/>
          <w:sz w:val="18"/>
          <w:szCs w:val="18"/>
        </w:rPr>
        <w:t>1</w:t>
      </w:r>
      <w:r w:rsidRPr="002271A7">
        <w:rPr>
          <w:rFonts w:ascii="Verdana" w:eastAsia="Malgun Gothic" w:hAnsi="Verdana" w:cs="Arial"/>
          <w:sz w:val="18"/>
          <w:szCs w:val="18"/>
        </w:rPr>
        <w:t xml:space="preserve"> in comparison to </w:t>
      </w:r>
      <w:r>
        <w:rPr>
          <w:rFonts w:ascii="Verdana" w:eastAsia="Malgun Gothic" w:hAnsi="Verdana" w:cs="Arial"/>
          <w:sz w:val="18"/>
          <w:szCs w:val="18"/>
        </w:rPr>
        <w:t>3</w:t>
      </w:r>
      <w:r w:rsidRPr="002271A7">
        <w:rPr>
          <w:rFonts w:ascii="Verdana" w:eastAsia="Malgun Gothic" w:hAnsi="Verdana" w:cs="Arial"/>
          <w:sz w:val="18"/>
          <w:szCs w:val="18"/>
        </w:rPr>
        <w:t>,</w:t>
      </w:r>
      <w:r>
        <w:rPr>
          <w:rFonts w:ascii="Verdana" w:eastAsia="Malgun Gothic" w:hAnsi="Verdana" w:cs="Arial"/>
          <w:sz w:val="18"/>
          <w:szCs w:val="18"/>
        </w:rPr>
        <w:t>2</w:t>
      </w:r>
      <w:r w:rsidRPr="002271A7">
        <w:rPr>
          <w:rFonts w:ascii="Verdana" w:eastAsia="Malgun Gothic" w:hAnsi="Verdana" w:cs="Arial"/>
          <w:sz w:val="18"/>
          <w:szCs w:val="18"/>
        </w:rPr>
        <w:t>% in 20</w:t>
      </w:r>
      <w:r>
        <w:rPr>
          <w:rFonts w:ascii="Verdana" w:eastAsia="Malgun Gothic" w:hAnsi="Verdana" w:cs="Arial"/>
          <w:sz w:val="18"/>
          <w:szCs w:val="18"/>
        </w:rPr>
        <w:t>20</w:t>
      </w:r>
      <w:r w:rsidRPr="002271A7">
        <w:rPr>
          <w:rFonts w:ascii="Verdana" w:eastAsia="Malgun Gothic" w:hAnsi="Verdana" w:cs="Arial"/>
          <w:sz w:val="18"/>
          <w:szCs w:val="18"/>
        </w:rPr>
        <w:t xml:space="preserve">. At the household level, the deprivation refers to the financial inability </w:t>
      </w:r>
      <w:r>
        <w:rPr>
          <w:rFonts w:ascii="Verdana" w:eastAsia="Malgun Gothic" w:hAnsi="Verdana" w:cs="Arial"/>
          <w:sz w:val="18"/>
          <w:szCs w:val="18"/>
          <w:lang w:val="en-GB"/>
        </w:rPr>
        <w:t xml:space="preserve">of household </w:t>
      </w:r>
      <w:r w:rsidRPr="002271A7">
        <w:rPr>
          <w:rFonts w:ascii="Verdana" w:eastAsia="Malgun Gothic" w:hAnsi="Verdana" w:cs="Arial"/>
          <w:sz w:val="18"/>
          <w:szCs w:val="18"/>
        </w:rPr>
        <w:t xml:space="preserve">to face unexpected expenses, to pay rent or utility bills or loans, to keep home adequately warm, etc., while at the individual level to the financial inability </w:t>
      </w:r>
      <w:r>
        <w:rPr>
          <w:rFonts w:ascii="Verdana" w:eastAsia="Malgun Gothic" w:hAnsi="Verdana" w:cs="Arial"/>
          <w:sz w:val="18"/>
          <w:szCs w:val="18"/>
        </w:rPr>
        <w:t xml:space="preserve">of the individual </w:t>
      </w:r>
      <w:r w:rsidRPr="002271A7">
        <w:rPr>
          <w:rFonts w:ascii="Verdana" w:eastAsia="Malgun Gothic" w:hAnsi="Verdana" w:cs="Arial"/>
          <w:sz w:val="18"/>
          <w:szCs w:val="18"/>
        </w:rPr>
        <w:t>to spend a small amount of money each week on him/herself, to have regular leisure activities, to get together with friends/family for a drink/meal at least once a month, etc. (more information in the definitions in the methodological part).</w:t>
      </w:r>
    </w:p>
    <w:p w14:paraId="132BCF42" w14:textId="77777777" w:rsidR="00985D01" w:rsidRDefault="00985D01" w:rsidP="00985D01">
      <w:pPr>
        <w:jc w:val="both"/>
        <w:rPr>
          <w:rFonts w:ascii="Verdana" w:eastAsia="Malgun Gothic" w:hAnsi="Verdana" w:cs="Arial"/>
          <w:sz w:val="18"/>
          <w:szCs w:val="18"/>
        </w:rPr>
      </w:pPr>
    </w:p>
    <w:p w14:paraId="12BAD6D2" w14:textId="77777777" w:rsidR="00985D01" w:rsidRPr="000E189C" w:rsidRDefault="00985D01" w:rsidP="00985D01">
      <w:pPr>
        <w:jc w:val="both"/>
        <w:rPr>
          <w:rFonts w:ascii="Verdana" w:eastAsia="Malgun Gothic" w:hAnsi="Verdana" w:cs="Arial"/>
          <w:b/>
          <w:sz w:val="18"/>
          <w:szCs w:val="18"/>
          <w:u w:val="single"/>
        </w:rPr>
      </w:pPr>
      <w:r w:rsidRPr="000E189C">
        <w:rPr>
          <w:rFonts w:ascii="Verdana" w:eastAsia="Malgun Gothic" w:hAnsi="Verdana" w:cs="Arial"/>
          <w:b/>
          <w:sz w:val="18"/>
          <w:szCs w:val="18"/>
          <w:u w:val="single"/>
        </w:rPr>
        <w:t xml:space="preserve">Very </w:t>
      </w:r>
      <w:r>
        <w:rPr>
          <w:rFonts w:ascii="Verdana" w:eastAsia="Malgun Gothic" w:hAnsi="Verdana" w:cs="Arial"/>
          <w:b/>
          <w:sz w:val="18"/>
          <w:szCs w:val="18"/>
          <w:u w:val="single"/>
        </w:rPr>
        <w:t>L</w:t>
      </w:r>
      <w:r w:rsidRPr="000E189C">
        <w:rPr>
          <w:rFonts w:ascii="Verdana" w:eastAsia="Malgun Gothic" w:hAnsi="Verdana" w:cs="Arial"/>
          <w:b/>
          <w:sz w:val="18"/>
          <w:szCs w:val="18"/>
          <w:u w:val="single"/>
        </w:rPr>
        <w:t xml:space="preserve">ow </w:t>
      </w:r>
      <w:r>
        <w:rPr>
          <w:rFonts w:ascii="Verdana" w:eastAsia="Malgun Gothic" w:hAnsi="Verdana" w:cs="Arial"/>
          <w:b/>
          <w:sz w:val="18"/>
          <w:szCs w:val="18"/>
          <w:u w:val="single"/>
        </w:rPr>
        <w:t>W</w:t>
      </w:r>
      <w:r w:rsidRPr="000E189C">
        <w:rPr>
          <w:rFonts w:ascii="Verdana" w:eastAsia="Malgun Gothic" w:hAnsi="Verdana" w:cs="Arial"/>
          <w:b/>
          <w:sz w:val="18"/>
          <w:szCs w:val="18"/>
          <w:u w:val="single"/>
        </w:rPr>
        <w:t xml:space="preserve">ork </w:t>
      </w:r>
      <w:r>
        <w:rPr>
          <w:rFonts w:ascii="Verdana" w:eastAsia="Malgun Gothic" w:hAnsi="Verdana" w:cs="Arial"/>
          <w:b/>
          <w:sz w:val="18"/>
          <w:szCs w:val="18"/>
          <w:u w:val="single"/>
        </w:rPr>
        <w:t>I</w:t>
      </w:r>
      <w:r w:rsidRPr="000E189C">
        <w:rPr>
          <w:rFonts w:ascii="Verdana" w:eastAsia="Malgun Gothic" w:hAnsi="Verdana" w:cs="Arial"/>
          <w:b/>
          <w:sz w:val="18"/>
          <w:szCs w:val="18"/>
          <w:u w:val="single"/>
        </w:rPr>
        <w:t xml:space="preserve">ntensity </w:t>
      </w:r>
      <w:r>
        <w:rPr>
          <w:rFonts w:ascii="Verdana" w:eastAsia="Malgun Gothic" w:hAnsi="Verdana" w:cs="Arial"/>
          <w:b/>
          <w:sz w:val="18"/>
          <w:szCs w:val="18"/>
          <w:u w:val="single"/>
        </w:rPr>
        <w:t>I</w:t>
      </w:r>
      <w:r w:rsidRPr="000E189C">
        <w:rPr>
          <w:rFonts w:ascii="Verdana" w:eastAsia="Malgun Gothic" w:hAnsi="Verdana" w:cs="Arial"/>
          <w:b/>
          <w:sz w:val="18"/>
          <w:szCs w:val="18"/>
          <w:u w:val="single"/>
        </w:rPr>
        <w:t xml:space="preserve">ndicator (LWI) </w:t>
      </w:r>
    </w:p>
    <w:p w14:paraId="24CFE07A" w14:textId="77777777" w:rsidR="00985D01" w:rsidRDefault="00985D01" w:rsidP="00985D01">
      <w:pPr>
        <w:jc w:val="both"/>
        <w:rPr>
          <w:rFonts w:ascii="Verdana" w:eastAsia="Malgun Gothic" w:hAnsi="Verdana" w:cs="Arial"/>
          <w:sz w:val="18"/>
          <w:szCs w:val="18"/>
        </w:rPr>
      </w:pPr>
    </w:p>
    <w:p w14:paraId="55E365E9" w14:textId="77777777" w:rsidR="00985D01" w:rsidRDefault="00985D01" w:rsidP="00985D01">
      <w:pPr>
        <w:jc w:val="both"/>
        <w:rPr>
          <w:rFonts w:ascii="Verdana" w:eastAsia="Malgun Gothic" w:hAnsi="Verdana" w:cs="Arial"/>
          <w:sz w:val="18"/>
          <w:szCs w:val="18"/>
        </w:rPr>
      </w:pPr>
      <w:r w:rsidRPr="000E189C">
        <w:rPr>
          <w:rFonts w:ascii="Verdana" w:eastAsia="Malgun Gothic" w:hAnsi="Verdana" w:cs="Arial"/>
          <w:sz w:val="18"/>
          <w:szCs w:val="18"/>
        </w:rPr>
        <w:t>The percentage of the population aged 0-</w:t>
      </w:r>
      <w:r>
        <w:rPr>
          <w:rFonts w:ascii="Verdana" w:eastAsia="Malgun Gothic" w:hAnsi="Verdana" w:cs="Arial"/>
          <w:sz w:val="18"/>
          <w:szCs w:val="18"/>
        </w:rPr>
        <w:t>64 years</w:t>
      </w:r>
      <w:r w:rsidRPr="000E189C">
        <w:rPr>
          <w:rFonts w:ascii="Verdana" w:eastAsia="Malgun Gothic" w:hAnsi="Verdana" w:cs="Arial"/>
          <w:sz w:val="18"/>
          <w:szCs w:val="18"/>
        </w:rPr>
        <w:t>, that was living in households with very low work intensity, meaning that the adults in the household worked less than 20% of their work potential during the past year, showed a</w:t>
      </w:r>
      <w:r>
        <w:rPr>
          <w:rFonts w:ascii="Verdana" w:eastAsia="Malgun Gothic" w:hAnsi="Verdana" w:cs="Arial"/>
          <w:sz w:val="18"/>
          <w:szCs w:val="18"/>
        </w:rPr>
        <w:t xml:space="preserve"> minor in</w:t>
      </w:r>
      <w:r w:rsidRPr="000E189C">
        <w:rPr>
          <w:rFonts w:ascii="Verdana" w:eastAsia="Malgun Gothic" w:hAnsi="Verdana" w:cs="Arial"/>
          <w:sz w:val="18"/>
          <w:szCs w:val="18"/>
        </w:rPr>
        <w:t>crease in 20</w:t>
      </w:r>
      <w:r>
        <w:rPr>
          <w:rFonts w:ascii="Verdana" w:eastAsia="Malgun Gothic" w:hAnsi="Verdana" w:cs="Arial"/>
          <w:sz w:val="18"/>
          <w:szCs w:val="18"/>
        </w:rPr>
        <w:t>21</w:t>
      </w:r>
      <w:r w:rsidRPr="000E189C">
        <w:rPr>
          <w:rFonts w:ascii="Verdana" w:eastAsia="Malgun Gothic" w:hAnsi="Verdana" w:cs="Arial"/>
          <w:sz w:val="18"/>
          <w:szCs w:val="18"/>
        </w:rPr>
        <w:t xml:space="preserve">, reaching </w:t>
      </w:r>
      <w:r>
        <w:rPr>
          <w:rFonts w:ascii="Verdana" w:eastAsia="Malgun Gothic" w:hAnsi="Verdana" w:cs="Arial"/>
          <w:sz w:val="18"/>
          <w:szCs w:val="18"/>
        </w:rPr>
        <w:t>5,6</w:t>
      </w:r>
      <w:r w:rsidRPr="000E189C">
        <w:rPr>
          <w:rFonts w:ascii="Verdana" w:eastAsia="Malgun Gothic" w:hAnsi="Verdana" w:cs="Arial"/>
          <w:sz w:val="18"/>
          <w:szCs w:val="18"/>
        </w:rPr>
        <w:t xml:space="preserve">% in comparison to </w:t>
      </w:r>
      <w:r>
        <w:rPr>
          <w:rFonts w:ascii="Verdana" w:eastAsia="Malgun Gothic" w:hAnsi="Verdana" w:cs="Arial"/>
          <w:sz w:val="18"/>
          <w:szCs w:val="18"/>
        </w:rPr>
        <w:t>5,3</w:t>
      </w:r>
      <w:r w:rsidRPr="000E189C">
        <w:rPr>
          <w:rFonts w:ascii="Verdana" w:eastAsia="Malgun Gothic" w:hAnsi="Verdana" w:cs="Arial"/>
          <w:sz w:val="18"/>
          <w:szCs w:val="18"/>
        </w:rPr>
        <w:t>% in 20</w:t>
      </w:r>
      <w:r>
        <w:rPr>
          <w:rFonts w:ascii="Verdana" w:eastAsia="Malgun Gothic" w:hAnsi="Verdana" w:cs="Arial"/>
          <w:sz w:val="18"/>
          <w:szCs w:val="18"/>
        </w:rPr>
        <w:t>20</w:t>
      </w:r>
      <w:r w:rsidRPr="000E189C">
        <w:rPr>
          <w:rFonts w:ascii="Verdana" w:eastAsia="Malgun Gothic" w:hAnsi="Verdana" w:cs="Arial"/>
          <w:sz w:val="18"/>
          <w:szCs w:val="18"/>
        </w:rPr>
        <w:t>.</w:t>
      </w:r>
    </w:p>
    <w:p w14:paraId="0FC98153" w14:textId="77777777" w:rsidR="00985D01" w:rsidRDefault="00985D01" w:rsidP="00985D01">
      <w:pPr>
        <w:jc w:val="both"/>
        <w:rPr>
          <w:rFonts w:ascii="Verdana" w:eastAsia="Malgun Gothic" w:hAnsi="Verdana" w:cs="Arial"/>
          <w:sz w:val="18"/>
          <w:szCs w:val="18"/>
        </w:rPr>
      </w:pPr>
    </w:p>
    <w:p w14:paraId="40731349" w14:textId="77777777" w:rsidR="00985D01" w:rsidRDefault="00985D01" w:rsidP="00985D01">
      <w:pPr>
        <w:jc w:val="both"/>
        <w:rPr>
          <w:rFonts w:ascii="Verdana" w:eastAsia="Malgun Gothic" w:hAnsi="Verdana" w:cs="Arial"/>
          <w:sz w:val="18"/>
          <w:szCs w:val="18"/>
        </w:rPr>
      </w:pPr>
      <w:r w:rsidRPr="00370480">
        <w:rPr>
          <w:rFonts w:ascii="Verdana" w:eastAsia="Malgun Gothic" w:hAnsi="Verdana" w:cs="Arial"/>
          <w:sz w:val="18"/>
          <w:szCs w:val="18"/>
        </w:rPr>
        <w:t>In Chart 2 that follows, each of the three indicators contributing to the computation of the strategic</w:t>
      </w:r>
      <w:r w:rsidRPr="000E189C">
        <w:rPr>
          <w:rFonts w:ascii="Verdana" w:eastAsia="Malgun Gothic" w:hAnsi="Verdana" w:cs="Arial"/>
          <w:sz w:val="18"/>
          <w:szCs w:val="18"/>
        </w:rPr>
        <w:t xml:space="preserve"> indicator at-risk-of-poverty or social exclusion is presented separately</w:t>
      </w:r>
      <w:r>
        <w:rPr>
          <w:rFonts w:ascii="Verdana" w:eastAsia="Malgun Gothic" w:hAnsi="Verdana" w:cs="Arial"/>
          <w:sz w:val="18"/>
          <w:szCs w:val="18"/>
        </w:rPr>
        <w:t>.</w:t>
      </w:r>
    </w:p>
    <w:p w14:paraId="19B7B1F6" w14:textId="77777777" w:rsidR="00985D01" w:rsidRDefault="00985D01" w:rsidP="00985D01">
      <w:pPr>
        <w:jc w:val="center"/>
        <w:rPr>
          <w:rFonts w:ascii="Verdana" w:eastAsia="Malgun Gothic" w:hAnsi="Verdana" w:cs="Arial"/>
          <w:sz w:val="18"/>
          <w:szCs w:val="18"/>
        </w:rPr>
      </w:pPr>
    </w:p>
    <w:p w14:paraId="3732E70F" w14:textId="77777777" w:rsidR="00985D01" w:rsidRDefault="00985D01" w:rsidP="00985D01">
      <w:pPr>
        <w:jc w:val="center"/>
        <w:rPr>
          <w:rFonts w:ascii="Verdana" w:eastAsia="Malgun Gothic" w:hAnsi="Verdana" w:cs="Arial"/>
          <w:sz w:val="18"/>
          <w:szCs w:val="18"/>
        </w:rPr>
      </w:pPr>
    </w:p>
    <w:p w14:paraId="36D7093C" w14:textId="2A4DD516" w:rsidR="00985D01" w:rsidRDefault="00985D01" w:rsidP="00985D01">
      <w:pPr>
        <w:jc w:val="center"/>
        <w:rPr>
          <w:rFonts w:ascii="Verdana" w:eastAsia="Malgun Gothic" w:hAnsi="Verdana" w:cs="Arial"/>
          <w:sz w:val="18"/>
          <w:szCs w:val="18"/>
        </w:rPr>
      </w:pPr>
      <w:r>
        <w:rPr>
          <w:rFonts w:ascii="Verdana" w:eastAsia="Malgun Gothic" w:hAnsi="Verdana" w:cs="Arial"/>
          <w:noProof/>
          <w:sz w:val="18"/>
          <w:szCs w:val="18"/>
          <w:lang w:val="el-GR" w:eastAsia="el-GR"/>
        </w:rPr>
        <w:drawing>
          <wp:inline distT="0" distB="0" distL="0" distR="0" wp14:anchorId="2D478DE2" wp14:editId="4B94E624">
            <wp:extent cx="6056630" cy="346900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6630" cy="3469005"/>
                    </a:xfrm>
                    <a:prstGeom prst="rect">
                      <a:avLst/>
                    </a:prstGeom>
                    <a:noFill/>
                  </pic:spPr>
                </pic:pic>
              </a:graphicData>
            </a:graphic>
          </wp:inline>
        </w:drawing>
      </w:r>
    </w:p>
    <w:p w14:paraId="728A1404" w14:textId="77777777" w:rsidR="00985D01" w:rsidRPr="003A2F0B" w:rsidRDefault="00985D01" w:rsidP="00985D01">
      <w:pPr>
        <w:jc w:val="center"/>
        <w:rPr>
          <w:rFonts w:ascii="Verdana" w:eastAsia="Malgun Gothic" w:hAnsi="Verdana" w:cs="Arial"/>
          <w:sz w:val="18"/>
          <w:szCs w:val="18"/>
        </w:rPr>
      </w:pPr>
    </w:p>
    <w:p w14:paraId="362ED9C3" w14:textId="77777777" w:rsidR="00985D01" w:rsidRPr="003A2F0B" w:rsidRDefault="00985D01" w:rsidP="00985D01">
      <w:pPr>
        <w:jc w:val="center"/>
        <w:rPr>
          <w:rFonts w:ascii="Verdana" w:eastAsia="Malgun Gothic" w:hAnsi="Verdana" w:cs="Arial"/>
          <w:sz w:val="18"/>
          <w:szCs w:val="18"/>
          <w:lang w:val="el-GR"/>
        </w:rPr>
      </w:pPr>
    </w:p>
    <w:p w14:paraId="3E64CE81" w14:textId="77777777" w:rsidR="00985D01" w:rsidRDefault="00985D01" w:rsidP="00985D01">
      <w:pPr>
        <w:jc w:val="center"/>
        <w:rPr>
          <w:rFonts w:ascii="Verdana" w:eastAsia="Malgun Gothic" w:hAnsi="Verdana" w:cs="Arial"/>
          <w:sz w:val="18"/>
          <w:szCs w:val="18"/>
        </w:rPr>
      </w:pPr>
    </w:p>
    <w:p w14:paraId="3C52FB56" w14:textId="77777777" w:rsidR="00985D01" w:rsidRPr="00786205" w:rsidRDefault="00985D01" w:rsidP="00985D01">
      <w:pPr>
        <w:jc w:val="both"/>
        <w:rPr>
          <w:rFonts w:ascii="Verdana" w:eastAsia="Malgun Gothic" w:hAnsi="Verdana" w:cs="Arial"/>
          <w:b/>
          <w:sz w:val="18"/>
          <w:szCs w:val="18"/>
          <w:u w:val="single"/>
        </w:rPr>
      </w:pPr>
      <w:r w:rsidRPr="00786205">
        <w:rPr>
          <w:rFonts w:ascii="Verdana" w:eastAsia="Malgun Gothic" w:hAnsi="Verdana" w:cs="Arial"/>
          <w:b/>
          <w:sz w:val="18"/>
          <w:szCs w:val="18"/>
          <w:u w:val="single"/>
        </w:rPr>
        <w:t>Income Inequality</w:t>
      </w:r>
    </w:p>
    <w:p w14:paraId="5680EF3A" w14:textId="77777777" w:rsidR="00985D01" w:rsidRDefault="00985D01" w:rsidP="00985D01">
      <w:pPr>
        <w:jc w:val="both"/>
        <w:rPr>
          <w:rFonts w:ascii="Verdana" w:eastAsia="Malgun Gothic" w:hAnsi="Verdana" w:cs="Arial"/>
          <w:sz w:val="18"/>
          <w:szCs w:val="18"/>
        </w:rPr>
      </w:pPr>
    </w:p>
    <w:p w14:paraId="2B666DDF" w14:textId="77777777" w:rsidR="00985D01" w:rsidRPr="00786205" w:rsidRDefault="00985D01" w:rsidP="00985D01">
      <w:pPr>
        <w:jc w:val="both"/>
        <w:rPr>
          <w:rFonts w:ascii="Verdana" w:eastAsia="Malgun Gothic" w:hAnsi="Verdana" w:cs="Arial"/>
          <w:sz w:val="18"/>
          <w:szCs w:val="18"/>
        </w:rPr>
      </w:pPr>
      <w:r w:rsidRPr="00FF311E">
        <w:rPr>
          <w:rFonts w:ascii="Verdana" w:eastAsia="Malgun Gothic" w:hAnsi="Verdana" w:cs="Arial"/>
          <w:sz w:val="18"/>
          <w:szCs w:val="18"/>
        </w:rPr>
        <w:t>The mean annual disposable income of the household for 20</w:t>
      </w:r>
      <w:r>
        <w:rPr>
          <w:rFonts w:ascii="Verdana" w:eastAsia="Malgun Gothic" w:hAnsi="Verdana" w:cs="Arial"/>
          <w:sz w:val="18"/>
          <w:szCs w:val="18"/>
        </w:rPr>
        <w:t>21</w:t>
      </w:r>
      <w:r w:rsidRPr="00FF311E">
        <w:rPr>
          <w:rFonts w:ascii="Verdana" w:eastAsia="Malgun Gothic" w:hAnsi="Verdana" w:cs="Arial"/>
          <w:sz w:val="18"/>
          <w:szCs w:val="18"/>
        </w:rPr>
        <w:t>, with income reference period the year 20</w:t>
      </w:r>
      <w:r>
        <w:rPr>
          <w:rFonts w:ascii="Verdana" w:eastAsia="Malgun Gothic" w:hAnsi="Verdana" w:cs="Arial"/>
          <w:sz w:val="18"/>
          <w:szCs w:val="18"/>
        </w:rPr>
        <w:t>20</w:t>
      </w:r>
      <w:r w:rsidRPr="004D35AD">
        <w:rPr>
          <w:rFonts w:ascii="Verdana" w:eastAsia="Malgun Gothic" w:hAnsi="Verdana" w:cs="Arial"/>
          <w:sz w:val="18"/>
          <w:szCs w:val="18"/>
        </w:rPr>
        <w:t>, was €</w:t>
      </w:r>
      <w:r w:rsidRPr="007F7EF1">
        <w:rPr>
          <w:rFonts w:ascii="Verdana" w:eastAsia="Malgun Gothic" w:hAnsi="Verdana" w:cs="Arial"/>
          <w:sz w:val="18"/>
          <w:szCs w:val="18"/>
        </w:rPr>
        <w:t>3</w:t>
      </w:r>
      <w:r>
        <w:rPr>
          <w:rFonts w:ascii="Verdana" w:eastAsia="Malgun Gothic" w:hAnsi="Verdana" w:cs="Arial"/>
          <w:sz w:val="18"/>
          <w:szCs w:val="18"/>
        </w:rPr>
        <w:t>4</w:t>
      </w:r>
      <w:r w:rsidRPr="007F7EF1">
        <w:rPr>
          <w:rFonts w:ascii="Verdana" w:eastAsia="Malgun Gothic" w:hAnsi="Verdana" w:cs="Arial"/>
          <w:sz w:val="18"/>
          <w:szCs w:val="18"/>
        </w:rPr>
        <w:t>.</w:t>
      </w:r>
      <w:r>
        <w:rPr>
          <w:rFonts w:ascii="Verdana" w:eastAsia="Malgun Gothic" w:hAnsi="Verdana" w:cs="Arial"/>
          <w:sz w:val="18"/>
          <w:szCs w:val="18"/>
        </w:rPr>
        <w:t>227</w:t>
      </w:r>
      <w:r w:rsidRPr="004D35AD">
        <w:rPr>
          <w:rFonts w:ascii="Verdana" w:eastAsia="Malgun Gothic" w:hAnsi="Verdana" w:cs="Arial"/>
          <w:sz w:val="18"/>
          <w:szCs w:val="18"/>
        </w:rPr>
        <w:t xml:space="preserve">, exhibiting an increase </w:t>
      </w:r>
      <w:r>
        <w:rPr>
          <w:rFonts w:ascii="Verdana" w:eastAsia="Malgun Gothic" w:hAnsi="Verdana" w:cs="Arial"/>
          <w:sz w:val="18"/>
          <w:szCs w:val="18"/>
        </w:rPr>
        <w:t>of 1</w:t>
      </w:r>
      <w:r w:rsidRPr="004D35AD">
        <w:rPr>
          <w:rFonts w:ascii="Verdana" w:eastAsia="Malgun Gothic" w:hAnsi="Verdana" w:cs="Arial"/>
          <w:sz w:val="18"/>
          <w:szCs w:val="18"/>
        </w:rPr>
        <w:t>,</w:t>
      </w:r>
      <w:r>
        <w:rPr>
          <w:rFonts w:ascii="Verdana" w:eastAsia="Malgun Gothic" w:hAnsi="Verdana" w:cs="Arial"/>
          <w:sz w:val="18"/>
          <w:szCs w:val="18"/>
        </w:rPr>
        <w:t>1</w:t>
      </w:r>
      <w:r w:rsidRPr="004D35AD">
        <w:rPr>
          <w:rFonts w:ascii="Verdana" w:eastAsia="Malgun Gothic" w:hAnsi="Verdana" w:cs="Arial"/>
          <w:sz w:val="18"/>
          <w:szCs w:val="18"/>
        </w:rPr>
        <w:t>% in respect to that of the previous year, which was €33.</w:t>
      </w:r>
      <w:r>
        <w:rPr>
          <w:rFonts w:ascii="Verdana" w:eastAsia="Malgun Gothic" w:hAnsi="Verdana" w:cs="Arial"/>
          <w:sz w:val="18"/>
          <w:szCs w:val="18"/>
        </w:rPr>
        <w:t>862</w:t>
      </w:r>
      <w:r w:rsidRPr="004D35AD">
        <w:rPr>
          <w:rFonts w:ascii="Verdana" w:eastAsia="Malgun Gothic" w:hAnsi="Verdana" w:cs="Arial"/>
          <w:sz w:val="18"/>
          <w:szCs w:val="18"/>
        </w:rPr>
        <w:t>.</w:t>
      </w:r>
      <w:r w:rsidRPr="00786205">
        <w:rPr>
          <w:rFonts w:ascii="Verdana" w:eastAsia="Malgun Gothic" w:hAnsi="Verdana" w:cs="Arial"/>
          <w:sz w:val="18"/>
          <w:szCs w:val="18"/>
        </w:rPr>
        <w:t xml:space="preserve"> </w:t>
      </w:r>
    </w:p>
    <w:p w14:paraId="1391C9C6" w14:textId="77777777" w:rsidR="00985D01" w:rsidRDefault="00985D01" w:rsidP="00985D01">
      <w:pPr>
        <w:jc w:val="both"/>
        <w:rPr>
          <w:rFonts w:ascii="Verdana" w:eastAsia="Malgun Gothic" w:hAnsi="Verdana" w:cs="Arial"/>
          <w:sz w:val="18"/>
          <w:szCs w:val="18"/>
        </w:rPr>
      </w:pPr>
    </w:p>
    <w:p w14:paraId="5AF66886" w14:textId="77777777" w:rsidR="00985D01" w:rsidRDefault="00985D01" w:rsidP="00985D01">
      <w:pPr>
        <w:jc w:val="both"/>
        <w:rPr>
          <w:rFonts w:ascii="Verdana" w:eastAsia="Malgun Gothic" w:hAnsi="Verdana" w:cs="Arial"/>
          <w:sz w:val="18"/>
          <w:szCs w:val="18"/>
        </w:rPr>
      </w:pPr>
      <w:r w:rsidRPr="00786205">
        <w:rPr>
          <w:rFonts w:ascii="Verdana" w:eastAsia="Malgun Gothic" w:hAnsi="Verdana" w:cs="Arial"/>
          <w:sz w:val="18"/>
          <w:szCs w:val="18"/>
        </w:rPr>
        <w:t>Income inequality is mainly described by the indicators on income distribution in quintiles, S80/S20 and the income inequality coefficient Gini. In 20</w:t>
      </w:r>
      <w:r>
        <w:rPr>
          <w:rFonts w:ascii="Verdana" w:eastAsia="Malgun Gothic" w:hAnsi="Verdana" w:cs="Arial"/>
          <w:sz w:val="18"/>
          <w:szCs w:val="18"/>
        </w:rPr>
        <w:t>21</w:t>
      </w:r>
      <w:r w:rsidRPr="00786205">
        <w:rPr>
          <w:rFonts w:ascii="Verdana" w:eastAsia="Malgun Gothic" w:hAnsi="Verdana" w:cs="Arial"/>
          <w:sz w:val="18"/>
          <w:szCs w:val="18"/>
        </w:rPr>
        <w:t xml:space="preserve">, </w:t>
      </w:r>
      <w:r>
        <w:rPr>
          <w:rFonts w:ascii="Verdana" w:eastAsia="Malgun Gothic" w:hAnsi="Verdana" w:cs="Arial"/>
          <w:sz w:val="18"/>
          <w:szCs w:val="18"/>
        </w:rPr>
        <w:t xml:space="preserve">these indicators remained almost at the same level </w:t>
      </w:r>
      <w:r w:rsidRPr="004D35AD">
        <w:rPr>
          <w:rFonts w:ascii="Verdana" w:eastAsia="Malgun Gothic" w:hAnsi="Verdana" w:cs="Arial"/>
          <w:sz w:val="18"/>
          <w:szCs w:val="18"/>
        </w:rPr>
        <w:t>in relation to the previous year</w:t>
      </w:r>
      <w:r>
        <w:rPr>
          <w:rFonts w:ascii="Verdana" w:eastAsia="Malgun Gothic" w:hAnsi="Verdana" w:cs="Arial"/>
          <w:sz w:val="18"/>
          <w:szCs w:val="18"/>
        </w:rPr>
        <w:t xml:space="preserve">. </w:t>
      </w:r>
      <w:r w:rsidRPr="004D35AD">
        <w:rPr>
          <w:rFonts w:ascii="Verdana" w:eastAsia="Malgun Gothic" w:hAnsi="Verdana" w:cs="Arial"/>
          <w:sz w:val="18"/>
          <w:szCs w:val="18"/>
        </w:rPr>
        <w:t>Specifically, the ratio S80/S20, which examines the income</w:t>
      </w:r>
      <w:r w:rsidRPr="00786205">
        <w:rPr>
          <w:rFonts w:ascii="Verdana" w:eastAsia="Malgun Gothic" w:hAnsi="Verdana" w:cs="Arial"/>
          <w:sz w:val="18"/>
          <w:szCs w:val="18"/>
        </w:rPr>
        <w:t xml:space="preserve"> share of the 20% richer population to that of the 20% poore</w:t>
      </w:r>
      <w:r>
        <w:rPr>
          <w:rFonts w:ascii="Verdana" w:eastAsia="Malgun Gothic" w:hAnsi="Verdana" w:cs="Arial"/>
          <w:sz w:val="18"/>
          <w:szCs w:val="18"/>
        </w:rPr>
        <w:t>r</w:t>
      </w:r>
      <w:r w:rsidRPr="00786205">
        <w:rPr>
          <w:rFonts w:ascii="Verdana" w:eastAsia="Malgun Gothic" w:hAnsi="Verdana" w:cs="Arial"/>
          <w:sz w:val="18"/>
          <w:szCs w:val="18"/>
        </w:rPr>
        <w:t xml:space="preserve"> population, reached </w:t>
      </w:r>
      <w:r>
        <w:rPr>
          <w:rFonts w:ascii="Verdana" w:eastAsia="Malgun Gothic" w:hAnsi="Verdana" w:cs="Arial"/>
          <w:sz w:val="18"/>
          <w:szCs w:val="18"/>
        </w:rPr>
        <w:t>4,2</w:t>
      </w:r>
      <w:r w:rsidRPr="00786205">
        <w:rPr>
          <w:rFonts w:ascii="Verdana" w:eastAsia="Malgun Gothic" w:hAnsi="Verdana" w:cs="Arial"/>
          <w:sz w:val="18"/>
          <w:szCs w:val="18"/>
        </w:rPr>
        <w:t xml:space="preserve"> units in 20</w:t>
      </w:r>
      <w:r>
        <w:rPr>
          <w:rFonts w:ascii="Verdana" w:eastAsia="Malgun Gothic" w:hAnsi="Verdana" w:cs="Arial"/>
          <w:sz w:val="18"/>
          <w:szCs w:val="18"/>
        </w:rPr>
        <w:t>21</w:t>
      </w:r>
      <w:r w:rsidRPr="00786205">
        <w:rPr>
          <w:rFonts w:ascii="Verdana" w:eastAsia="Malgun Gothic" w:hAnsi="Verdana" w:cs="Arial"/>
          <w:sz w:val="18"/>
          <w:szCs w:val="18"/>
        </w:rPr>
        <w:t xml:space="preserve">.  Namely, the </w:t>
      </w:r>
      <w:r w:rsidRPr="00786205">
        <w:rPr>
          <w:rFonts w:ascii="Verdana" w:eastAsia="Malgun Gothic" w:hAnsi="Verdana" w:cs="Arial"/>
          <w:sz w:val="18"/>
          <w:szCs w:val="18"/>
        </w:rPr>
        <w:lastRenderedPageBreak/>
        <w:t>income share of the 20% richer population was 4,</w:t>
      </w:r>
      <w:r>
        <w:rPr>
          <w:rFonts w:ascii="Verdana" w:eastAsia="Malgun Gothic" w:hAnsi="Verdana" w:cs="Arial"/>
          <w:sz w:val="18"/>
          <w:szCs w:val="18"/>
        </w:rPr>
        <w:t xml:space="preserve">2 </w:t>
      </w:r>
      <w:r w:rsidRPr="00786205">
        <w:rPr>
          <w:rFonts w:ascii="Verdana" w:eastAsia="Malgun Gothic" w:hAnsi="Verdana" w:cs="Arial"/>
          <w:sz w:val="18"/>
          <w:szCs w:val="18"/>
        </w:rPr>
        <w:t>times higher than the income share of the 20% poore</w:t>
      </w:r>
      <w:r>
        <w:rPr>
          <w:rFonts w:ascii="Verdana" w:eastAsia="Malgun Gothic" w:hAnsi="Verdana" w:cs="Arial"/>
          <w:sz w:val="18"/>
          <w:szCs w:val="18"/>
        </w:rPr>
        <w:t>r</w:t>
      </w:r>
      <w:r w:rsidRPr="00786205">
        <w:rPr>
          <w:rFonts w:ascii="Verdana" w:eastAsia="Malgun Gothic" w:hAnsi="Verdana" w:cs="Arial"/>
          <w:sz w:val="18"/>
          <w:szCs w:val="18"/>
        </w:rPr>
        <w:t xml:space="preserve"> population in comparison with </w:t>
      </w:r>
      <w:r>
        <w:rPr>
          <w:rFonts w:ascii="Verdana" w:eastAsia="Malgun Gothic" w:hAnsi="Verdana" w:cs="Arial"/>
          <w:sz w:val="18"/>
          <w:szCs w:val="18"/>
        </w:rPr>
        <w:t>4,3</w:t>
      </w:r>
      <w:r w:rsidRPr="00786205">
        <w:rPr>
          <w:rFonts w:ascii="Verdana" w:eastAsia="Malgun Gothic" w:hAnsi="Verdana" w:cs="Arial"/>
          <w:sz w:val="18"/>
          <w:szCs w:val="18"/>
        </w:rPr>
        <w:t xml:space="preserve"> in 20</w:t>
      </w:r>
      <w:r>
        <w:rPr>
          <w:rFonts w:ascii="Verdana" w:eastAsia="Malgun Gothic" w:hAnsi="Verdana" w:cs="Arial"/>
          <w:sz w:val="18"/>
          <w:szCs w:val="18"/>
        </w:rPr>
        <w:t>20</w:t>
      </w:r>
      <w:r w:rsidRPr="00786205">
        <w:rPr>
          <w:rFonts w:ascii="Verdana" w:eastAsia="Malgun Gothic" w:hAnsi="Verdana" w:cs="Arial"/>
          <w:sz w:val="18"/>
          <w:szCs w:val="18"/>
        </w:rPr>
        <w:t xml:space="preserve">. </w:t>
      </w:r>
      <w:r w:rsidRPr="00D9116A">
        <w:rPr>
          <w:rFonts w:ascii="Verdana" w:eastAsia="Malgun Gothic" w:hAnsi="Verdana" w:cs="Arial"/>
          <w:sz w:val="18"/>
          <w:szCs w:val="18"/>
        </w:rPr>
        <w:t xml:space="preserve">Additionally, the Gini </w:t>
      </w:r>
      <w:r w:rsidRPr="004D35AD">
        <w:rPr>
          <w:rFonts w:ascii="Verdana" w:eastAsia="Malgun Gothic" w:hAnsi="Verdana" w:cs="Arial"/>
          <w:sz w:val="18"/>
          <w:szCs w:val="18"/>
        </w:rPr>
        <w:t xml:space="preserve">coefficient </w:t>
      </w:r>
      <w:r>
        <w:rPr>
          <w:rFonts w:ascii="Verdana" w:eastAsia="Malgun Gothic" w:hAnsi="Verdana" w:cs="Arial"/>
          <w:sz w:val="18"/>
          <w:szCs w:val="18"/>
        </w:rPr>
        <w:t>reached</w:t>
      </w:r>
      <w:r w:rsidRPr="004D35AD">
        <w:rPr>
          <w:rFonts w:ascii="Verdana" w:eastAsia="Malgun Gothic" w:hAnsi="Verdana" w:cs="Arial"/>
          <w:sz w:val="18"/>
          <w:szCs w:val="18"/>
        </w:rPr>
        <w:t xml:space="preserve"> </w:t>
      </w:r>
      <w:r>
        <w:rPr>
          <w:rFonts w:ascii="Verdana" w:eastAsia="Malgun Gothic" w:hAnsi="Verdana" w:cs="Arial"/>
          <w:sz w:val="18"/>
          <w:szCs w:val="18"/>
        </w:rPr>
        <w:t>29</w:t>
      </w:r>
      <w:r w:rsidRPr="004D35AD">
        <w:rPr>
          <w:rFonts w:ascii="Verdana" w:eastAsia="Malgun Gothic" w:hAnsi="Verdana" w:cs="Arial"/>
          <w:sz w:val="18"/>
          <w:szCs w:val="18"/>
        </w:rPr>
        <w:t>,</w:t>
      </w:r>
      <w:r>
        <w:rPr>
          <w:rFonts w:ascii="Verdana" w:eastAsia="Malgun Gothic" w:hAnsi="Verdana" w:cs="Arial"/>
          <w:sz w:val="18"/>
          <w:szCs w:val="18"/>
        </w:rPr>
        <w:t>4</w:t>
      </w:r>
      <w:r w:rsidRPr="004D35AD">
        <w:rPr>
          <w:rFonts w:ascii="Verdana" w:eastAsia="Malgun Gothic" w:hAnsi="Verdana" w:cs="Arial"/>
          <w:sz w:val="18"/>
          <w:szCs w:val="18"/>
        </w:rPr>
        <w:t xml:space="preserve">%, in relation to </w:t>
      </w:r>
      <w:r>
        <w:rPr>
          <w:rFonts w:ascii="Verdana" w:eastAsia="Malgun Gothic" w:hAnsi="Verdana" w:cs="Arial"/>
          <w:sz w:val="18"/>
          <w:szCs w:val="18"/>
        </w:rPr>
        <w:t>29</w:t>
      </w:r>
      <w:r w:rsidRPr="004D35AD">
        <w:rPr>
          <w:rFonts w:ascii="Verdana" w:eastAsia="Malgun Gothic" w:hAnsi="Verdana" w:cs="Arial"/>
          <w:sz w:val="18"/>
          <w:szCs w:val="18"/>
        </w:rPr>
        <w:t>,</w:t>
      </w:r>
      <w:r>
        <w:rPr>
          <w:rFonts w:ascii="Verdana" w:eastAsia="Malgun Gothic" w:hAnsi="Verdana" w:cs="Arial"/>
          <w:sz w:val="18"/>
          <w:szCs w:val="18"/>
        </w:rPr>
        <w:t>3</w:t>
      </w:r>
      <w:r w:rsidRPr="004D35AD">
        <w:rPr>
          <w:rFonts w:ascii="Verdana" w:eastAsia="Malgun Gothic" w:hAnsi="Verdana" w:cs="Arial"/>
          <w:sz w:val="18"/>
          <w:szCs w:val="18"/>
        </w:rPr>
        <w:t>%</w:t>
      </w:r>
      <w:r>
        <w:rPr>
          <w:rFonts w:ascii="Verdana" w:eastAsia="Malgun Gothic" w:hAnsi="Verdana" w:cs="Arial"/>
          <w:sz w:val="18"/>
          <w:szCs w:val="18"/>
        </w:rPr>
        <w:t xml:space="preserve"> in </w:t>
      </w:r>
      <w:r w:rsidRPr="004D35AD">
        <w:rPr>
          <w:rFonts w:ascii="Verdana" w:eastAsia="Malgun Gothic" w:hAnsi="Verdana" w:cs="Arial"/>
          <w:sz w:val="18"/>
          <w:szCs w:val="18"/>
        </w:rPr>
        <w:t>20</w:t>
      </w:r>
      <w:r>
        <w:rPr>
          <w:rFonts w:ascii="Verdana" w:eastAsia="Malgun Gothic" w:hAnsi="Verdana" w:cs="Arial"/>
          <w:sz w:val="18"/>
          <w:szCs w:val="18"/>
        </w:rPr>
        <w:t xml:space="preserve">20. </w:t>
      </w:r>
    </w:p>
    <w:p w14:paraId="3A14D457" w14:textId="77777777" w:rsidR="00985D01" w:rsidRDefault="00985D01" w:rsidP="00985D01">
      <w:pPr>
        <w:jc w:val="both"/>
        <w:rPr>
          <w:rFonts w:ascii="Verdana" w:eastAsia="Malgun Gothic" w:hAnsi="Verdana" w:cs="Arial"/>
          <w:sz w:val="18"/>
          <w:szCs w:val="18"/>
        </w:rPr>
      </w:pPr>
    </w:p>
    <w:p w14:paraId="4C22EA84" w14:textId="77777777" w:rsidR="00985D01" w:rsidRDefault="00985D01" w:rsidP="00985D01">
      <w:pPr>
        <w:jc w:val="both"/>
        <w:rPr>
          <w:rFonts w:ascii="Verdana" w:eastAsia="Malgun Gothic" w:hAnsi="Verdana" w:cs="Arial"/>
          <w:sz w:val="18"/>
          <w:szCs w:val="18"/>
        </w:rPr>
      </w:pPr>
    </w:p>
    <w:p w14:paraId="728BACC8" w14:textId="77777777" w:rsidR="00985D01" w:rsidRDefault="00985D01" w:rsidP="00985D01">
      <w:pPr>
        <w:jc w:val="both"/>
        <w:rPr>
          <w:rFonts w:ascii="Verdana" w:eastAsia="Malgun Gothic" w:hAnsi="Verdana" w:cs="Arial"/>
          <w:sz w:val="18"/>
          <w:szCs w:val="18"/>
        </w:rPr>
      </w:pP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30"/>
        <w:gridCol w:w="2111"/>
        <w:gridCol w:w="712"/>
        <w:gridCol w:w="867"/>
        <w:gridCol w:w="1146"/>
        <w:gridCol w:w="1146"/>
        <w:gridCol w:w="1146"/>
        <w:gridCol w:w="1146"/>
      </w:tblGrid>
      <w:tr w:rsidR="00985D01" w:rsidRPr="00DF46CC" w14:paraId="64A37000" w14:textId="77777777" w:rsidTr="003441E6">
        <w:trPr>
          <w:trHeight w:val="389"/>
          <w:jc w:val="center"/>
        </w:trPr>
        <w:tc>
          <w:tcPr>
            <w:tcW w:w="1509" w:type="dxa"/>
            <w:tcBorders>
              <w:top w:val="nil"/>
              <w:bottom w:val="single" w:sz="4" w:space="0" w:color="365F91"/>
            </w:tcBorders>
            <w:shd w:val="clear" w:color="auto" w:fill="auto"/>
            <w:vAlign w:val="center"/>
            <w:hideMark/>
          </w:tcPr>
          <w:p w14:paraId="737064E5" w14:textId="77777777" w:rsidR="00985D01" w:rsidRPr="00DF46CC" w:rsidRDefault="00985D01" w:rsidP="003441E6">
            <w:pPr>
              <w:rPr>
                <w:rFonts w:ascii="Verdana" w:eastAsia="Times New Roman" w:hAnsi="Verdana" w:cs="Calibri"/>
                <w:b/>
                <w:color w:val="365F91"/>
                <w:sz w:val="18"/>
                <w:szCs w:val="18"/>
                <w:lang w:val="el-GR" w:eastAsia="el-GR"/>
              </w:rPr>
            </w:pPr>
            <w:r w:rsidRPr="00DF46CC">
              <w:rPr>
                <w:rFonts w:ascii="Verdana" w:eastAsia="Times New Roman" w:hAnsi="Verdana" w:cs="Calibri"/>
                <w:b/>
                <w:color w:val="365F91"/>
                <w:sz w:val="18"/>
                <w:szCs w:val="18"/>
                <w:lang w:eastAsia="el-GR"/>
              </w:rPr>
              <w:t>Table</w:t>
            </w:r>
          </w:p>
        </w:tc>
        <w:tc>
          <w:tcPr>
            <w:tcW w:w="2081" w:type="dxa"/>
            <w:tcBorders>
              <w:top w:val="nil"/>
              <w:bottom w:val="single" w:sz="4" w:space="0" w:color="365F91"/>
            </w:tcBorders>
            <w:shd w:val="clear" w:color="auto" w:fill="auto"/>
            <w:vAlign w:val="center"/>
            <w:hideMark/>
          </w:tcPr>
          <w:p w14:paraId="39DBA924"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702" w:type="dxa"/>
            <w:tcBorders>
              <w:top w:val="nil"/>
              <w:bottom w:val="single" w:sz="4" w:space="0" w:color="365F91"/>
            </w:tcBorders>
            <w:shd w:val="clear" w:color="auto" w:fill="auto"/>
            <w:vAlign w:val="center"/>
            <w:hideMark/>
          </w:tcPr>
          <w:p w14:paraId="3AF49EF9"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854" w:type="dxa"/>
            <w:tcBorders>
              <w:top w:val="nil"/>
              <w:bottom w:val="single" w:sz="4" w:space="0" w:color="365F91"/>
            </w:tcBorders>
          </w:tcPr>
          <w:p w14:paraId="55838894"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321B729A"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620859CE"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756A2832"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049509BE" w14:textId="77777777" w:rsidR="00985D01" w:rsidRPr="00DF46CC" w:rsidRDefault="00985D01" w:rsidP="003441E6">
            <w:pPr>
              <w:jc w:val="center"/>
              <w:rPr>
                <w:rFonts w:ascii="Verdana" w:eastAsia="Times New Roman" w:hAnsi="Verdana" w:cs="Calibri"/>
                <w:color w:val="365F91"/>
                <w:sz w:val="18"/>
                <w:szCs w:val="18"/>
                <w:lang w:eastAsia="el-GR"/>
              </w:rPr>
            </w:pPr>
          </w:p>
        </w:tc>
      </w:tr>
      <w:tr w:rsidR="00985D01" w:rsidRPr="00DF46CC" w14:paraId="7D4C40E9" w14:textId="77777777" w:rsidTr="003441E6">
        <w:trPr>
          <w:trHeight w:val="564"/>
          <w:jc w:val="center"/>
        </w:trPr>
        <w:tc>
          <w:tcPr>
            <w:tcW w:w="1509" w:type="dxa"/>
            <w:tcBorders>
              <w:top w:val="single" w:sz="4" w:space="0" w:color="365F91"/>
              <w:bottom w:val="single" w:sz="4" w:space="0" w:color="365F91"/>
            </w:tcBorders>
            <w:shd w:val="clear" w:color="auto" w:fill="auto"/>
            <w:vAlign w:val="center"/>
            <w:hideMark/>
          </w:tcPr>
          <w:p w14:paraId="6D0C8FC2" w14:textId="77777777" w:rsidR="00985D01" w:rsidRPr="00DF46CC" w:rsidRDefault="00985D01" w:rsidP="003441E6">
            <w:pPr>
              <w:jc w:val="cente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Indicator</w:t>
            </w:r>
          </w:p>
        </w:tc>
        <w:tc>
          <w:tcPr>
            <w:tcW w:w="2081" w:type="dxa"/>
            <w:tcBorders>
              <w:top w:val="single" w:sz="4" w:space="0" w:color="365F91"/>
              <w:bottom w:val="single" w:sz="4" w:space="0" w:color="365F91"/>
            </w:tcBorders>
            <w:shd w:val="clear" w:color="auto" w:fill="auto"/>
            <w:vAlign w:val="center"/>
            <w:hideMark/>
          </w:tcPr>
          <w:p w14:paraId="15F3E490" w14:textId="77777777" w:rsidR="00985D01" w:rsidRPr="00DF46CC" w:rsidRDefault="00985D01" w:rsidP="003441E6">
            <w:pPr>
              <w:jc w:val="center"/>
              <w:rPr>
                <w:rFonts w:ascii="Verdana" w:eastAsia="Times New Roman" w:hAnsi="Verdana" w:cs="Calibri"/>
                <w:b/>
                <w:color w:val="365F91"/>
                <w:sz w:val="18"/>
                <w:szCs w:val="18"/>
                <w:lang w:eastAsia="el-GR"/>
              </w:rPr>
            </w:pPr>
          </w:p>
        </w:tc>
        <w:tc>
          <w:tcPr>
            <w:tcW w:w="702" w:type="dxa"/>
            <w:tcBorders>
              <w:top w:val="single" w:sz="4" w:space="0" w:color="365F91"/>
              <w:bottom w:val="single" w:sz="4" w:space="0" w:color="365F91"/>
            </w:tcBorders>
            <w:shd w:val="clear" w:color="auto" w:fill="auto"/>
            <w:vAlign w:val="center"/>
            <w:hideMark/>
          </w:tcPr>
          <w:p w14:paraId="48942F1F" w14:textId="77777777" w:rsidR="00985D01" w:rsidRPr="00DF46CC" w:rsidRDefault="00985D01" w:rsidP="003441E6">
            <w:pPr>
              <w:jc w:val="center"/>
              <w:rPr>
                <w:rFonts w:ascii="Verdana" w:eastAsia="Times New Roman" w:hAnsi="Verdana" w:cs="Calibri"/>
                <w:b/>
                <w:color w:val="365F91"/>
                <w:sz w:val="18"/>
                <w:szCs w:val="18"/>
                <w:lang w:eastAsia="el-GR"/>
              </w:rPr>
            </w:pPr>
          </w:p>
        </w:tc>
        <w:tc>
          <w:tcPr>
            <w:tcW w:w="854" w:type="dxa"/>
            <w:tcBorders>
              <w:top w:val="single" w:sz="4" w:space="0" w:color="365F91"/>
              <w:bottom w:val="single" w:sz="4" w:space="0" w:color="365F91"/>
            </w:tcBorders>
            <w:vAlign w:val="center"/>
          </w:tcPr>
          <w:p w14:paraId="77E084AF" w14:textId="77777777" w:rsidR="00985D01" w:rsidRPr="00DF46CC" w:rsidRDefault="00985D01" w:rsidP="003441E6">
            <w:pPr>
              <w:jc w:val="cente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2015</w:t>
            </w:r>
          </w:p>
        </w:tc>
        <w:tc>
          <w:tcPr>
            <w:tcW w:w="1129" w:type="dxa"/>
            <w:tcBorders>
              <w:top w:val="single" w:sz="4" w:space="0" w:color="365F91"/>
              <w:bottom w:val="single" w:sz="4" w:space="0" w:color="365F91"/>
            </w:tcBorders>
            <w:shd w:val="clear" w:color="auto" w:fill="auto"/>
            <w:noWrap/>
            <w:vAlign w:val="center"/>
            <w:hideMark/>
          </w:tcPr>
          <w:p w14:paraId="7B4F3843" w14:textId="77777777" w:rsidR="00985D01" w:rsidRPr="00DF46CC" w:rsidRDefault="00985D01" w:rsidP="003441E6">
            <w:pPr>
              <w:jc w:val="cente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2018</w:t>
            </w:r>
          </w:p>
        </w:tc>
        <w:tc>
          <w:tcPr>
            <w:tcW w:w="1129" w:type="dxa"/>
            <w:tcBorders>
              <w:top w:val="single" w:sz="4" w:space="0" w:color="365F91"/>
              <w:bottom w:val="single" w:sz="4" w:space="0" w:color="365F91"/>
            </w:tcBorders>
            <w:shd w:val="clear" w:color="auto" w:fill="auto"/>
            <w:noWrap/>
            <w:vAlign w:val="center"/>
            <w:hideMark/>
          </w:tcPr>
          <w:p w14:paraId="292E6AF0" w14:textId="77777777" w:rsidR="00985D01" w:rsidRPr="00DF46CC" w:rsidRDefault="00985D01" w:rsidP="003441E6">
            <w:pPr>
              <w:jc w:val="cente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2019</w:t>
            </w:r>
          </w:p>
        </w:tc>
        <w:tc>
          <w:tcPr>
            <w:tcW w:w="1129" w:type="dxa"/>
            <w:tcBorders>
              <w:top w:val="single" w:sz="4" w:space="0" w:color="365F91"/>
              <w:bottom w:val="single" w:sz="4" w:space="0" w:color="365F91"/>
            </w:tcBorders>
            <w:shd w:val="clear" w:color="auto" w:fill="auto"/>
            <w:noWrap/>
            <w:vAlign w:val="center"/>
            <w:hideMark/>
          </w:tcPr>
          <w:p w14:paraId="74C931C1" w14:textId="77777777" w:rsidR="00985D01" w:rsidRPr="00DF46CC" w:rsidRDefault="00985D01" w:rsidP="003441E6">
            <w:pPr>
              <w:jc w:val="center"/>
              <w:rPr>
                <w:rFonts w:ascii="Verdana" w:eastAsia="Times New Roman" w:hAnsi="Verdana" w:cs="Calibri"/>
                <w:b/>
                <w:color w:val="365F91"/>
                <w:sz w:val="18"/>
                <w:szCs w:val="18"/>
                <w:lang w:val="el-GR" w:eastAsia="el-GR"/>
              </w:rPr>
            </w:pPr>
            <w:r w:rsidRPr="00DF46CC">
              <w:rPr>
                <w:rFonts w:ascii="Verdana" w:eastAsia="Times New Roman" w:hAnsi="Verdana" w:cs="Calibri"/>
                <w:b/>
                <w:color w:val="365F91"/>
                <w:sz w:val="18"/>
                <w:szCs w:val="18"/>
                <w:lang w:eastAsia="el-GR"/>
              </w:rPr>
              <w:t>20</w:t>
            </w:r>
            <w:r w:rsidRPr="00DF46CC">
              <w:rPr>
                <w:rFonts w:ascii="Verdana" w:eastAsia="Times New Roman" w:hAnsi="Verdana" w:cs="Calibri"/>
                <w:b/>
                <w:color w:val="365F91"/>
                <w:sz w:val="18"/>
                <w:szCs w:val="18"/>
                <w:lang w:val="el-GR" w:eastAsia="el-GR"/>
              </w:rPr>
              <w:t>20</w:t>
            </w:r>
          </w:p>
        </w:tc>
        <w:tc>
          <w:tcPr>
            <w:tcW w:w="1129" w:type="dxa"/>
            <w:tcBorders>
              <w:top w:val="single" w:sz="4" w:space="0" w:color="365F91"/>
              <w:bottom w:val="single" w:sz="4" w:space="0" w:color="365F91"/>
            </w:tcBorders>
            <w:shd w:val="clear" w:color="auto" w:fill="auto"/>
            <w:noWrap/>
            <w:vAlign w:val="center"/>
            <w:hideMark/>
          </w:tcPr>
          <w:p w14:paraId="6586BEA2" w14:textId="77777777" w:rsidR="00985D01" w:rsidRPr="00DF46CC" w:rsidRDefault="00985D01" w:rsidP="003441E6">
            <w:pPr>
              <w:jc w:val="center"/>
              <w:rPr>
                <w:rFonts w:ascii="Verdana" w:eastAsia="Times New Roman" w:hAnsi="Verdana" w:cs="Calibri"/>
                <w:b/>
                <w:color w:val="365F91"/>
                <w:sz w:val="18"/>
                <w:szCs w:val="18"/>
                <w:lang w:val="el-GR" w:eastAsia="el-GR"/>
              </w:rPr>
            </w:pPr>
            <w:r w:rsidRPr="00DF46CC">
              <w:rPr>
                <w:rFonts w:ascii="Verdana" w:eastAsia="Times New Roman" w:hAnsi="Verdana" w:cs="Calibri"/>
                <w:b/>
                <w:color w:val="365F91"/>
                <w:sz w:val="18"/>
                <w:szCs w:val="18"/>
                <w:lang w:eastAsia="el-GR"/>
              </w:rPr>
              <w:t>20</w:t>
            </w:r>
            <w:r w:rsidRPr="00DF46CC">
              <w:rPr>
                <w:rFonts w:ascii="Verdana" w:eastAsia="Times New Roman" w:hAnsi="Verdana" w:cs="Calibri"/>
                <w:b/>
                <w:color w:val="365F91"/>
                <w:sz w:val="18"/>
                <w:szCs w:val="18"/>
                <w:lang w:val="el-GR" w:eastAsia="el-GR"/>
              </w:rPr>
              <w:t>21</w:t>
            </w:r>
          </w:p>
        </w:tc>
      </w:tr>
      <w:tr w:rsidR="00985D01" w:rsidRPr="00DF46CC" w14:paraId="2C379FA7" w14:textId="77777777" w:rsidTr="003441E6">
        <w:trPr>
          <w:trHeight w:val="389"/>
          <w:jc w:val="center"/>
        </w:trPr>
        <w:tc>
          <w:tcPr>
            <w:tcW w:w="1509" w:type="dxa"/>
            <w:vMerge w:val="restart"/>
            <w:tcBorders>
              <w:top w:val="single" w:sz="4" w:space="0" w:color="365F91"/>
            </w:tcBorders>
            <w:shd w:val="clear" w:color="auto" w:fill="auto"/>
            <w:vAlign w:val="center"/>
            <w:hideMark/>
          </w:tcPr>
          <w:p w14:paraId="716338B5" w14:textId="77777777" w:rsidR="00985D01" w:rsidRPr="00DF46CC" w:rsidRDefault="00985D01" w:rsidP="003441E6">
            <w:pP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At-risk-of-poverty or social exclusion rate (AROPE)</w:t>
            </w:r>
          </w:p>
        </w:tc>
        <w:tc>
          <w:tcPr>
            <w:tcW w:w="2081" w:type="dxa"/>
            <w:tcBorders>
              <w:top w:val="single" w:sz="4" w:space="0" w:color="365F91"/>
              <w:bottom w:val="nil"/>
            </w:tcBorders>
            <w:shd w:val="clear" w:color="auto" w:fill="auto"/>
            <w:noWrap/>
            <w:vAlign w:val="center"/>
            <w:hideMark/>
          </w:tcPr>
          <w:p w14:paraId="06836095" w14:textId="77777777" w:rsidR="00985D01" w:rsidRPr="00DF46CC" w:rsidRDefault="00985D01" w:rsidP="003441E6">
            <w:pP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Total</w:t>
            </w:r>
          </w:p>
        </w:tc>
        <w:tc>
          <w:tcPr>
            <w:tcW w:w="702" w:type="dxa"/>
            <w:tcBorders>
              <w:top w:val="single" w:sz="4" w:space="0" w:color="365F91"/>
              <w:bottom w:val="nil"/>
            </w:tcBorders>
            <w:shd w:val="clear" w:color="auto" w:fill="auto"/>
            <w:noWrap/>
            <w:vAlign w:val="center"/>
            <w:hideMark/>
          </w:tcPr>
          <w:p w14:paraId="791CEC19"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w:t>
            </w:r>
          </w:p>
        </w:tc>
        <w:tc>
          <w:tcPr>
            <w:tcW w:w="854" w:type="dxa"/>
            <w:tcBorders>
              <w:top w:val="single" w:sz="4" w:space="0" w:color="365F91"/>
              <w:bottom w:val="nil"/>
            </w:tcBorders>
            <w:vAlign w:val="center"/>
          </w:tcPr>
          <w:p w14:paraId="659A6F38" w14:textId="77777777" w:rsidR="00985D01" w:rsidRPr="00DF46CC" w:rsidRDefault="00985D01" w:rsidP="003441E6">
            <w:pPr>
              <w:jc w:val="center"/>
              <w:rPr>
                <w:rFonts w:ascii="Verdana" w:hAnsi="Verdana" w:cs="Arial"/>
                <w:b/>
                <w:bCs/>
                <w:color w:val="2F5496"/>
                <w:sz w:val="18"/>
                <w:szCs w:val="18"/>
                <w:lang w:val="el-GR"/>
              </w:rPr>
            </w:pPr>
            <w:r w:rsidRPr="00DF46CC">
              <w:rPr>
                <w:rFonts w:ascii="Verdana" w:hAnsi="Verdana" w:cs="Arial"/>
                <w:b/>
                <w:bCs/>
                <w:color w:val="2F5496"/>
                <w:sz w:val="18"/>
                <w:szCs w:val="18"/>
              </w:rPr>
              <w:t>22,8</w:t>
            </w:r>
          </w:p>
        </w:tc>
        <w:tc>
          <w:tcPr>
            <w:tcW w:w="1129" w:type="dxa"/>
            <w:tcBorders>
              <w:top w:val="single" w:sz="4" w:space="0" w:color="365F91"/>
              <w:bottom w:val="nil"/>
            </w:tcBorders>
            <w:shd w:val="clear" w:color="auto" w:fill="auto"/>
            <w:noWrap/>
            <w:vAlign w:val="center"/>
            <w:hideMark/>
          </w:tcPr>
          <w:p w14:paraId="70A9A603" w14:textId="77777777" w:rsidR="00985D01" w:rsidRPr="00DF46CC" w:rsidRDefault="00985D01" w:rsidP="003441E6">
            <w:pPr>
              <w:jc w:val="center"/>
              <w:rPr>
                <w:rFonts w:ascii="Verdana" w:hAnsi="Verdana" w:cs="Arial"/>
                <w:b/>
                <w:bCs/>
                <w:color w:val="2F5496"/>
                <w:sz w:val="18"/>
                <w:szCs w:val="18"/>
                <w:lang w:val="el-GR"/>
              </w:rPr>
            </w:pPr>
            <w:r w:rsidRPr="00DF46CC">
              <w:rPr>
                <w:rFonts w:ascii="Verdana" w:hAnsi="Verdana" w:cs="Arial"/>
                <w:b/>
                <w:bCs/>
                <w:color w:val="2F5496"/>
                <w:sz w:val="18"/>
                <w:szCs w:val="18"/>
                <w:lang w:val="el-GR"/>
              </w:rPr>
              <w:t>19</w:t>
            </w:r>
            <w:r w:rsidRPr="00DF46CC">
              <w:rPr>
                <w:rFonts w:ascii="Verdana" w:hAnsi="Verdana" w:cs="Arial"/>
                <w:b/>
                <w:bCs/>
                <w:color w:val="2F5496"/>
                <w:sz w:val="18"/>
                <w:szCs w:val="18"/>
              </w:rPr>
              <w:t>,</w:t>
            </w:r>
            <w:r w:rsidRPr="00DF46CC">
              <w:rPr>
                <w:rFonts w:ascii="Verdana" w:hAnsi="Verdana" w:cs="Arial"/>
                <w:b/>
                <w:bCs/>
                <w:color w:val="2F5496"/>
                <w:sz w:val="18"/>
                <w:szCs w:val="18"/>
                <w:lang w:val="el-GR"/>
              </w:rPr>
              <w:t>1</w:t>
            </w:r>
          </w:p>
        </w:tc>
        <w:tc>
          <w:tcPr>
            <w:tcW w:w="1129" w:type="dxa"/>
            <w:tcBorders>
              <w:top w:val="single" w:sz="4" w:space="0" w:color="365F91"/>
              <w:bottom w:val="nil"/>
            </w:tcBorders>
            <w:shd w:val="clear" w:color="auto" w:fill="auto"/>
            <w:noWrap/>
            <w:vAlign w:val="center"/>
            <w:hideMark/>
          </w:tcPr>
          <w:p w14:paraId="3752A5CB" w14:textId="77777777" w:rsidR="00985D01" w:rsidRPr="00DF46CC" w:rsidRDefault="00985D01" w:rsidP="003441E6">
            <w:pPr>
              <w:jc w:val="center"/>
              <w:rPr>
                <w:rFonts w:ascii="Verdana" w:hAnsi="Verdana" w:cs="Arial"/>
                <w:b/>
                <w:bCs/>
                <w:color w:val="2F5496"/>
                <w:sz w:val="18"/>
                <w:szCs w:val="18"/>
                <w:lang w:val="el-GR"/>
              </w:rPr>
            </w:pPr>
            <w:r w:rsidRPr="00DF46CC">
              <w:rPr>
                <w:rFonts w:ascii="Verdana" w:hAnsi="Verdana" w:cs="Arial"/>
                <w:b/>
                <w:bCs/>
                <w:color w:val="2F5496"/>
                <w:sz w:val="18"/>
                <w:szCs w:val="18"/>
                <w:lang w:val="el-GR"/>
              </w:rPr>
              <w:t>18</w:t>
            </w:r>
            <w:r w:rsidRPr="00DF46CC">
              <w:rPr>
                <w:rFonts w:ascii="Verdana" w:hAnsi="Verdana" w:cs="Arial"/>
                <w:b/>
                <w:bCs/>
                <w:color w:val="2F5496"/>
                <w:sz w:val="18"/>
                <w:szCs w:val="18"/>
              </w:rPr>
              <w:t>,</w:t>
            </w:r>
            <w:r w:rsidRPr="00DF46CC">
              <w:rPr>
                <w:rFonts w:ascii="Verdana" w:hAnsi="Verdana" w:cs="Arial"/>
                <w:b/>
                <w:bCs/>
                <w:color w:val="2F5496"/>
                <w:sz w:val="18"/>
                <w:szCs w:val="18"/>
                <w:lang w:val="el-GR"/>
              </w:rPr>
              <w:t>6</w:t>
            </w:r>
          </w:p>
        </w:tc>
        <w:tc>
          <w:tcPr>
            <w:tcW w:w="1129" w:type="dxa"/>
            <w:tcBorders>
              <w:top w:val="single" w:sz="4" w:space="0" w:color="365F91"/>
              <w:bottom w:val="nil"/>
            </w:tcBorders>
            <w:shd w:val="clear" w:color="auto" w:fill="auto"/>
            <w:noWrap/>
            <w:vAlign w:val="center"/>
            <w:hideMark/>
          </w:tcPr>
          <w:p w14:paraId="78AF3B61" w14:textId="77777777" w:rsidR="00985D01" w:rsidRPr="00DF46CC" w:rsidRDefault="00985D01" w:rsidP="003441E6">
            <w:pPr>
              <w:jc w:val="center"/>
              <w:rPr>
                <w:rFonts w:ascii="Verdana" w:hAnsi="Verdana" w:cs="Arial"/>
                <w:b/>
                <w:bCs/>
                <w:color w:val="2F5496"/>
                <w:sz w:val="18"/>
                <w:szCs w:val="18"/>
                <w:lang w:val="el-GR"/>
              </w:rPr>
            </w:pPr>
            <w:r w:rsidRPr="00DF46CC">
              <w:rPr>
                <w:rFonts w:ascii="Verdana" w:hAnsi="Verdana" w:cs="Arial"/>
                <w:b/>
                <w:bCs/>
                <w:color w:val="2F5496"/>
                <w:sz w:val="18"/>
                <w:szCs w:val="18"/>
                <w:lang w:val="el-GR"/>
              </w:rPr>
              <w:t>17</w:t>
            </w:r>
            <w:r w:rsidRPr="00DF46CC">
              <w:rPr>
                <w:rFonts w:ascii="Verdana" w:hAnsi="Verdana" w:cs="Arial"/>
                <w:b/>
                <w:bCs/>
                <w:color w:val="2F5496"/>
                <w:sz w:val="18"/>
                <w:szCs w:val="18"/>
              </w:rPr>
              <w:t>,</w:t>
            </w:r>
            <w:r w:rsidRPr="00DF46CC">
              <w:rPr>
                <w:rFonts w:ascii="Verdana" w:hAnsi="Verdana" w:cs="Arial"/>
                <w:b/>
                <w:bCs/>
                <w:color w:val="2F5496"/>
                <w:sz w:val="18"/>
                <w:szCs w:val="18"/>
                <w:lang w:val="el-GR"/>
              </w:rPr>
              <w:t>6</w:t>
            </w:r>
          </w:p>
        </w:tc>
        <w:tc>
          <w:tcPr>
            <w:tcW w:w="1129" w:type="dxa"/>
            <w:tcBorders>
              <w:top w:val="single" w:sz="4" w:space="0" w:color="365F91"/>
              <w:bottom w:val="nil"/>
            </w:tcBorders>
            <w:shd w:val="clear" w:color="auto" w:fill="auto"/>
            <w:noWrap/>
            <w:vAlign w:val="center"/>
            <w:hideMark/>
          </w:tcPr>
          <w:p w14:paraId="7585E1E2" w14:textId="77777777" w:rsidR="00985D01" w:rsidRPr="00DF46CC" w:rsidRDefault="00985D01" w:rsidP="003441E6">
            <w:pPr>
              <w:jc w:val="center"/>
              <w:rPr>
                <w:rFonts w:ascii="Verdana" w:hAnsi="Verdana" w:cs="Arial"/>
                <w:b/>
                <w:bCs/>
                <w:color w:val="2F5496"/>
                <w:sz w:val="18"/>
                <w:szCs w:val="18"/>
                <w:lang w:val="el-GR"/>
              </w:rPr>
            </w:pPr>
            <w:r w:rsidRPr="00DF46CC">
              <w:rPr>
                <w:rFonts w:ascii="Verdana" w:hAnsi="Verdana" w:cs="Arial"/>
                <w:b/>
                <w:bCs/>
                <w:color w:val="2F5496"/>
                <w:sz w:val="18"/>
                <w:szCs w:val="18"/>
              </w:rPr>
              <w:t>17,3</w:t>
            </w:r>
          </w:p>
        </w:tc>
      </w:tr>
      <w:tr w:rsidR="00985D01" w:rsidRPr="00DF46CC" w14:paraId="47188781" w14:textId="77777777" w:rsidTr="003441E6">
        <w:trPr>
          <w:trHeight w:val="389"/>
          <w:jc w:val="center"/>
        </w:trPr>
        <w:tc>
          <w:tcPr>
            <w:tcW w:w="1509" w:type="dxa"/>
            <w:vMerge/>
            <w:vAlign w:val="center"/>
            <w:hideMark/>
          </w:tcPr>
          <w:p w14:paraId="6CF48994" w14:textId="77777777" w:rsidR="00985D01" w:rsidRPr="00DF46CC" w:rsidRDefault="00985D01" w:rsidP="003441E6">
            <w:pPr>
              <w:rPr>
                <w:rFonts w:ascii="Verdana" w:eastAsia="Times New Roman" w:hAnsi="Verdana" w:cs="Calibri"/>
                <w:b/>
                <w:color w:val="365F91"/>
                <w:sz w:val="18"/>
                <w:szCs w:val="18"/>
                <w:lang w:eastAsia="el-GR"/>
              </w:rPr>
            </w:pPr>
          </w:p>
        </w:tc>
        <w:tc>
          <w:tcPr>
            <w:tcW w:w="2081" w:type="dxa"/>
            <w:tcBorders>
              <w:top w:val="nil"/>
              <w:bottom w:val="nil"/>
            </w:tcBorders>
            <w:shd w:val="clear" w:color="auto" w:fill="auto"/>
            <w:noWrap/>
            <w:vAlign w:val="center"/>
            <w:hideMark/>
          </w:tcPr>
          <w:p w14:paraId="7C4EF0A4" w14:textId="77777777" w:rsidR="00985D01" w:rsidRPr="00DF46CC" w:rsidRDefault="00985D01" w:rsidP="003441E6">
            <w:pP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Men</w:t>
            </w:r>
          </w:p>
        </w:tc>
        <w:tc>
          <w:tcPr>
            <w:tcW w:w="702" w:type="dxa"/>
            <w:tcBorders>
              <w:top w:val="nil"/>
              <w:bottom w:val="nil"/>
            </w:tcBorders>
            <w:shd w:val="clear" w:color="auto" w:fill="auto"/>
            <w:noWrap/>
            <w:vAlign w:val="center"/>
            <w:hideMark/>
          </w:tcPr>
          <w:p w14:paraId="7B72C9C5"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w:t>
            </w:r>
          </w:p>
        </w:tc>
        <w:tc>
          <w:tcPr>
            <w:tcW w:w="854" w:type="dxa"/>
            <w:tcBorders>
              <w:top w:val="nil"/>
              <w:bottom w:val="nil"/>
            </w:tcBorders>
            <w:vAlign w:val="center"/>
          </w:tcPr>
          <w:p w14:paraId="7DB3970E"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21,6</w:t>
            </w:r>
          </w:p>
        </w:tc>
        <w:tc>
          <w:tcPr>
            <w:tcW w:w="1129" w:type="dxa"/>
            <w:tcBorders>
              <w:top w:val="nil"/>
              <w:bottom w:val="nil"/>
            </w:tcBorders>
            <w:shd w:val="clear" w:color="auto" w:fill="auto"/>
            <w:noWrap/>
            <w:vAlign w:val="center"/>
            <w:hideMark/>
          </w:tcPr>
          <w:p w14:paraId="6DB6E41A"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18</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0</w:t>
            </w:r>
          </w:p>
        </w:tc>
        <w:tc>
          <w:tcPr>
            <w:tcW w:w="1129" w:type="dxa"/>
            <w:tcBorders>
              <w:top w:val="nil"/>
              <w:bottom w:val="nil"/>
            </w:tcBorders>
            <w:shd w:val="clear" w:color="auto" w:fill="auto"/>
            <w:noWrap/>
            <w:vAlign w:val="center"/>
            <w:hideMark/>
          </w:tcPr>
          <w:p w14:paraId="1C59A891"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17,2</w:t>
            </w:r>
          </w:p>
        </w:tc>
        <w:tc>
          <w:tcPr>
            <w:tcW w:w="1129" w:type="dxa"/>
            <w:tcBorders>
              <w:top w:val="nil"/>
              <w:bottom w:val="nil"/>
            </w:tcBorders>
            <w:shd w:val="clear" w:color="auto" w:fill="auto"/>
            <w:noWrap/>
            <w:vAlign w:val="center"/>
            <w:hideMark/>
          </w:tcPr>
          <w:p w14:paraId="36A4848A"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16,6</w:t>
            </w:r>
          </w:p>
        </w:tc>
        <w:tc>
          <w:tcPr>
            <w:tcW w:w="1129" w:type="dxa"/>
            <w:tcBorders>
              <w:top w:val="nil"/>
              <w:bottom w:val="nil"/>
            </w:tcBorders>
            <w:shd w:val="clear" w:color="auto" w:fill="auto"/>
            <w:noWrap/>
            <w:vAlign w:val="center"/>
            <w:hideMark/>
          </w:tcPr>
          <w:p w14:paraId="607D6F02"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15,8</w:t>
            </w:r>
          </w:p>
        </w:tc>
      </w:tr>
      <w:tr w:rsidR="00985D01" w:rsidRPr="00DF46CC" w14:paraId="29ED58E8" w14:textId="77777777" w:rsidTr="003441E6">
        <w:trPr>
          <w:trHeight w:val="389"/>
          <w:jc w:val="center"/>
        </w:trPr>
        <w:tc>
          <w:tcPr>
            <w:tcW w:w="1509" w:type="dxa"/>
            <w:vMerge/>
            <w:tcBorders>
              <w:bottom w:val="nil"/>
            </w:tcBorders>
            <w:vAlign w:val="center"/>
            <w:hideMark/>
          </w:tcPr>
          <w:p w14:paraId="1313294C" w14:textId="77777777" w:rsidR="00985D01" w:rsidRPr="00DF46CC" w:rsidRDefault="00985D01" w:rsidP="003441E6">
            <w:pPr>
              <w:rPr>
                <w:rFonts w:ascii="Verdana" w:eastAsia="Times New Roman" w:hAnsi="Verdana" w:cs="Calibri"/>
                <w:b/>
                <w:color w:val="365F91"/>
                <w:sz w:val="18"/>
                <w:szCs w:val="18"/>
                <w:lang w:eastAsia="el-GR"/>
              </w:rPr>
            </w:pPr>
          </w:p>
        </w:tc>
        <w:tc>
          <w:tcPr>
            <w:tcW w:w="2081" w:type="dxa"/>
            <w:tcBorders>
              <w:top w:val="nil"/>
              <w:bottom w:val="nil"/>
            </w:tcBorders>
            <w:shd w:val="clear" w:color="auto" w:fill="auto"/>
            <w:noWrap/>
            <w:vAlign w:val="center"/>
            <w:hideMark/>
          </w:tcPr>
          <w:p w14:paraId="6123FC62" w14:textId="77777777" w:rsidR="00985D01" w:rsidRPr="00DF46CC" w:rsidRDefault="00985D01" w:rsidP="003441E6">
            <w:pP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Women</w:t>
            </w:r>
          </w:p>
        </w:tc>
        <w:tc>
          <w:tcPr>
            <w:tcW w:w="702" w:type="dxa"/>
            <w:tcBorders>
              <w:top w:val="nil"/>
              <w:bottom w:val="nil"/>
            </w:tcBorders>
            <w:shd w:val="clear" w:color="auto" w:fill="auto"/>
            <w:noWrap/>
            <w:vAlign w:val="center"/>
            <w:hideMark/>
          </w:tcPr>
          <w:p w14:paraId="3C962926"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w:t>
            </w:r>
          </w:p>
        </w:tc>
        <w:tc>
          <w:tcPr>
            <w:tcW w:w="854" w:type="dxa"/>
            <w:tcBorders>
              <w:top w:val="nil"/>
              <w:bottom w:val="nil"/>
            </w:tcBorders>
            <w:vAlign w:val="center"/>
          </w:tcPr>
          <w:p w14:paraId="67B55FB5"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eastAsia="el-GR"/>
              </w:rPr>
              <w:t>24,0</w:t>
            </w:r>
          </w:p>
        </w:tc>
        <w:tc>
          <w:tcPr>
            <w:tcW w:w="1129" w:type="dxa"/>
            <w:tcBorders>
              <w:top w:val="nil"/>
              <w:bottom w:val="nil"/>
            </w:tcBorders>
            <w:shd w:val="clear" w:color="auto" w:fill="auto"/>
            <w:noWrap/>
            <w:vAlign w:val="center"/>
            <w:hideMark/>
          </w:tcPr>
          <w:p w14:paraId="342598D8"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eastAsia="el-GR"/>
              </w:rPr>
              <w:t>2</w:t>
            </w:r>
            <w:r w:rsidRPr="00DF46CC">
              <w:rPr>
                <w:rFonts w:ascii="Verdana" w:eastAsia="Times New Roman" w:hAnsi="Verdana" w:cs="Calibri"/>
                <w:color w:val="365F91"/>
                <w:sz w:val="18"/>
                <w:szCs w:val="18"/>
                <w:lang w:val="el-GR" w:eastAsia="el-GR"/>
              </w:rPr>
              <w:t>0</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2</w:t>
            </w:r>
          </w:p>
        </w:tc>
        <w:tc>
          <w:tcPr>
            <w:tcW w:w="1129" w:type="dxa"/>
            <w:tcBorders>
              <w:top w:val="nil"/>
              <w:bottom w:val="nil"/>
            </w:tcBorders>
            <w:shd w:val="clear" w:color="auto" w:fill="auto"/>
            <w:noWrap/>
            <w:vAlign w:val="center"/>
            <w:hideMark/>
          </w:tcPr>
          <w:p w14:paraId="21655423"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19,9</w:t>
            </w:r>
          </w:p>
        </w:tc>
        <w:tc>
          <w:tcPr>
            <w:tcW w:w="1129" w:type="dxa"/>
            <w:tcBorders>
              <w:top w:val="nil"/>
              <w:bottom w:val="nil"/>
            </w:tcBorders>
            <w:shd w:val="clear" w:color="auto" w:fill="auto"/>
            <w:noWrap/>
            <w:vAlign w:val="center"/>
            <w:hideMark/>
          </w:tcPr>
          <w:p w14:paraId="475988FF"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18,6</w:t>
            </w:r>
          </w:p>
        </w:tc>
        <w:tc>
          <w:tcPr>
            <w:tcW w:w="1129" w:type="dxa"/>
            <w:tcBorders>
              <w:top w:val="nil"/>
              <w:bottom w:val="nil"/>
            </w:tcBorders>
            <w:shd w:val="clear" w:color="auto" w:fill="auto"/>
            <w:noWrap/>
            <w:vAlign w:val="center"/>
            <w:hideMark/>
          </w:tcPr>
          <w:p w14:paraId="50E98703"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eastAsia="el-GR"/>
              </w:rPr>
              <w:t>18,7</w:t>
            </w:r>
          </w:p>
        </w:tc>
      </w:tr>
      <w:tr w:rsidR="00985D01" w:rsidRPr="00DF46CC" w14:paraId="20674659" w14:textId="77777777" w:rsidTr="003441E6">
        <w:trPr>
          <w:trHeight w:val="144"/>
          <w:jc w:val="center"/>
        </w:trPr>
        <w:tc>
          <w:tcPr>
            <w:tcW w:w="1509" w:type="dxa"/>
            <w:tcBorders>
              <w:top w:val="nil"/>
              <w:bottom w:val="single" w:sz="4" w:space="0" w:color="365F91"/>
            </w:tcBorders>
            <w:shd w:val="clear" w:color="auto" w:fill="auto"/>
            <w:vAlign w:val="center"/>
            <w:hideMark/>
          </w:tcPr>
          <w:p w14:paraId="11787574" w14:textId="77777777" w:rsidR="00985D01" w:rsidRPr="00DF46CC" w:rsidRDefault="00985D01" w:rsidP="003441E6">
            <w:pPr>
              <w:rPr>
                <w:rFonts w:ascii="Verdana" w:eastAsia="Times New Roman" w:hAnsi="Verdana" w:cs="Arial"/>
                <w:b/>
                <w:color w:val="365F91"/>
                <w:sz w:val="18"/>
                <w:szCs w:val="18"/>
                <w:lang w:eastAsia="el-GR"/>
              </w:rPr>
            </w:pPr>
          </w:p>
        </w:tc>
        <w:tc>
          <w:tcPr>
            <w:tcW w:w="2081" w:type="dxa"/>
            <w:tcBorders>
              <w:top w:val="nil"/>
              <w:bottom w:val="single" w:sz="4" w:space="0" w:color="365F91"/>
            </w:tcBorders>
            <w:shd w:val="clear" w:color="auto" w:fill="auto"/>
            <w:noWrap/>
            <w:vAlign w:val="center"/>
            <w:hideMark/>
          </w:tcPr>
          <w:p w14:paraId="553EAD52" w14:textId="77777777" w:rsidR="00985D01" w:rsidRPr="00DF46CC" w:rsidRDefault="00985D01" w:rsidP="003441E6">
            <w:pPr>
              <w:rPr>
                <w:rFonts w:ascii="Verdana" w:eastAsia="Times New Roman" w:hAnsi="Verdana" w:cs="Calibri"/>
                <w:color w:val="365F91"/>
                <w:sz w:val="18"/>
                <w:szCs w:val="18"/>
                <w:lang w:eastAsia="el-GR"/>
              </w:rPr>
            </w:pPr>
          </w:p>
        </w:tc>
        <w:tc>
          <w:tcPr>
            <w:tcW w:w="702" w:type="dxa"/>
            <w:tcBorders>
              <w:top w:val="nil"/>
              <w:bottom w:val="single" w:sz="4" w:space="0" w:color="365F91"/>
            </w:tcBorders>
            <w:shd w:val="clear" w:color="auto" w:fill="auto"/>
            <w:noWrap/>
            <w:vAlign w:val="center"/>
            <w:hideMark/>
          </w:tcPr>
          <w:p w14:paraId="608BF5E2"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854" w:type="dxa"/>
            <w:tcBorders>
              <w:top w:val="nil"/>
              <w:bottom w:val="single" w:sz="4" w:space="0" w:color="365F91"/>
            </w:tcBorders>
            <w:vAlign w:val="center"/>
          </w:tcPr>
          <w:p w14:paraId="7464C9CC" w14:textId="77777777" w:rsidR="00985D01" w:rsidRPr="00DF46CC" w:rsidRDefault="00985D01" w:rsidP="003441E6">
            <w:pPr>
              <w:ind w:right="144"/>
              <w:jc w:val="right"/>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599E8A20"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3225C092"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6D597DCC"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1D3BF65E" w14:textId="77777777" w:rsidR="00985D01" w:rsidRPr="00DF46CC" w:rsidRDefault="00985D01" w:rsidP="003441E6">
            <w:pPr>
              <w:jc w:val="center"/>
              <w:rPr>
                <w:rFonts w:ascii="Verdana" w:eastAsia="Times New Roman" w:hAnsi="Verdana" w:cs="Calibri"/>
                <w:color w:val="365F91"/>
                <w:sz w:val="18"/>
                <w:szCs w:val="18"/>
                <w:lang w:eastAsia="el-GR"/>
              </w:rPr>
            </w:pPr>
          </w:p>
        </w:tc>
      </w:tr>
      <w:tr w:rsidR="00985D01" w:rsidRPr="00DF46CC" w14:paraId="33254FA7" w14:textId="77777777" w:rsidTr="003441E6">
        <w:trPr>
          <w:trHeight w:val="821"/>
          <w:jc w:val="center"/>
        </w:trPr>
        <w:tc>
          <w:tcPr>
            <w:tcW w:w="1509" w:type="dxa"/>
            <w:vMerge w:val="restart"/>
            <w:tcBorders>
              <w:top w:val="single" w:sz="4" w:space="0" w:color="365F91"/>
            </w:tcBorders>
            <w:shd w:val="clear" w:color="auto" w:fill="auto"/>
            <w:vAlign w:val="center"/>
            <w:hideMark/>
          </w:tcPr>
          <w:p w14:paraId="350281C6" w14:textId="77777777" w:rsidR="00985D01" w:rsidRPr="00DF46CC" w:rsidRDefault="00985D01" w:rsidP="003441E6">
            <w:pP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At-risk-of-poverty threshold</w:t>
            </w:r>
          </w:p>
        </w:tc>
        <w:tc>
          <w:tcPr>
            <w:tcW w:w="2081" w:type="dxa"/>
            <w:tcBorders>
              <w:top w:val="single" w:sz="4" w:space="0" w:color="365F91"/>
              <w:bottom w:val="nil"/>
            </w:tcBorders>
            <w:shd w:val="clear" w:color="auto" w:fill="auto"/>
            <w:vAlign w:val="center"/>
            <w:hideMark/>
          </w:tcPr>
          <w:p w14:paraId="3C3960AC" w14:textId="77777777" w:rsidR="00985D01" w:rsidRPr="00DF46CC" w:rsidRDefault="00985D01" w:rsidP="003441E6">
            <w:pP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1 person households</w:t>
            </w:r>
          </w:p>
        </w:tc>
        <w:tc>
          <w:tcPr>
            <w:tcW w:w="702" w:type="dxa"/>
            <w:tcBorders>
              <w:top w:val="single" w:sz="4" w:space="0" w:color="365F91"/>
              <w:bottom w:val="nil"/>
            </w:tcBorders>
            <w:shd w:val="clear" w:color="auto" w:fill="auto"/>
            <w:noWrap/>
            <w:vAlign w:val="center"/>
            <w:hideMark/>
          </w:tcPr>
          <w:p w14:paraId="003E74DD"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w:t>
            </w:r>
          </w:p>
        </w:tc>
        <w:tc>
          <w:tcPr>
            <w:tcW w:w="854" w:type="dxa"/>
            <w:tcBorders>
              <w:top w:val="single" w:sz="4" w:space="0" w:color="365F91"/>
              <w:bottom w:val="nil"/>
            </w:tcBorders>
            <w:vAlign w:val="center"/>
          </w:tcPr>
          <w:p w14:paraId="7715F59C"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8.276</w:t>
            </w:r>
          </w:p>
        </w:tc>
        <w:tc>
          <w:tcPr>
            <w:tcW w:w="1129" w:type="dxa"/>
            <w:tcBorders>
              <w:top w:val="single" w:sz="4" w:space="0" w:color="365F91"/>
              <w:bottom w:val="nil"/>
            </w:tcBorders>
            <w:shd w:val="clear" w:color="auto" w:fill="auto"/>
            <w:noWrap/>
            <w:vAlign w:val="center"/>
            <w:hideMark/>
          </w:tcPr>
          <w:p w14:paraId="207C4BC6"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9.202</w:t>
            </w:r>
          </w:p>
        </w:tc>
        <w:tc>
          <w:tcPr>
            <w:tcW w:w="1129" w:type="dxa"/>
            <w:tcBorders>
              <w:top w:val="single" w:sz="4" w:space="0" w:color="365F91"/>
              <w:bottom w:val="nil"/>
            </w:tcBorders>
            <w:shd w:val="clear" w:color="auto" w:fill="auto"/>
            <w:noWrap/>
            <w:vAlign w:val="center"/>
            <w:hideMark/>
          </w:tcPr>
          <w:p w14:paraId="5B73B495"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9.729</w:t>
            </w:r>
          </w:p>
        </w:tc>
        <w:tc>
          <w:tcPr>
            <w:tcW w:w="1129" w:type="dxa"/>
            <w:tcBorders>
              <w:top w:val="single" w:sz="4" w:space="0" w:color="365F91"/>
              <w:bottom w:val="nil"/>
            </w:tcBorders>
            <w:shd w:val="clear" w:color="auto" w:fill="auto"/>
            <w:noWrap/>
            <w:vAlign w:val="center"/>
            <w:hideMark/>
          </w:tcPr>
          <w:p w14:paraId="00E3A72D"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val="el-GR" w:eastAsia="el-GR"/>
              </w:rPr>
              <w:t>10</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022</w:t>
            </w:r>
          </w:p>
        </w:tc>
        <w:tc>
          <w:tcPr>
            <w:tcW w:w="1129" w:type="dxa"/>
            <w:tcBorders>
              <w:top w:val="single" w:sz="4" w:space="0" w:color="365F91"/>
              <w:bottom w:val="nil"/>
            </w:tcBorders>
            <w:shd w:val="clear" w:color="auto" w:fill="auto"/>
            <w:noWrap/>
            <w:vAlign w:val="center"/>
            <w:hideMark/>
          </w:tcPr>
          <w:p w14:paraId="3891242B"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val="el-GR" w:eastAsia="el-GR"/>
              </w:rPr>
              <w:t>10</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011</w:t>
            </w:r>
          </w:p>
        </w:tc>
      </w:tr>
      <w:tr w:rsidR="00985D01" w:rsidRPr="00DF46CC" w14:paraId="589D874A" w14:textId="77777777" w:rsidTr="003441E6">
        <w:trPr>
          <w:trHeight w:val="821"/>
          <w:jc w:val="center"/>
        </w:trPr>
        <w:tc>
          <w:tcPr>
            <w:tcW w:w="1509" w:type="dxa"/>
            <w:vMerge/>
            <w:tcBorders>
              <w:bottom w:val="nil"/>
            </w:tcBorders>
            <w:vAlign w:val="center"/>
            <w:hideMark/>
          </w:tcPr>
          <w:p w14:paraId="396D8A4B" w14:textId="77777777" w:rsidR="00985D01" w:rsidRPr="00DF46CC" w:rsidRDefault="00985D01" w:rsidP="003441E6">
            <w:pPr>
              <w:rPr>
                <w:rFonts w:ascii="Verdana" w:eastAsia="Times New Roman" w:hAnsi="Verdana" w:cs="Calibri"/>
                <w:b/>
                <w:color w:val="365F91"/>
                <w:sz w:val="18"/>
                <w:szCs w:val="18"/>
                <w:lang w:eastAsia="el-GR"/>
              </w:rPr>
            </w:pPr>
          </w:p>
        </w:tc>
        <w:tc>
          <w:tcPr>
            <w:tcW w:w="2081" w:type="dxa"/>
            <w:tcBorders>
              <w:top w:val="nil"/>
              <w:bottom w:val="nil"/>
            </w:tcBorders>
            <w:shd w:val="clear" w:color="auto" w:fill="auto"/>
            <w:vAlign w:val="center"/>
            <w:hideMark/>
          </w:tcPr>
          <w:p w14:paraId="3A5F23CE" w14:textId="77777777" w:rsidR="00985D01" w:rsidRPr="00DF46CC" w:rsidRDefault="00985D01" w:rsidP="003441E6">
            <w:pP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Households with 2 adults and 2 dependent children</w:t>
            </w:r>
          </w:p>
        </w:tc>
        <w:tc>
          <w:tcPr>
            <w:tcW w:w="702" w:type="dxa"/>
            <w:tcBorders>
              <w:top w:val="nil"/>
              <w:bottom w:val="nil"/>
            </w:tcBorders>
            <w:shd w:val="clear" w:color="auto" w:fill="auto"/>
            <w:noWrap/>
            <w:vAlign w:val="center"/>
            <w:hideMark/>
          </w:tcPr>
          <w:p w14:paraId="6EED7764"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w:t>
            </w:r>
          </w:p>
        </w:tc>
        <w:tc>
          <w:tcPr>
            <w:tcW w:w="854" w:type="dxa"/>
            <w:tcBorders>
              <w:top w:val="nil"/>
              <w:bottom w:val="nil"/>
            </w:tcBorders>
            <w:vAlign w:val="center"/>
          </w:tcPr>
          <w:p w14:paraId="270A2433"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17.380</w:t>
            </w:r>
          </w:p>
        </w:tc>
        <w:tc>
          <w:tcPr>
            <w:tcW w:w="1129" w:type="dxa"/>
            <w:tcBorders>
              <w:top w:val="nil"/>
              <w:bottom w:val="nil"/>
            </w:tcBorders>
            <w:shd w:val="clear" w:color="auto" w:fill="auto"/>
            <w:noWrap/>
            <w:vAlign w:val="center"/>
            <w:hideMark/>
          </w:tcPr>
          <w:p w14:paraId="4B1B8F85"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19.323</w:t>
            </w:r>
          </w:p>
        </w:tc>
        <w:tc>
          <w:tcPr>
            <w:tcW w:w="1129" w:type="dxa"/>
            <w:tcBorders>
              <w:top w:val="nil"/>
              <w:bottom w:val="nil"/>
            </w:tcBorders>
            <w:shd w:val="clear" w:color="auto" w:fill="auto"/>
            <w:noWrap/>
            <w:vAlign w:val="center"/>
            <w:hideMark/>
          </w:tcPr>
          <w:p w14:paraId="7B5DB6BB"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20.431</w:t>
            </w:r>
          </w:p>
        </w:tc>
        <w:tc>
          <w:tcPr>
            <w:tcW w:w="1129" w:type="dxa"/>
            <w:tcBorders>
              <w:top w:val="nil"/>
              <w:bottom w:val="nil"/>
            </w:tcBorders>
            <w:shd w:val="clear" w:color="auto" w:fill="auto"/>
            <w:noWrap/>
            <w:vAlign w:val="center"/>
            <w:hideMark/>
          </w:tcPr>
          <w:p w14:paraId="553826D5"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2</w:t>
            </w:r>
            <w:r w:rsidRPr="00DF46CC">
              <w:rPr>
                <w:rFonts w:ascii="Verdana" w:eastAsia="Times New Roman" w:hAnsi="Verdana" w:cs="Calibri"/>
                <w:color w:val="365F91"/>
                <w:sz w:val="18"/>
                <w:szCs w:val="18"/>
                <w:lang w:val="el-GR" w:eastAsia="el-GR"/>
              </w:rPr>
              <w:t>1</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047</w:t>
            </w:r>
          </w:p>
        </w:tc>
        <w:tc>
          <w:tcPr>
            <w:tcW w:w="1129" w:type="dxa"/>
            <w:tcBorders>
              <w:top w:val="nil"/>
              <w:bottom w:val="nil"/>
            </w:tcBorders>
            <w:shd w:val="clear" w:color="auto" w:fill="auto"/>
            <w:noWrap/>
            <w:vAlign w:val="center"/>
            <w:hideMark/>
          </w:tcPr>
          <w:p w14:paraId="66369FCE"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2</w:t>
            </w:r>
            <w:r w:rsidRPr="00DF46CC">
              <w:rPr>
                <w:rFonts w:ascii="Verdana" w:eastAsia="Times New Roman" w:hAnsi="Verdana" w:cs="Calibri"/>
                <w:color w:val="365F91"/>
                <w:sz w:val="18"/>
                <w:szCs w:val="18"/>
                <w:lang w:val="el-GR" w:eastAsia="el-GR"/>
              </w:rPr>
              <w:t>1</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024</w:t>
            </w:r>
          </w:p>
        </w:tc>
      </w:tr>
      <w:tr w:rsidR="00985D01" w:rsidRPr="00DF46CC" w14:paraId="41B63DD6" w14:textId="77777777" w:rsidTr="003441E6">
        <w:trPr>
          <w:trHeight w:val="115"/>
          <w:jc w:val="center"/>
        </w:trPr>
        <w:tc>
          <w:tcPr>
            <w:tcW w:w="1509" w:type="dxa"/>
            <w:tcBorders>
              <w:top w:val="nil"/>
              <w:bottom w:val="single" w:sz="4" w:space="0" w:color="365F91"/>
            </w:tcBorders>
            <w:shd w:val="clear" w:color="auto" w:fill="auto"/>
            <w:vAlign w:val="center"/>
            <w:hideMark/>
          </w:tcPr>
          <w:p w14:paraId="2E5BF97A" w14:textId="77777777" w:rsidR="00985D01" w:rsidRPr="00DF46CC" w:rsidRDefault="00985D01" w:rsidP="003441E6">
            <w:pPr>
              <w:rPr>
                <w:rFonts w:ascii="Verdana" w:eastAsia="Times New Roman" w:hAnsi="Verdana" w:cs="Arial"/>
                <w:b/>
                <w:color w:val="365F91"/>
                <w:sz w:val="18"/>
                <w:szCs w:val="18"/>
                <w:lang w:eastAsia="el-GR"/>
              </w:rPr>
            </w:pPr>
            <w:r w:rsidRPr="00DF46CC">
              <w:rPr>
                <w:rFonts w:ascii="Verdana" w:eastAsia="Times New Roman" w:hAnsi="Verdana" w:cs="Arial"/>
                <w:b/>
                <w:color w:val="365F91"/>
                <w:sz w:val="18"/>
                <w:szCs w:val="18"/>
                <w:lang w:eastAsia="el-GR"/>
              </w:rPr>
              <w:t> </w:t>
            </w:r>
          </w:p>
        </w:tc>
        <w:tc>
          <w:tcPr>
            <w:tcW w:w="2081" w:type="dxa"/>
            <w:tcBorders>
              <w:top w:val="nil"/>
              <w:bottom w:val="single" w:sz="4" w:space="0" w:color="365F91"/>
            </w:tcBorders>
            <w:shd w:val="clear" w:color="auto" w:fill="auto"/>
            <w:noWrap/>
            <w:vAlign w:val="center"/>
            <w:hideMark/>
          </w:tcPr>
          <w:p w14:paraId="197E7DC3" w14:textId="77777777" w:rsidR="00985D01" w:rsidRPr="00DF46CC" w:rsidRDefault="00985D01" w:rsidP="003441E6">
            <w:pP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702" w:type="dxa"/>
            <w:tcBorders>
              <w:top w:val="nil"/>
              <w:bottom w:val="single" w:sz="4" w:space="0" w:color="365F91"/>
            </w:tcBorders>
            <w:shd w:val="clear" w:color="auto" w:fill="auto"/>
            <w:noWrap/>
            <w:vAlign w:val="center"/>
            <w:hideMark/>
          </w:tcPr>
          <w:p w14:paraId="24AB5D69"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854" w:type="dxa"/>
            <w:tcBorders>
              <w:top w:val="nil"/>
              <w:bottom w:val="single" w:sz="4" w:space="0" w:color="365F91"/>
            </w:tcBorders>
            <w:vAlign w:val="center"/>
          </w:tcPr>
          <w:p w14:paraId="5D2B4821" w14:textId="77777777" w:rsidR="00985D01" w:rsidRPr="00DF46CC" w:rsidRDefault="00985D01" w:rsidP="003441E6">
            <w:pPr>
              <w:ind w:right="144"/>
              <w:jc w:val="right"/>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607B02A9"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1129" w:type="dxa"/>
            <w:tcBorders>
              <w:top w:val="nil"/>
              <w:bottom w:val="single" w:sz="4" w:space="0" w:color="365F91"/>
            </w:tcBorders>
            <w:shd w:val="clear" w:color="auto" w:fill="auto"/>
            <w:noWrap/>
            <w:vAlign w:val="center"/>
            <w:hideMark/>
          </w:tcPr>
          <w:p w14:paraId="6A220414"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1129" w:type="dxa"/>
            <w:tcBorders>
              <w:top w:val="nil"/>
              <w:bottom w:val="single" w:sz="4" w:space="0" w:color="365F91"/>
            </w:tcBorders>
            <w:shd w:val="clear" w:color="auto" w:fill="auto"/>
            <w:noWrap/>
            <w:vAlign w:val="center"/>
            <w:hideMark/>
          </w:tcPr>
          <w:p w14:paraId="360368AE"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1129" w:type="dxa"/>
            <w:tcBorders>
              <w:top w:val="nil"/>
              <w:bottom w:val="single" w:sz="4" w:space="0" w:color="365F91"/>
            </w:tcBorders>
            <w:shd w:val="clear" w:color="auto" w:fill="auto"/>
            <w:noWrap/>
            <w:vAlign w:val="center"/>
            <w:hideMark/>
          </w:tcPr>
          <w:p w14:paraId="3BD3A6E4"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r>
      <w:tr w:rsidR="00985D01" w:rsidRPr="00DF46CC" w14:paraId="35232E02" w14:textId="77777777" w:rsidTr="003441E6">
        <w:trPr>
          <w:trHeight w:val="389"/>
          <w:jc w:val="center"/>
        </w:trPr>
        <w:tc>
          <w:tcPr>
            <w:tcW w:w="1509" w:type="dxa"/>
            <w:vMerge w:val="restart"/>
            <w:tcBorders>
              <w:top w:val="single" w:sz="4" w:space="0" w:color="365F91"/>
            </w:tcBorders>
            <w:shd w:val="clear" w:color="auto" w:fill="auto"/>
            <w:vAlign w:val="center"/>
            <w:hideMark/>
          </w:tcPr>
          <w:p w14:paraId="076F1FC0" w14:textId="77777777" w:rsidR="00985D01" w:rsidRPr="00DF46CC" w:rsidRDefault="00985D01" w:rsidP="003441E6">
            <w:pP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At-risk-of-poverty rate by age (AROP)</w:t>
            </w:r>
          </w:p>
        </w:tc>
        <w:tc>
          <w:tcPr>
            <w:tcW w:w="2081" w:type="dxa"/>
            <w:tcBorders>
              <w:top w:val="single" w:sz="4" w:space="0" w:color="365F91"/>
              <w:bottom w:val="nil"/>
            </w:tcBorders>
            <w:shd w:val="clear" w:color="auto" w:fill="auto"/>
            <w:noWrap/>
            <w:vAlign w:val="center"/>
            <w:hideMark/>
          </w:tcPr>
          <w:p w14:paraId="4D21B688" w14:textId="77777777" w:rsidR="00985D01" w:rsidRPr="00DF46CC" w:rsidRDefault="00985D01" w:rsidP="003441E6">
            <w:pP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Total</w:t>
            </w:r>
          </w:p>
        </w:tc>
        <w:tc>
          <w:tcPr>
            <w:tcW w:w="702" w:type="dxa"/>
            <w:tcBorders>
              <w:top w:val="single" w:sz="4" w:space="0" w:color="365F91"/>
              <w:bottom w:val="nil"/>
            </w:tcBorders>
            <w:shd w:val="clear" w:color="auto" w:fill="auto"/>
            <w:noWrap/>
            <w:vAlign w:val="center"/>
            <w:hideMark/>
          </w:tcPr>
          <w:p w14:paraId="21645893" w14:textId="77777777" w:rsidR="00985D01" w:rsidRPr="00DF46CC" w:rsidRDefault="00985D01" w:rsidP="003441E6">
            <w:pPr>
              <w:jc w:val="center"/>
              <w:rPr>
                <w:rFonts w:ascii="Verdana" w:eastAsia="Times New Roman" w:hAnsi="Verdana" w:cs="Calibri"/>
                <w:b/>
                <w:bCs/>
                <w:color w:val="365F91"/>
                <w:sz w:val="18"/>
                <w:szCs w:val="18"/>
                <w:lang w:eastAsia="el-GR"/>
              </w:rPr>
            </w:pPr>
            <w:r w:rsidRPr="00DF46CC">
              <w:rPr>
                <w:rFonts w:ascii="Verdana" w:eastAsia="Times New Roman" w:hAnsi="Verdana" w:cs="Calibri"/>
                <w:b/>
                <w:bCs/>
                <w:color w:val="365F91"/>
                <w:sz w:val="18"/>
                <w:szCs w:val="18"/>
                <w:lang w:eastAsia="el-GR"/>
              </w:rPr>
              <w:t>%</w:t>
            </w:r>
          </w:p>
        </w:tc>
        <w:tc>
          <w:tcPr>
            <w:tcW w:w="854" w:type="dxa"/>
            <w:tcBorders>
              <w:top w:val="single" w:sz="4" w:space="0" w:color="365F91"/>
              <w:bottom w:val="nil"/>
            </w:tcBorders>
            <w:vAlign w:val="center"/>
          </w:tcPr>
          <w:p w14:paraId="21A6B8BA" w14:textId="77777777" w:rsidR="00985D01" w:rsidRPr="00DF46CC" w:rsidRDefault="00985D01" w:rsidP="003441E6">
            <w:pPr>
              <w:jc w:val="cente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16,2</w:t>
            </w:r>
          </w:p>
        </w:tc>
        <w:tc>
          <w:tcPr>
            <w:tcW w:w="1129" w:type="dxa"/>
            <w:tcBorders>
              <w:top w:val="single" w:sz="4" w:space="0" w:color="365F91"/>
              <w:bottom w:val="nil"/>
            </w:tcBorders>
            <w:shd w:val="clear" w:color="auto" w:fill="auto"/>
            <w:noWrap/>
            <w:vAlign w:val="center"/>
            <w:hideMark/>
          </w:tcPr>
          <w:p w14:paraId="14096953" w14:textId="77777777" w:rsidR="00985D01" w:rsidRPr="00DF46CC" w:rsidRDefault="00985D01" w:rsidP="003441E6">
            <w:pPr>
              <w:jc w:val="cente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15,4</w:t>
            </w:r>
          </w:p>
        </w:tc>
        <w:tc>
          <w:tcPr>
            <w:tcW w:w="1129" w:type="dxa"/>
            <w:tcBorders>
              <w:top w:val="single" w:sz="4" w:space="0" w:color="365F91"/>
              <w:bottom w:val="nil"/>
            </w:tcBorders>
            <w:shd w:val="clear" w:color="auto" w:fill="auto"/>
            <w:noWrap/>
            <w:vAlign w:val="center"/>
            <w:hideMark/>
          </w:tcPr>
          <w:p w14:paraId="481A6001" w14:textId="77777777" w:rsidR="00985D01" w:rsidRPr="00DF46CC" w:rsidRDefault="00985D01" w:rsidP="003441E6">
            <w:pPr>
              <w:jc w:val="cente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14,7</w:t>
            </w:r>
          </w:p>
        </w:tc>
        <w:tc>
          <w:tcPr>
            <w:tcW w:w="1129" w:type="dxa"/>
            <w:tcBorders>
              <w:top w:val="single" w:sz="4" w:space="0" w:color="365F91"/>
              <w:bottom w:val="nil"/>
            </w:tcBorders>
            <w:shd w:val="clear" w:color="auto" w:fill="auto"/>
            <w:noWrap/>
            <w:vAlign w:val="center"/>
            <w:hideMark/>
          </w:tcPr>
          <w:p w14:paraId="36E1F1D0" w14:textId="77777777" w:rsidR="00985D01" w:rsidRPr="00DF46CC" w:rsidRDefault="00985D01" w:rsidP="003441E6">
            <w:pPr>
              <w:jc w:val="center"/>
              <w:rPr>
                <w:rFonts w:ascii="Verdana" w:eastAsia="Times New Roman" w:hAnsi="Verdana" w:cs="Calibri"/>
                <w:b/>
                <w:color w:val="365F91"/>
                <w:sz w:val="18"/>
                <w:szCs w:val="18"/>
                <w:lang w:val="el-GR" w:eastAsia="el-GR"/>
              </w:rPr>
            </w:pPr>
            <w:r w:rsidRPr="00DF46CC">
              <w:rPr>
                <w:rFonts w:ascii="Verdana" w:eastAsia="Times New Roman" w:hAnsi="Verdana" w:cs="Calibri"/>
                <w:b/>
                <w:color w:val="365F91"/>
                <w:sz w:val="18"/>
                <w:szCs w:val="18"/>
                <w:lang w:eastAsia="el-GR"/>
              </w:rPr>
              <w:t>14,</w:t>
            </w:r>
            <w:r w:rsidRPr="00DF46CC">
              <w:rPr>
                <w:rFonts w:ascii="Verdana" w:eastAsia="Times New Roman" w:hAnsi="Verdana" w:cs="Calibri"/>
                <w:b/>
                <w:color w:val="365F91"/>
                <w:sz w:val="18"/>
                <w:szCs w:val="18"/>
                <w:lang w:val="el-GR" w:eastAsia="el-GR"/>
              </w:rPr>
              <w:t>3</w:t>
            </w:r>
          </w:p>
        </w:tc>
        <w:tc>
          <w:tcPr>
            <w:tcW w:w="1129" w:type="dxa"/>
            <w:tcBorders>
              <w:top w:val="single" w:sz="4" w:space="0" w:color="365F91"/>
              <w:bottom w:val="nil"/>
            </w:tcBorders>
            <w:shd w:val="clear" w:color="auto" w:fill="auto"/>
            <w:noWrap/>
            <w:vAlign w:val="center"/>
            <w:hideMark/>
          </w:tcPr>
          <w:p w14:paraId="15067E2D" w14:textId="77777777" w:rsidR="00985D01" w:rsidRPr="00DF46CC" w:rsidRDefault="00985D01" w:rsidP="003441E6">
            <w:pPr>
              <w:jc w:val="center"/>
              <w:rPr>
                <w:rFonts w:ascii="Verdana" w:eastAsia="Times New Roman" w:hAnsi="Verdana" w:cs="Calibri"/>
                <w:b/>
                <w:color w:val="365F91"/>
                <w:sz w:val="18"/>
                <w:szCs w:val="18"/>
                <w:lang w:val="el-GR" w:eastAsia="el-GR"/>
              </w:rPr>
            </w:pPr>
            <w:r w:rsidRPr="00DF46CC">
              <w:rPr>
                <w:rFonts w:ascii="Verdana" w:eastAsia="Times New Roman" w:hAnsi="Verdana" w:cs="Calibri"/>
                <w:b/>
                <w:color w:val="365F91"/>
                <w:sz w:val="18"/>
                <w:szCs w:val="18"/>
                <w:lang w:eastAsia="el-GR"/>
              </w:rPr>
              <w:t>1</w:t>
            </w:r>
            <w:r w:rsidRPr="00DF46CC">
              <w:rPr>
                <w:rFonts w:ascii="Verdana" w:eastAsia="Times New Roman" w:hAnsi="Verdana" w:cs="Calibri"/>
                <w:b/>
                <w:color w:val="365F91"/>
                <w:sz w:val="18"/>
                <w:szCs w:val="18"/>
                <w:lang w:val="el-GR" w:eastAsia="el-GR"/>
              </w:rPr>
              <w:t>3</w:t>
            </w:r>
            <w:r w:rsidRPr="00DF46CC">
              <w:rPr>
                <w:rFonts w:ascii="Verdana" w:eastAsia="Times New Roman" w:hAnsi="Verdana" w:cs="Calibri"/>
                <w:b/>
                <w:color w:val="365F91"/>
                <w:sz w:val="18"/>
                <w:szCs w:val="18"/>
                <w:lang w:eastAsia="el-GR"/>
              </w:rPr>
              <w:t>,</w:t>
            </w:r>
            <w:r w:rsidRPr="00DF46CC">
              <w:rPr>
                <w:rFonts w:ascii="Verdana" w:eastAsia="Times New Roman" w:hAnsi="Verdana" w:cs="Calibri"/>
                <w:b/>
                <w:color w:val="365F91"/>
                <w:sz w:val="18"/>
                <w:szCs w:val="18"/>
                <w:lang w:val="el-GR" w:eastAsia="el-GR"/>
              </w:rPr>
              <w:t>8</w:t>
            </w:r>
          </w:p>
        </w:tc>
      </w:tr>
      <w:tr w:rsidR="00985D01" w:rsidRPr="00DF46CC" w14:paraId="72998CA0" w14:textId="77777777" w:rsidTr="003441E6">
        <w:trPr>
          <w:trHeight w:val="389"/>
          <w:jc w:val="center"/>
        </w:trPr>
        <w:tc>
          <w:tcPr>
            <w:tcW w:w="1509" w:type="dxa"/>
            <w:vMerge/>
            <w:vAlign w:val="center"/>
            <w:hideMark/>
          </w:tcPr>
          <w:p w14:paraId="21A8DC45" w14:textId="77777777" w:rsidR="00985D01" w:rsidRPr="00DF46CC" w:rsidRDefault="00985D01" w:rsidP="003441E6">
            <w:pPr>
              <w:rPr>
                <w:rFonts w:ascii="Verdana" w:eastAsia="Times New Roman" w:hAnsi="Verdana" w:cs="Calibri"/>
                <w:b/>
                <w:color w:val="365F91"/>
                <w:sz w:val="18"/>
                <w:szCs w:val="18"/>
                <w:lang w:eastAsia="el-GR"/>
              </w:rPr>
            </w:pPr>
          </w:p>
        </w:tc>
        <w:tc>
          <w:tcPr>
            <w:tcW w:w="2081" w:type="dxa"/>
            <w:tcBorders>
              <w:top w:val="nil"/>
              <w:bottom w:val="nil"/>
            </w:tcBorders>
            <w:shd w:val="clear" w:color="auto" w:fill="auto"/>
            <w:noWrap/>
            <w:vAlign w:val="center"/>
            <w:hideMark/>
          </w:tcPr>
          <w:p w14:paraId="6616F8DD" w14:textId="77777777" w:rsidR="00985D01" w:rsidRPr="00DF46CC" w:rsidRDefault="00985D01" w:rsidP="003441E6">
            <w:pP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xml:space="preserve"> 0-17</w:t>
            </w:r>
          </w:p>
        </w:tc>
        <w:tc>
          <w:tcPr>
            <w:tcW w:w="702" w:type="dxa"/>
            <w:tcBorders>
              <w:top w:val="nil"/>
              <w:bottom w:val="nil"/>
            </w:tcBorders>
            <w:shd w:val="clear" w:color="auto" w:fill="auto"/>
            <w:noWrap/>
            <w:vAlign w:val="center"/>
            <w:hideMark/>
          </w:tcPr>
          <w:p w14:paraId="1A562029"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w:t>
            </w:r>
          </w:p>
        </w:tc>
        <w:tc>
          <w:tcPr>
            <w:tcW w:w="854" w:type="dxa"/>
            <w:tcBorders>
              <w:top w:val="nil"/>
              <w:bottom w:val="nil"/>
            </w:tcBorders>
            <w:vAlign w:val="center"/>
          </w:tcPr>
          <w:p w14:paraId="751C919E"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16,7</w:t>
            </w:r>
          </w:p>
        </w:tc>
        <w:tc>
          <w:tcPr>
            <w:tcW w:w="1129" w:type="dxa"/>
            <w:tcBorders>
              <w:top w:val="nil"/>
              <w:bottom w:val="nil"/>
            </w:tcBorders>
            <w:shd w:val="clear" w:color="auto" w:fill="auto"/>
            <w:noWrap/>
            <w:vAlign w:val="center"/>
            <w:hideMark/>
          </w:tcPr>
          <w:p w14:paraId="640B5A99"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17,3</w:t>
            </w:r>
          </w:p>
        </w:tc>
        <w:tc>
          <w:tcPr>
            <w:tcW w:w="1129" w:type="dxa"/>
            <w:tcBorders>
              <w:top w:val="nil"/>
              <w:bottom w:val="nil"/>
            </w:tcBorders>
            <w:shd w:val="clear" w:color="auto" w:fill="auto"/>
            <w:noWrap/>
            <w:vAlign w:val="center"/>
            <w:hideMark/>
          </w:tcPr>
          <w:p w14:paraId="229F97B2"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16,7</w:t>
            </w:r>
          </w:p>
        </w:tc>
        <w:tc>
          <w:tcPr>
            <w:tcW w:w="1129" w:type="dxa"/>
            <w:tcBorders>
              <w:top w:val="nil"/>
              <w:bottom w:val="nil"/>
            </w:tcBorders>
            <w:shd w:val="clear" w:color="auto" w:fill="auto"/>
            <w:noWrap/>
            <w:vAlign w:val="center"/>
            <w:hideMark/>
          </w:tcPr>
          <w:p w14:paraId="5F8B41A8"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eastAsia="el-GR"/>
              </w:rPr>
              <w:t>16,</w:t>
            </w:r>
            <w:r w:rsidRPr="00DF46CC">
              <w:rPr>
                <w:rFonts w:ascii="Verdana" w:eastAsia="Times New Roman" w:hAnsi="Verdana" w:cs="Calibri"/>
                <w:color w:val="365F91"/>
                <w:sz w:val="18"/>
                <w:szCs w:val="18"/>
                <w:lang w:val="el-GR" w:eastAsia="el-GR"/>
              </w:rPr>
              <w:t>1</w:t>
            </w:r>
          </w:p>
        </w:tc>
        <w:tc>
          <w:tcPr>
            <w:tcW w:w="1129" w:type="dxa"/>
            <w:tcBorders>
              <w:top w:val="nil"/>
              <w:bottom w:val="nil"/>
            </w:tcBorders>
            <w:shd w:val="clear" w:color="auto" w:fill="auto"/>
            <w:noWrap/>
            <w:vAlign w:val="center"/>
            <w:hideMark/>
          </w:tcPr>
          <w:p w14:paraId="7C62BA7F"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eastAsia="el-GR"/>
              </w:rPr>
              <w:t>1</w:t>
            </w:r>
            <w:r w:rsidRPr="00DF46CC">
              <w:rPr>
                <w:rFonts w:ascii="Verdana" w:eastAsia="Times New Roman" w:hAnsi="Verdana" w:cs="Calibri"/>
                <w:color w:val="365F91"/>
                <w:sz w:val="18"/>
                <w:szCs w:val="18"/>
                <w:lang w:val="el-GR" w:eastAsia="el-GR"/>
              </w:rPr>
              <w:t>5</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8</w:t>
            </w:r>
          </w:p>
        </w:tc>
      </w:tr>
      <w:tr w:rsidR="00985D01" w:rsidRPr="00DF46CC" w14:paraId="39A681A0" w14:textId="77777777" w:rsidTr="003441E6">
        <w:trPr>
          <w:trHeight w:val="389"/>
          <w:jc w:val="center"/>
        </w:trPr>
        <w:tc>
          <w:tcPr>
            <w:tcW w:w="1509" w:type="dxa"/>
            <w:vMerge/>
            <w:vAlign w:val="center"/>
            <w:hideMark/>
          </w:tcPr>
          <w:p w14:paraId="07B4C4F3" w14:textId="77777777" w:rsidR="00985D01" w:rsidRPr="00DF46CC" w:rsidRDefault="00985D01" w:rsidP="003441E6">
            <w:pPr>
              <w:rPr>
                <w:rFonts w:ascii="Verdana" w:eastAsia="Times New Roman" w:hAnsi="Verdana" w:cs="Calibri"/>
                <w:b/>
                <w:color w:val="365F91"/>
                <w:sz w:val="18"/>
                <w:szCs w:val="18"/>
                <w:lang w:eastAsia="el-GR"/>
              </w:rPr>
            </w:pPr>
          </w:p>
        </w:tc>
        <w:tc>
          <w:tcPr>
            <w:tcW w:w="2081" w:type="dxa"/>
            <w:tcBorders>
              <w:top w:val="nil"/>
              <w:bottom w:val="nil"/>
            </w:tcBorders>
            <w:shd w:val="clear" w:color="auto" w:fill="auto"/>
            <w:noWrap/>
            <w:vAlign w:val="center"/>
            <w:hideMark/>
          </w:tcPr>
          <w:p w14:paraId="3CF44444" w14:textId="77777777" w:rsidR="00985D01" w:rsidRPr="00DF46CC" w:rsidRDefault="00985D01" w:rsidP="003441E6">
            <w:pP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18-64</w:t>
            </w:r>
          </w:p>
        </w:tc>
        <w:tc>
          <w:tcPr>
            <w:tcW w:w="702" w:type="dxa"/>
            <w:tcBorders>
              <w:top w:val="nil"/>
              <w:bottom w:val="nil"/>
            </w:tcBorders>
            <w:shd w:val="clear" w:color="auto" w:fill="auto"/>
            <w:noWrap/>
            <w:vAlign w:val="center"/>
            <w:hideMark/>
          </w:tcPr>
          <w:p w14:paraId="01EBC211"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w:t>
            </w:r>
          </w:p>
        </w:tc>
        <w:tc>
          <w:tcPr>
            <w:tcW w:w="854" w:type="dxa"/>
            <w:tcBorders>
              <w:top w:val="nil"/>
              <w:bottom w:val="nil"/>
            </w:tcBorders>
            <w:vAlign w:val="center"/>
          </w:tcPr>
          <w:p w14:paraId="4C80C617"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15,9</w:t>
            </w:r>
          </w:p>
        </w:tc>
        <w:tc>
          <w:tcPr>
            <w:tcW w:w="1129" w:type="dxa"/>
            <w:tcBorders>
              <w:top w:val="nil"/>
              <w:bottom w:val="nil"/>
            </w:tcBorders>
            <w:shd w:val="clear" w:color="auto" w:fill="auto"/>
            <w:noWrap/>
            <w:vAlign w:val="center"/>
            <w:hideMark/>
          </w:tcPr>
          <w:p w14:paraId="033C37E1"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13,4</w:t>
            </w:r>
          </w:p>
        </w:tc>
        <w:tc>
          <w:tcPr>
            <w:tcW w:w="1129" w:type="dxa"/>
            <w:tcBorders>
              <w:top w:val="nil"/>
              <w:bottom w:val="nil"/>
            </w:tcBorders>
            <w:shd w:val="clear" w:color="auto" w:fill="auto"/>
            <w:noWrap/>
            <w:vAlign w:val="center"/>
            <w:hideMark/>
          </w:tcPr>
          <w:p w14:paraId="38385CD9"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11,9</w:t>
            </w:r>
          </w:p>
        </w:tc>
        <w:tc>
          <w:tcPr>
            <w:tcW w:w="1129" w:type="dxa"/>
            <w:tcBorders>
              <w:top w:val="nil"/>
              <w:bottom w:val="nil"/>
            </w:tcBorders>
            <w:shd w:val="clear" w:color="auto" w:fill="auto"/>
            <w:noWrap/>
            <w:vAlign w:val="center"/>
            <w:hideMark/>
          </w:tcPr>
          <w:p w14:paraId="654ECDD2"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eastAsia="el-GR"/>
              </w:rPr>
              <w:t>1</w:t>
            </w:r>
            <w:r w:rsidRPr="00DF46CC">
              <w:rPr>
                <w:rFonts w:ascii="Verdana" w:eastAsia="Times New Roman" w:hAnsi="Verdana" w:cs="Calibri"/>
                <w:color w:val="365F91"/>
                <w:sz w:val="18"/>
                <w:szCs w:val="18"/>
                <w:lang w:val="el-GR" w:eastAsia="el-GR"/>
              </w:rPr>
              <w:t>2</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0</w:t>
            </w:r>
          </w:p>
        </w:tc>
        <w:tc>
          <w:tcPr>
            <w:tcW w:w="1129" w:type="dxa"/>
            <w:tcBorders>
              <w:top w:val="nil"/>
              <w:bottom w:val="nil"/>
            </w:tcBorders>
            <w:shd w:val="clear" w:color="auto" w:fill="auto"/>
            <w:noWrap/>
            <w:vAlign w:val="center"/>
            <w:hideMark/>
          </w:tcPr>
          <w:p w14:paraId="1B3ACBBB"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eastAsia="el-GR"/>
              </w:rPr>
              <w:t>1</w:t>
            </w:r>
            <w:r w:rsidRPr="00DF46CC">
              <w:rPr>
                <w:rFonts w:ascii="Verdana" w:eastAsia="Times New Roman" w:hAnsi="Verdana" w:cs="Calibri"/>
                <w:color w:val="365F91"/>
                <w:sz w:val="18"/>
                <w:szCs w:val="18"/>
                <w:lang w:val="el-GR" w:eastAsia="el-GR"/>
              </w:rPr>
              <w:t>1</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9</w:t>
            </w:r>
          </w:p>
        </w:tc>
      </w:tr>
      <w:tr w:rsidR="00985D01" w:rsidRPr="00DF46CC" w14:paraId="461006A0" w14:textId="77777777" w:rsidTr="003441E6">
        <w:trPr>
          <w:trHeight w:val="389"/>
          <w:jc w:val="center"/>
        </w:trPr>
        <w:tc>
          <w:tcPr>
            <w:tcW w:w="1509" w:type="dxa"/>
            <w:vMerge/>
            <w:tcBorders>
              <w:bottom w:val="nil"/>
            </w:tcBorders>
            <w:vAlign w:val="center"/>
            <w:hideMark/>
          </w:tcPr>
          <w:p w14:paraId="43C7B5E9" w14:textId="77777777" w:rsidR="00985D01" w:rsidRPr="00DF46CC" w:rsidRDefault="00985D01" w:rsidP="003441E6">
            <w:pPr>
              <w:rPr>
                <w:rFonts w:ascii="Verdana" w:eastAsia="Times New Roman" w:hAnsi="Verdana" w:cs="Calibri"/>
                <w:b/>
                <w:color w:val="365F91"/>
                <w:sz w:val="18"/>
                <w:szCs w:val="18"/>
                <w:lang w:eastAsia="el-GR"/>
              </w:rPr>
            </w:pPr>
          </w:p>
        </w:tc>
        <w:tc>
          <w:tcPr>
            <w:tcW w:w="2081" w:type="dxa"/>
            <w:tcBorders>
              <w:top w:val="nil"/>
              <w:bottom w:val="nil"/>
            </w:tcBorders>
            <w:shd w:val="clear" w:color="auto" w:fill="auto"/>
            <w:noWrap/>
            <w:vAlign w:val="center"/>
            <w:hideMark/>
          </w:tcPr>
          <w:p w14:paraId="5F9A7CDD" w14:textId="77777777" w:rsidR="00985D01" w:rsidRPr="00DF46CC" w:rsidRDefault="00985D01" w:rsidP="003441E6">
            <w:pP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xml:space="preserve"> 65+</w:t>
            </w:r>
          </w:p>
        </w:tc>
        <w:tc>
          <w:tcPr>
            <w:tcW w:w="702" w:type="dxa"/>
            <w:tcBorders>
              <w:top w:val="nil"/>
              <w:bottom w:val="nil"/>
            </w:tcBorders>
            <w:shd w:val="clear" w:color="auto" w:fill="auto"/>
            <w:noWrap/>
            <w:vAlign w:val="center"/>
            <w:hideMark/>
          </w:tcPr>
          <w:p w14:paraId="44B52697"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w:t>
            </w:r>
          </w:p>
        </w:tc>
        <w:tc>
          <w:tcPr>
            <w:tcW w:w="854" w:type="dxa"/>
            <w:tcBorders>
              <w:top w:val="nil"/>
              <w:bottom w:val="nil"/>
            </w:tcBorders>
            <w:vAlign w:val="center"/>
          </w:tcPr>
          <w:p w14:paraId="749655CE"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17,3</w:t>
            </w:r>
          </w:p>
        </w:tc>
        <w:tc>
          <w:tcPr>
            <w:tcW w:w="1129" w:type="dxa"/>
            <w:tcBorders>
              <w:top w:val="nil"/>
              <w:bottom w:val="nil"/>
            </w:tcBorders>
            <w:shd w:val="clear" w:color="auto" w:fill="auto"/>
            <w:noWrap/>
            <w:vAlign w:val="center"/>
            <w:hideMark/>
          </w:tcPr>
          <w:p w14:paraId="4666AFB4"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21,4</w:t>
            </w:r>
          </w:p>
        </w:tc>
        <w:tc>
          <w:tcPr>
            <w:tcW w:w="1129" w:type="dxa"/>
            <w:tcBorders>
              <w:top w:val="nil"/>
              <w:bottom w:val="nil"/>
            </w:tcBorders>
            <w:shd w:val="clear" w:color="auto" w:fill="auto"/>
            <w:noWrap/>
            <w:vAlign w:val="center"/>
            <w:hideMark/>
          </w:tcPr>
          <w:p w14:paraId="6C6F6D92"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24,6</w:t>
            </w:r>
          </w:p>
        </w:tc>
        <w:tc>
          <w:tcPr>
            <w:tcW w:w="1129" w:type="dxa"/>
            <w:tcBorders>
              <w:top w:val="nil"/>
              <w:bottom w:val="nil"/>
            </w:tcBorders>
            <w:shd w:val="clear" w:color="auto" w:fill="auto"/>
            <w:noWrap/>
            <w:vAlign w:val="center"/>
            <w:hideMark/>
          </w:tcPr>
          <w:p w14:paraId="09CB6A6F"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eastAsia="el-GR"/>
              </w:rPr>
              <w:t>2</w:t>
            </w:r>
            <w:r w:rsidRPr="00DF46CC">
              <w:rPr>
                <w:rFonts w:ascii="Verdana" w:eastAsia="Times New Roman" w:hAnsi="Verdana" w:cs="Calibri"/>
                <w:color w:val="365F91"/>
                <w:sz w:val="18"/>
                <w:szCs w:val="18"/>
                <w:lang w:val="el-GR" w:eastAsia="el-GR"/>
              </w:rPr>
              <w:t>1</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9</w:t>
            </w:r>
          </w:p>
        </w:tc>
        <w:tc>
          <w:tcPr>
            <w:tcW w:w="1129" w:type="dxa"/>
            <w:tcBorders>
              <w:top w:val="nil"/>
              <w:bottom w:val="nil"/>
            </w:tcBorders>
            <w:shd w:val="clear" w:color="auto" w:fill="auto"/>
            <w:noWrap/>
            <w:vAlign w:val="center"/>
            <w:hideMark/>
          </w:tcPr>
          <w:p w14:paraId="5BBEE97B"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19</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5</w:t>
            </w:r>
          </w:p>
        </w:tc>
      </w:tr>
      <w:tr w:rsidR="00985D01" w:rsidRPr="00DF46CC" w14:paraId="781BC2A5" w14:textId="77777777" w:rsidTr="003441E6">
        <w:trPr>
          <w:trHeight w:val="115"/>
          <w:jc w:val="center"/>
        </w:trPr>
        <w:tc>
          <w:tcPr>
            <w:tcW w:w="1509" w:type="dxa"/>
            <w:tcBorders>
              <w:top w:val="nil"/>
              <w:bottom w:val="single" w:sz="4" w:space="0" w:color="365F91"/>
            </w:tcBorders>
            <w:shd w:val="clear" w:color="auto" w:fill="auto"/>
            <w:vAlign w:val="center"/>
            <w:hideMark/>
          </w:tcPr>
          <w:p w14:paraId="6FDAF406" w14:textId="77777777" w:rsidR="00985D01" w:rsidRPr="00DF46CC" w:rsidRDefault="00985D01" w:rsidP="003441E6">
            <w:pPr>
              <w:rPr>
                <w:rFonts w:ascii="Verdana" w:eastAsia="Times New Roman" w:hAnsi="Verdana" w:cs="Calibri"/>
                <w:b/>
                <w:color w:val="365F91"/>
                <w:sz w:val="18"/>
                <w:szCs w:val="18"/>
                <w:lang w:eastAsia="el-GR"/>
              </w:rPr>
            </w:pPr>
          </w:p>
        </w:tc>
        <w:tc>
          <w:tcPr>
            <w:tcW w:w="2081" w:type="dxa"/>
            <w:tcBorders>
              <w:top w:val="nil"/>
              <w:bottom w:val="single" w:sz="4" w:space="0" w:color="365F91"/>
            </w:tcBorders>
            <w:shd w:val="clear" w:color="auto" w:fill="auto"/>
            <w:noWrap/>
            <w:vAlign w:val="center"/>
            <w:hideMark/>
          </w:tcPr>
          <w:p w14:paraId="3DD08A75" w14:textId="77777777" w:rsidR="00985D01" w:rsidRPr="00DF46CC" w:rsidRDefault="00985D01" w:rsidP="003441E6">
            <w:pPr>
              <w:rPr>
                <w:rFonts w:ascii="Verdana" w:eastAsia="Times New Roman" w:hAnsi="Verdana" w:cs="Calibri"/>
                <w:color w:val="365F91"/>
                <w:sz w:val="18"/>
                <w:szCs w:val="18"/>
                <w:lang w:eastAsia="el-GR"/>
              </w:rPr>
            </w:pPr>
          </w:p>
        </w:tc>
        <w:tc>
          <w:tcPr>
            <w:tcW w:w="702" w:type="dxa"/>
            <w:tcBorders>
              <w:top w:val="nil"/>
              <w:bottom w:val="single" w:sz="4" w:space="0" w:color="365F91"/>
            </w:tcBorders>
            <w:shd w:val="clear" w:color="auto" w:fill="auto"/>
            <w:noWrap/>
            <w:vAlign w:val="center"/>
            <w:hideMark/>
          </w:tcPr>
          <w:p w14:paraId="045C8326"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854" w:type="dxa"/>
            <w:tcBorders>
              <w:top w:val="nil"/>
              <w:bottom w:val="single" w:sz="4" w:space="0" w:color="365F91"/>
            </w:tcBorders>
            <w:vAlign w:val="center"/>
          </w:tcPr>
          <w:p w14:paraId="6C1FF7B5" w14:textId="77777777" w:rsidR="00985D01" w:rsidRPr="00DF46CC" w:rsidRDefault="00985D01" w:rsidP="003441E6">
            <w:pPr>
              <w:ind w:right="144"/>
              <w:jc w:val="right"/>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216ECFB8"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33238E27"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76112C81"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0BE555DD" w14:textId="77777777" w:rsidR="00985D01" w:rsidRPr="00DF46CC" w:rsidRDefault="00985D01" w:rsidP="003441E6">
            <w:pPr>
              <w:jc w:val="center"/>
              <w:rPr>
                <w:rFonts w:ascii="Verdana" w:eastAsia="Times New Roman" w:hAnsi="Verdana" w:cs="Calibri"/>
                <w:color w:val="365F91"/>
                <w:sz w:val="18"/>
                <w:szCs w:val="18"/>
                <w:lang w:eastAsia="el-GR"/>
              </w:rPr>
            </w:pPr>
          </w:p>
        </w:tc>
      </w:tr>
      <w:tr w:rsidR="00985D01" w:rsidRPr="00DF46CC" w14:paraId="236EBAAE" w14:textId="77777777" w:rsidTr="003441E6">
        <w:trPr>
          <w:trHeight w:val="588"/>
          <w:jc w:val="center"/>
        </w:trPr>
        <w:tc>
          <w:tcPr>
            <w:tcW w:w="1509" w:type="dxa"/>
            <w:tcBorders>
              <w:top w:val="single" w:sz="4" w:space="0" w:color="365F91"/>
              <w:bottom w:val="nil"/>
            </w:tcBorders>
            <w:shd w:val="clear" w:color="auto" w:fill="auto"/>
            <w:vAlign w:val="center"/>
            <w:hideMark/>
          </w:tcPr>
          <w:p w14:paraId="5C071918" w14:textId="07250295" w:rsidR="00985D01" w:rsidRPr="00DF46CC" w:rsidRDefault="00985D01" w:rsidP="003441E6">
            <w:pP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Severe material</w:t>
            </w:r>
            <w:r w:rsidR="00077979" w:rsidRPr="00DF46CC">
              <w:rPr>
                <w:rFonts w:ascii="Verdana" w:eastAsia="Times New Roman" w:hAnsi="Verdana" w:cs="Calibri"/>
                <w:b/>
                <w:color w:val="365F91"/>
                <w:sz w:val="18"/>
                <w:szCs w:val="18"/>
                <w:lang w:eastAsia="el-GR"/>
              </w:rPr>
              <w:t xml:space="preserve"> and social</w:t>
            </w:r>
            <w:r w:rsidRPr="00DF46CC">
              <w:rPr>
                <w:rFonts w:ascii="Verdana" w:eastAsia="Times New Roman" w:hAnsi="Verdana" w:cs="Calibri"/>
                <w:b/>
                <w:color w:val="365F91"/>
                <w:sz w:val="18"/>
                <w:szCs w:val="18"/>
                <w:lang w:eastAsia="el-GR"/>
              </w:rPr>
              <w:t xml:space="preserve"> deprivation (SM</w:t>
            </w:r>
            <w:r w:rsidR="00077979" w:rsidRPr="00DF46CC">
              <w:rPr>
                <w:rFonts w:ascii="Verdana" w:eastAsia="Times New Roman" w:hAnsi="Verdana" w:cs="Calibri"/>
                <w:b/>
                <w:color w:val="365F91"/>
                <w:sz w:val="18"/>
                <w:szCs w:val="18"/>
                <w:lang w:eastAsia="el-GR"/>
              </w:rPr>
              <w:t>S</w:t>
            </w:r>
            <w:r w:rsidRPr="00DF46CC">
              <w:rPr>
                <w:rFonts w:ascii="Verdana" w:eastAsia="Times New Roman" w:hAnsi="Verdana" w:cs="Calibri"/>
                <w:b/>
                <w:color w:val="365F91"/>
                <w:sz w:val="18"/>
                <w:szCs w:val="18"/>
                <w:lang w:eastAsia="el-GR"/>
              </w:rPr>
              <w:t>D)</w:t>
            </w:r>
          </w:p>
        </w:tc>
        <w:tc>
          <w:tcPr>
            <w:tcW w:w="2081" w:type="dxa"/>
            <w:tcBorders>
              <w:top w:val="single" w:sz="4" w:space="0" w:color="365F91"/>
              <w:bottom w:val="nil"/>
            </w:tcBorders>
            <w:shd w:val="clear" w:color="auto" w:fill="auto"/>
            <w:noWrap/>
            <w:vAlign w:val="center"/>
            <w:hideMark/>
          </w:tcPr>
          <w:p w14:paraId="175A8FCD" w14:textId="77777777" w:rsidR="00985D01" w:rsidRPr="00DF46CC" w:rsidRDefault="00985D01" w:rsidP="003441E6">
            <w:pP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Total</w:t>
            </w:r>
          </w:p>
        </w:tc>
        <w:tc>
          <w:tcPr>
            <w:tcW w:w="702" w:type="dxa"/>
            <w:tcBorders>
              <w:top w:val="single" w:sz="4" w:space="0" w:color="365F91"/>
              <w:bottom w:val="nil"/>
            </w:tcBorders>
            <w:shd w:val="clear" w:color="auto" w:fill="auto"/>
            <w:noWrap/>
            <w:vAlign w:val="center"/>
            <w:hideMark/>
          </w:tcPr>
          <w:p w14:paraId="084B7C66"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w:t>
            </w:r>
          </w:p>
        </w:tc>
        <w:tc>
          <w:tcPr>
            <w:tcW w:w="854" w:type="dxa"/>
            <w:tcBorders>
              <w:top w:val="single" w:sz="4" w:space="0" w:color="365F91"/>
              <w:bottom w:val="nil"/>
            </w:tcBorders>
            <w:vAlign w:val="center"/>
          </w:tcPr>
          <w:p w14:paraId="52F00F20" w14:textId="77777777" w:rsidR="00985D01" w:rsidRPr="00DF46CC" w:rsidRDefault="00985D01" w:rsidP="003441E6">
            <w:pPr>
              <w:jc w:val="center"/>
              <w:rPr>
                <w:rFonts w:ascii="Verdana" w:eastAsia="Times New Roman" w:hAnsi="Verdana" w:cs="Calibri"/>
                <w:b/>
                <w:color w:val="365F91"/>
                <w:sz w:val="18"/>
                <w:szCs w:val="18"/>
                <w:lang w:val="el-GR" w:eastAsia="el-GR"/>
              </w:rPr>
            </w:pPr>
            <w:r w:rsidRPr="00DF46CC">
              <w:rPr>
                <w:rFonts w:ascii="Verdana" w:eastAsia="Times New Roman" w:hAnsi="Verdana" w:cs="Calibri"/>
                <w:b/>
                <w:color w:val="365F91"/>
                <w:sz w:val="18"/>
                <w:szCs w:val="18"/>
                <w:lang w:val="el-GR" w:eastAsia="el-GR"/>
              </w:rPr>
              <w:t>7,9</w:t>
            </w:r>
          </w:p>
        </w:tc>
        <w:tc>
          <w:tcPr>
            <w:tcW w:w="1129" w:type="dxa"/>
            <w:tcBorders>
              <w:top w:val="single" w:sz="4" w:space="0" w:color="365F91"/>
              <w:bottom w:val="nil"/>
            </w:tcBorders>
            <w:shd w:val="clear" w:color="auto" w:fill="auto"/>
            <w:noWrap/>
            <w:vAlign w:val="center"/>
            <w:hideMark/>
          </w:tcPr>
          <w:p w14:paraId="5E810FB2" w14:textId="77777777" w:rsidR="00985D01" w:rsidRPr="00DF46CC" w:rsidRDefault="00985D01" w:rsidP="003441E6">
            <w:pPr>
              <w:jc w:val="center"/>
              <w:rPr>
                <w:rFonts w:ascii="Verdana" w:eastAsia="Times New Roman" w:hAnsi="Verdana" w:cs="Calibri"/>
                <w:b/>
                <w:color w:val="365F91"/>
                <w:sz w:val="18"/>
                <w:szCs w:val="18"/>
                <w:lang w:val="el-GR" w:eastAsia="el-GR"/>
              </w:rPr>
            </w:pPr>
            <w:r w:rsidRPr="00DF46CC">
              <w:rPr>
                <w:rFonts w:ascii="Verdana" w:eastAsia="Times New Roman" w:hAnsi="Verdana" w:cs="Calibri"/>
                <w:b/>
                <w:color w:val="365F91"/>
                <w:sz w:val="18"/>
                <w:szCs w:val="18"/>
                <w:lang w:val="el-GR" w:eastAsia="el-GR"/>
              </w:rPr>
              <w:t>3,8</w:t>
            </w:r>
          </w:p>
        </w:tc>
        <w:tc>
          <w:tcPr>
            <w:tcW w:w="1129" w:type="dxa"/>
            <w:tcBorders>
              <w:top w:val="single" w:sz="4" w:space="0" w:color="365F91"/>
              <w:bottom w:val="nil"/>
            </w:tcBorders>
            <w:shd w:val="clear" w:color="auto" w:fill="auto"/>
            <w:noWrap/>
            <w:vAlign w:val="center"/>
            <w:hideMark/>
          </w:tcPr>
          <w:p w14:paraId="18440E09" w14:textId="77777777" w:rsidR="00985D01" w:rsidRPr="00DF46CC" w:rsidRDefault="00985D01" w:rsidP="003441E6">
            <w:pPr>
              <w:jc w:val="center"/>
              <w:rPr>
                <w:rFonts w:ascii="Verdana" w:eastAsia="Times New Roman" w:hAnsi="Verdana" w:cs="Calibri"/>
                <w:b/>
                <w:color w:val="365F91"/>
                <w:sz w:val="18"/>
                <w:szCs w:val="18"/>
                <w:lang w:val="el-GR" w:eastAsia="el-GR"/>
              </w:rPr>
            </w:pPr>
            <w:r w:rsidRPr="00DF46CC">
              <w:rPr>
                <w:rFonts w:ascii="Verdana" w:eastAsia="Times New Roman" w:hAnsi="Verdana" w:cs="Calibri"/>
                <w:b/>
                <w:color w:val="365F91"/>
                <w:sz w:val="18"/>
                <w:szCs w:val="18"/>
                <w:lang w:val="el-GR" w:eastAsia="el-GR"/>
              </w:rPr>
              <w:t>3,2</w:t>
            </w:r>
          </w:p>
        </w:tc>
        <w:tc>
          <w:tcPr>
            <w:tcW w:w="1129" w:type="dxa"/>
            <w:tcBorders>
              <w:top w:val="single" w:sz="4" w:space="0" w:color="365F91"/>
              <w:bottom w:val="nil"/>
            </w:tcBorders>
            <w:shd w:val="clear" w:color="auto" w:fill="auto"/>
            <w:noWrap/>
            <w:vAlign w:val="center"/>
            <w:hideMark/>
          </w:tcPr>
          <w:p w14:paraId="05DB381B" w14:textId="77777777" w:rsidR="00985D01" w:rsidRPr="00DF46CC" w:rsidRDefault="00985D01" w:rsidP="003441E6">
            <w:pPr>
              <w:jc w:val="center"/>
              <w:rPr>
                <w:rFonts w:ascii="Verdana" w:eastAsia="Times New Roman" w:hAnsi="Verdana" w:cs="Calibri"/>
                <w:b/>
                <w:color w:val="365F91"/>
                <w:sz w:val="18"/>
                <w:szCs w:val="18"/>
                <w:lang w:val="el-GR" w:eastAsia="el-GR"/>
              </w:rPr>
            </w:pPr>
            <w:r w:rsidRPr="00DF46CC">
              <w:rPr>
                <w:rFonts w:ascii="Verdana" w:eastAsia="Times New Roman" w:hAnsi="Verdana" w:cs="Calibri"/>
                <w:b/>
                <w:color w:val="365F91"/>
                <w:sz w:val="18"/>
                <w:szCs w:val="18"/>
                <w:lang w:val="el-GR" w:eastAsia="el-GR"/>
              </w:rPr>
              <w:t>3,2</w:t>
            </w:r>
          </w:p>
        </w:tc>
        <w:tc>
          <w:tcPr>
            <w:tcW w:w="1129" w:type="dxa"/>
            <w:tcBorders>
              <w:top w:val="single" w:sz="4" w:space="0" w:color="365F91"/>
              <w:bottom w:val="nil"/>
            </w:tcBorders>
            <w:shd w:val="clear" w:color="auto" w:fill="auto"/>
            <w:noWrap/>
            <w:vAlign w:val="center"/>
            <w:hideMark/>
          </w:tcPr>
          <w:p w14:paraId="46040633"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b/>
                <w:color w:val="365F91"/>
                <w:sz w:val="18"/>
                <w:szCs w:val="18"/>
                <w:lang w:val="el-GR" w:eastAsia="el-GR"/>
              </w:rPr>
              <w:t>2,6</w:t>
            </w:r>
          </w:p>
        </w:tc>
      </w:tr>
      <w:tr w:rsidR="00985D01" w:rsidRPr="00DF46CC" w14:paraId="0F07DD62" w14:textId="77777777" w:rsidTr="003441E6">
        <w:trPr>
          <w:trHeight w:val="115"/>
          <w:jc w:val="center"/>
        </w:trPr>
        <w:tc>
          <w:tcPr>
            <w:tcW w:w="1509" w:type="dxa"/>
            <w:tcBorders>
              <w:top w:val="nil"/>
              <w:bottom w:val="single" w:sz="4" w:space="0" w:color="365F91"/>
            </w:tcBorders>
            <w:shd w:val="clear" w:color="auto" w:fill="auto"/>
            <w:vAlign w:val="center"/>
            <w:hideMark/>
          </w:tcPr>
          <w:p w14:paraId="69FC6B1E" w14:textId="77777777" w:rsidR="00985D01" w:rsidRPr="00DF46CC" w:rsidRDefault="00985D01" w:rsidP="003441E6">
            <w:pPr>
              <w:rPr>
                <w:rFonts w:ascii="Verdana" w:eastAsia="Times New Roman" w:hAnsi="Verdana" w:cs="Calibri"/>
                <w:b/>
                <w:color w:val="365F91"/>
                <w:sz w:val="18"/>
                <w:szCs w:val="18"/>
                <w:lang w:eastAsia="el-GR"/>
              </w:rPr>
            </w:pPr>
          </w:p>
        </w:tc>
        <w:tc>
          <w:tcPr>
            <w:tcW w:w="2081" w:type="dxa"/>
            <w:tcBorders>
              <w:top w:val="nil"/>
              <w:bottom w:val="single" w:sz="4" w:space="0" w:color="365F91"/>
            </w:tcBorders>
            <w:shd w:val="clear" w:color="auto" w:fill="auto"/>
            <w:noWrap/>
            <w:vAlign w:val="center"/>
            <w:hideMark/>
          </w:tcPr>
          <w:p w14:paraId="13A649CC" w14:textId="77777777" w:rsidR="00985D01" w:rsidRPr="00DF46CC" w:rsidRDefault="00985D01" w:rsidP="003441E6">
            <w:pPr>
              <w:rPr>
                <w:rFonts w:ascii="Verdana" w:eastAsia="Times New Roman" w:hAnsi="Verdana" w:cs="Calibri"/>
                <w:color w:val="365F91"/>
                <w:sz w:val="18"/>
                <w:szCs w:val="18"/>
                <w:lang w:eastAsia="el-GR"/>
              </w:rPr>
            </w:pPr>
          </w:p>
        </w:tc>
        <w:tc>
          <w:tcPr>
            <w:tcW w:w="702" w:type="dxa"/>
            <w:tcBorders>
              <w:top w:val="nil"/>
              <w:bottom w:val="single" w:sz="4" w:space="0" w:color="365F91"/>
            </w:tcBorders>
            <w:shd w:val="clear" w:color="auto" w:fill="auto"/>
            <w:noWrap/>
            <w:vAlign w:val="center"/>
            <w:hideMark/>
          </w:tcPr>
          <w:p w14:paraId="6D69E029"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854" w:type="dxa"/>
            <w:tcBorders>
              <w:top w:val="nil"/>
              <w:bottom w:val="single" w:sz="4" w:space="0" w:color="365F91"/>
            </w:tcBorders>
            <w:vAlign w:val="center"/>
          </w:tcPr>
          <w:p w14:paraId="11C988EC" w14:textId="77777777" w:rsidR="00985D01" w:rsidRPr="00DF46CC" w:rsidRDefault="00985D01" w:rsidP="003441E6">
            <w:pPr>
              <w:ind w:right="144"/>
              <w:jc w:val="right"/>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7B967B28"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56FF9AED"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26E7576E"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1411EEEE" w14:textId="77777777" w:rsidR="00985D01" w:rsidRPr="00DF46CC" w:rsidRDefault="00985D01" w:rsidP="003441E6">
            <w:pPr>
              <w:jc w:val="center"/>
              <w:rPr>
                <w:rFonts w:ascii="Verdana" w:eastAsia="Times New Roman" w:hAnsi="Verdana" w:cs="Calibri"/>
                <w:color w:val="365F91"/>
                <w:sz w:val="18"/>
                <w:szCs w:val="18"/>
                <w:lang w:eastAsia="el-GR"/>
              </w:rPr>
            </w:pPr>
          </w:p>
        </w:tc>
      </w:tr>
      <w:tr w:rsidR="00985D01" w:rsidRPr="00DF46CC" w14:paraId="46698C18" w14:textId="77777777" w:rsidTr="003441E6">
        <w:trPr>
          <w:trHeight w:val="562"/>
          <w:jc w:val="center"/>
        </w:trPr>
        <w:tc>
          <w:tcPr>
            <w:tcW w:w="1509" w:type="dxa"/>
            <w:vMerge w:val="restart"/>
            <w:tcBorders>
              <w:top w:val="single" w:sz="4" w:space="0" w:color="365F91"/>
            </w:tcBorders>
            <w:shd w:val="clear" w:color="auto" w:fill="auto"/>
            <w:vAlign w:val="center"/>
            <w:hideMark/>
          </w:tcPr>
          <w:p w14:paraId="3BC49F91" w14:textId="77777777" w:rsidR="00985D01" w:rsidRPr="00DF46CC" w:rsidRDefault="00985D01" w:rsidP="003441E6">
            <w:pP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 xml:space="preserve">Percentage of population </w:t>
            </w:r>
            <w:proofErr w:type="gramStart"/>
            <w:r w:rsidRPr="00DF46CC">
              <w:rPr>
                <w:rFonts w:ascii="Verdana" w:eastAsia="Times New Roman" w:hAnsi="Verdana" w:cs="Calibri"/>
                <w:b/>
                <w:color w:val="365F91"/>
                <w:sz w:val="18"/>
                <w:szCs w:val="18"/>
                <w:lang w:eastAsia="el-GR"/>
              </w:rPr>
              <w:t>aged  0</w:t>
            </w:r>
            <w:proofErr w:type="gramEnd"/>
            <w:r w:rsidRPr="00DF46CC">
              <w:rPr>
                <w:rFonts w:ascii="Verdana" w:eastAsia="Times New Roman" w:hAnsi="Verdana" w:cs="Calibri"/>
                <w:b/>
                <w:color w:val="365F91"/>
                <w:sz w:val="18"/>
                <w:szCs w:val="18"/>
                <w:lang w:eastAsia="el-GR"/>
              </w:rPr>
              <w:t>-64 living in households with very low work intensity, by gender (LWI)</w:t>
            </w:r>
          </w:p>
        </w:tc>
        <w:tc>
          <w:tcPr>
            <w:tcW w:w="2081" w:type="dxa"/>
            <w:tcBorders>
              <w:top w:val="single" w:sz="4" w:space="0" w:color="365F91"/>
              <w:bottom w:val="nil"/>
            </w:tcBorders>
            <w:shd w:val="clear" w:color="auto" w:fill="auto"/>
            <w:noWrap/>
            <w:vAlign w:val="center"/>
            <w:hideMark/>
          </w:tcPr>
          <w:p w14:paraId="012A428A" w14:textId="77777777" w:rsidR="00985D01" w:rsidRPr="00DF46CC" w:rsidRDefault="00985D01" w:rsidP="003441E6">
            <w:pPr>
              <w:rPr>
                <w:rFonts w:ascii="Verdana" w:eastAsia="Times New Roman" w:hAnsi="Verdana" w:cs="Calibri"/>
                <w:b/>
                <w:bCs/>
                <w:color w:val="365F91"/>
                <w:sz w:val="18"/>
                <w:szCs w:val="18"/>
                <w:lang w:eastAsia="el-GR"/>
              </w:rPr>
            </w:pPr>
            <w:r w:rsidRPr="00DF46CC">
              <w:rPr>
                <w:rFonts w:ascii="Verdana" w:eastAsia="Times New Roman" w:hAnsi="Verdana" w:cs="Calibri"/>
                <w:b/>
                <w:bCs/>
                <w:color w:val="365F91"/>
                <w:sz w:val="18"/>
                <w:szCs w:val="18"/>
                <w:lang w:eastAsia="el-GR"/>
              </w:rPr>
              <w:t>Total</w:t>
            </w:r>
          </w:p>
        </w:tc>
        <w:tc>
          <w:tcPr>
            <w:tcW w:w="702" w:type="dxa"/>
            <w:tcBorders>
              <w:top w:val="single" w:sz="4" w:space="0" w:color="365F91"/>
              <w:bottom w:val="nil"/>
            </w:tcBorders>
            <w:shd w:val="clear" w:color="auto" w:fill="auto"/>
            <w:noWrap/>
            <w:vAlign w:val="center"/>
            <w:hideMark/>
          </w:tcPr>
          <w:p w14:paraId="4D4758D6" w14:textId="77777777" w:rsidR="00985D01" w:rsidRPr="00DF46CC" w:rsidRDefault="00985D01" w:rsidP="003441E6">
            <w:pPr>
              <w:jc w:val="center"/>
              <w:rPr>
                <w:rFonts w:ascii="Verdana" w:eastAsia="Times New Roman" w:hAnsi="Verdana" w:cs="Calibri"/>
                <w:b/>
                <w:bCs/>
                <w:color w:val="365F91"/>
                <w:sz w:val="18"/>
                <w:szCs w:val="18"/>
                <w:lang w:eastAsia="el-GR"/>
              </w:rPr>
            </w:pPr>
            <w:r w:rsidRPr="00DF46CC">
              <w:rPr>
                <w:rFonts w:ascii="Verdana" w:eastAsia="Times New Roman" w:hAnsi="Verdana" w:cs="Calibri"/>
                <w:b/>
                <w:bCs/>
                <w:color w:val="365F91"/>
                <w:sz w:val="18"/>
                <w:szCs w:val="18"/>
                <w:lang w:eastAsia="el-GR"/>
              </w:rPr>
              <w:t>%</w:t>
            </w:r>
          </w:p>
        </w:tc>
        <w:tc>
          <w:tcPr>
            <w:tcW w:w="854" w:type="dxa"/>
            <w:tcBorders>
              <w:top w:val="single" w:sz="4" w:space="0" w:color="365F91"/>
              <w:bottom w:val="nil"/>
            </w:tcBorders>
            <w:vAlign w:val="center"/>
          </w:tcPr>
          <w:p w14:paraId="4527E621" w14:textId="77777777" w:rsidR="00985D01" w:rsidRPr="00DF46CC" w:rsidRDefault="00985D01" w:rsidP="003441E6">
            <w:pPr>
              <w:jc w:val="center"/>
              <w:rPr>
                <w:rFonts w:ascii="Verdana" w:eastAsia="Times New Roman" w:hAnsi="Verdana" w:cs="Calibri"/>
                <w:b/>
                <w:color w:val="365F91"/>
                <w:sz w:val="18"/>
                <w:szCs w:val="18"/>
                <w:lang w:val="el-GR" w:eastAsia="el-GR"/>
              </w:rPr>
            </w:pPr>
            <w:r w:rsidRPr="00DF46CC">
              <w:rPr>
                <w:rFonts w:ascii="Verdana" w:eastAsia="Times New Roman" w:hAnsi="Verdana" w:cs="Calibri"/>
                <w:b/>
                <w:color w:val="365F91"/>
                <w:sz w:val="18"/>
                <w:szCs w:val="18"/>
                <w:lang w:val="el-GR" w:eastAsia="el-GR"/>
              </w:rPr>
              <w:t>10,4</w:t>
            </w:r>
          </w:p>
        </w:tc>
        <w:tc>
          <w:tcPr>
            <w:tcW w:w="1129" w:type="dxa"/>
            <w:tcBorders>
              <w:top w:val="single" w:sz="4" w:space="0" w:color="365F91"/>
              <w:bottom w:val="nil"/>
            </w:tcBorders>
            <w:shd w:val="clear" w:color="auto" w:fill="auto"/>
            <w:noWrap/>
            <w:vAlign w:val="center"/>
            <w:hideMark/>
          </w:tcPr>
          <w:p w14:paraId="26B463DF" w14:textId="77777777" w:rsidR="00985D01" w:rsidRPr="00DF46CC" w:rsidRDefault="00985D01" w:rsidP="003441E6">
            <w:pPr>
              <w:jc w:val="center"/>
              <w:rPr>
                <w:rFonts w:ascii="Verdana" w:eastAsia="Times New Roman" w:hAnsi="Verdana" w:cs="Calibri"/>
                <w:b/>
                <w:color w:val="365F91"/>
                <w:sz w:val="18"/>
                <w:szCs w:val="18"/>
                <w:lang w:val="el-GR" w:eastAsia="el-GR"/>
              </w:rPr>
            </w:pPr>
            <w:r w:rsidRPr="00DF46CC">
              <w:rPr>
                <w:rFonts w:ascii="Verdana" w:eastAsia="Times New Roman" w:hAnsi="Verdana" w:cs="Calibri"/>
                <w:b/>
                <w:color w:val="365F91"/>
                <w:sz w:val="18"/>
                <w:szCs w:val="18"/>
                <w:lang w:eastAsia="el-GR"/>
              </w:rPr>
              <w:t>8,</w:t>
            </w:r>
            <w:r w:rsidRPr="00DF46CC">
              <w:rPr>
                <w:rFonts w:ascii="Verdana" w:eastAsia="Times New Roman" w:hAnsi="Verdana" w:cs="Calibri"/>
                <w:b/>
                <w:color w:val="365F91"/>
                <w:sz w:val="18"/>
                <w:szCs w:val="18"/>
                <w:lang w:val="el-GR" w:eastAsia="el-GR"/>
              </w:rPr>
              <w:t>1</w:t>
            </w:r>
          </w:p>
        </w:tc>
        <w:tc>
          <w:tcPr>
            <w:tcW w:w="1129" w:type="dxa"/>
            <w:tcBorders>
              <w:top w:val="single" w:sz="4" w:space="0" w:color="365F91"/>
              <w:bottom w:val="nil"/>
            </w:tcBorders>
            <w:shd w:val="clear" w:color="auto" w:fill="auto"/>
            <w:noWrap/>
            <w:vAlign w:val="center"/>
            <w:hideMark/>
          </w:tcPr>
          <w:p w14:paraId="71681A5B" w14:textId="77777777" w:rsidR="00985D01" w:rsidRPr="00DF46CC" w:rsidRDefault="00985D01" w:rsidP="003441E6">
            <w:pPr>
              <w:jc w:val="center"/>
              <w:rPr>
                <w:rFonts w:ascii="Verdana" w:eastAsia="Times New Roman" w:hAnsi="Verdana" w:cs="Calibri"/>
                <w:b/>
                <w:color w:val="365F91"/>
                <w:sz w:val="18"/>
                <w:szCs w:val="18"/>
                <w:lang w:val="el-GR" w:eastAsia="el-GR"/>
              </w:rPr>
            </w:pPr>
            <w:r w:rsidRPr="00DF46CC">
              <w:rPr>
                <w:rFonts w:ascii="Verdana" w:eastAsia="Times New Roman" w:hAnsi="Verdana" w:cs="Calibri"/>
                <w:b/>
                <w:color w:val="365F91"/>
                <w:sz w:val="18"/>
                <w:szCs w:val="18"/>
                <w:lang w:eastAsia="el-GR"/>
              </w:rPr>
              <w:t>6,</w:t>
            </w:r>
            <w:r w:rsidRPr="00DF46CC">
              <w:rPr>
                <w:rFonts w:ascii="Verdana" w:eastAsia="Times New Roman" w:hAnsi="Verdana" w:cs="Calibri"/>
                <w:b/>
                <w:color w:val="365F91"/>
                <w:sz w:val="18"/>
                <w:szCs w:val="18"/>
                <w:lang w:val="el-GR" w:eastAsia="el-GR"/>
              </w:rPr>
              <w:t>6</w:t>
            </w:r>
          </w:p>
        </w:tc>
        <w:tc>
          <w:tcPr>
            <w:tcW w:w="1129" w:type="dxa"/>
            <w:tcBorders>
              <w:top w:val="single" w:sz="4" w:space="0" w:color="365F91"/>
              <w:bottom w:val="nil"/>
            </w:tcBorders>
            <w:shd w:val="clear" w:color="auto" w:fill="auto"/>
            <w:noWrap/>
            <w:vAlign w:val="center"/>
            <w:hideMark/>
          </w:tcPr>
          <w:p w14:paraId="41C805AD" w14:textId="77777777" w:rsidR="00985D01" w:rsidRPr="00DF46CC" w:rsidRDefault="00985D01" w:rsidP="003441E6">
            <w:pPr>
              <w:jc w:val="center"/>
              <w:rPr>
                <w:rFonts w:ascii="Verdana" w:eastAsia="Times New Roman" w:hAnsi="Verdana" w:cs="Calibri"/>
                <w:b/>
                <w:color w:val="365F91"/>
                <w:sz w:val="18"/>
                <w:szCs w:val="18"/>
                <w:lang w:val="el-GR" w:eastAsia="el-GR"/>
              </w:rPr>
            </w:pPr>
            <w:r w:rsidRPr="00DF46CC">
              <w:rPr>
                <w:rFonts w:ascii="Verdana" w:eastAsia="Times New Roman" w:hAnsi="Verdana" w:cs="Calibri"/>
                <w:b/>
                <w:color w:val="365F91"/>
                <w:sz w:val="18"/>
                <w:szCs w:val="18"/>
                <w:lang w:val="el-GR" w:eastAsia="el-GR"/>
              </w:rPr>
              <w:t>5</w:t>
            </w:r>
            <w:r w:rsidRPr="00DF46CC">
              <w:rPr>
                <w:rFonts w:ascii="Verdana" w:eastAsia="Times New Roman" w:hAnsi="Verdana" w:cs="Calibri"/>
                <w:b/>
                <w:color w:val="365F91"/>
                <w:sz w:val="18"/>
                <w:szCs w:val="18"/>
                <w:lang w:eastAsia="el-GR"/>
              </w:rPr>
              <w:t>,</w:t>
            </w:r>
            <w:r w:rsidRPr="00DF46CC">
              <w:rPr>
                <w:rFonts w:ascii="Verdana" w:eastAsia="Times New Roman" w:hAnsi="Verdana" w:cs="Calibri"/>
                <w:b/>
                <w:color w:val="365F91"/>
                <w:sz w:val="18"/>
                <w:szCs w:val="18"/>
                <w:lang w:val="el-GR" w:eastAsia="el-GR"/>
              </w:rPr>
              <w:t>3</w:t>
            </w:r>
          </w:p>
        </w:tc>
        <w:tc>
          <w:tcPr>
            <w:tcW w:w="1129" w:type="dxa"/>
            <w:tcBorders>
              <w:top w:val="single" w:sz="4" w:space="0" w:color="365F91"/>
              <w:bottom w:val="nil"/>
            </w:tcBorders>
            <w:shd w:val="clear" w:color="auto" w:fill="auto"/>
            <w:noWrap/>
            <w:vAlign w:val="center"/>
            <w:hideMark/>
          </w:tcPr>
          <w:p w14:paraId="318E97FD" w14:textId="77777777" w:rsidR="00985D01" w:rsidRPr="00DF46CC" w:rsidRDefault="00985D01" w:rsidP="003441E6">
            <w:pPr>
              <w:jc w:val="center"/>
              <w:rPr>
                <w:rFonts w:ascii="Verdana" w:eastAsia="Times New Roman" w:hAnsi="Verdana" w:cs="Calibri"/>
                <w:b/>
                <w:color w:val="365F91"/>
                <w:sz w:val="18"/>
                <w:szCs w:val="18"/>
                <w:lang w:val="el-GR" w:eastAsia="el-GR"/>
              </w:rPr>
            </w:pPr>
            <w:r w:rsidRPr="00DF46CC">
              <w:rPr>
                <w:rFonts w:ascii="Verdana" w:eastAsia="Times New Roman" w:hAnsi="Verdana" w:cs="Calibri"/>
                <w:b/>
                <w:color w:val="365F91"/>
                <w:sz w:val="18"/>
                <w:szCs w:val="18"/>
                <w:lang w:val="el-GR" w:eastAsia="el-GR"/>
              </w:rPr>
              <w:t>5</w:t>
            </w:r>
            <w:r w:rsidRPr="00DF46CC">
              <w:rPr>
                <w:rFonts w:ascii="Verdana" w:eastAsia="Times New Roman" w:hAnsi="Verdana" w:cs="Calibri"/>
                <w:b/>
                <w:color w:val="365F91"/>
                <w:sz w:val="18"/>
                <w:szCs w:val="18"/>
                <w:lang w:eastAsia="el-GR"/>
              </w:rPr>
              <w:t>,</w:t>
            </w:r>
            <w:r w:rsidRPr="00DF46CC">
              <w:rPr>
                <w:rFonts w:ascii="Verdana" w:eastAsia="Times New Roman" w:hAnsi="Verdana" w:cs="Calibri"/>
                <w:b/>
                <w:color w:val="365F91"/>
                <w:sz w:val="18"/>
                <w:szCs w:val="18"/>
                <w:lang w:val="el-GR" w:eastAsia="el-GR"/>
              </w:rPr>
              <w:t>6</w:t>
            </w:r>
          </w:p>
        </w:tc>
      </w:tr>
      <w:tr w:rsidR="00985D01" w:rsidRPr="00DF46CC" w14:paraId="0768F60D" w14:textId="77777777" w:rsidTr="003441E6">
        <w:trPr>
          <w:trHeight w:val="562"/>
          <w:jc w:val="center"/>
        </w:trPr>
        <w:tc>
          <w:tcPr>
            <w:tcW w:w="1509" w:type="dxa"/>
            <w:vMerge/>
            <w:vAlign w:val="center"/>
            <w:hideMark/>
          </w:tcPr>
          <w:p w14:paraId="5A303D9F" w14:textId="77777777" w:rsidR="00985D01" w:rsidRPr="00DF46CC" w:rsidRDefault="00985D01" w:rsidP="003441E6">
            <w:pPr>
              <w:rPr>
                <w:rFonts w:ascii="Verdana" w:eastAsia="Times New Roman" w:hAnsi="Verdana" w:cs="Calibri"/>
                <w:b/>
                <w:color w:val="365F91"/>
                <w:sz w:val="18"/>
                <w:szCs w:val="18"/>
                <w:lang w:eastAsia="el-GR"/>
              </w:rPr>
            </w:pPr>
          </w:p>
        </w:tc>
        <w:tc>
          <w:tcPr>
            <w:tcW w:w="2081" w:type="dxa"/>
            <w:tcBorders>
              <w:top w:val="nil"/>
              <w:bottom w:val="nil"/>
            </w:tcBorders>
            <w:shd w:val="clear" w:color="auto" w:fill="auto"/>
            <w:noWrap/>
            <w:vAlign w:val="center"/>
            <w:hideMark/>
          </w:tcPr>
          <w:p w14:paraId="07B8F2DA" w14:textId="77777777" w:rsidR="00985D01" w:rsidRPr="00DF46CC" w:rsidRDefault="00985D01" w:rsidP="003441E6">
            <w:pP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Men</w:t>
            </w:r>
          </w:p>
        </w:tc>
        <w:tc>
          <w:tcPr>
            <w:tcW w:w="702" w:type="dxa"/>
            <w:tcBorders>
              <w:top w:val="nil"/>
              <w:bottom w:val="nil"/>
            </w:tcBorders>
            <w:shd w:val="clear" w:color="auto" w:fill="auto"/>
            <w:noWrap/>
            <w:vAlign w:val="center"/>
            <w:hideMark/>
          </w:tcPr>
          <w:p w14:paraId="5D4952DC"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w:t>
            </w:r>
          </w:p>
        </w:tc>
        <w:tc>
          <w:tcPr>
            <w:tcW w:w="854" w:type="dxa"/>
            <w:tcBorders>
              <w:top w:val="nil"/>
              <w:bottom w:val="nil"/>
            </w:tcBorders>
            <w:vAlign w:val="center"/>
          </w:tcPr>
          <w:p w14:paraId="60FCAE91"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9,9</w:t>
            </w:r>
          </w:p>
        </w:tc>
        <w:tc>
          <w:tcPr>
            <w:tcW w:w="1129" w:type="dxa"/>
            <w:tcBorders>
              <w:top w:val="nil"/>
              <w:bottom w:val="nil"/>
            </w:tcBorders>
            <w:shd w:val="clear" w:color="auto" w:fill="auto"/>
            <w:noWrap/>
            <w:vAlign w:val="center"/>
            <w:hideMark/>
          </w:tcPr>
          <w:p w14:paraId="58C1D90D"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7,9</w:t>
            </w:r>
          </w:p>
        </w:tc>
        <w:tc>
          <w:tcPr>
            <w:tcW w:w="1129" w:type="dxa"/>
            <w:tcBorders>
              <w:top w:val="nil"/>
              <w:bottom w:val="nil"/>
            </w:tcBorders>
            <w:shd w:val="clear" w:color="auto" w:fill="auto"/>
            <w:noWrap/>
            <w:vAlign w:val="center"/>
            <w:hideMark/>
          </w:tcPr>
          <w:p w14:paraId="1FB0A28A"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eastAsia="el-GR"/>
              </w:rPr>
              <w:t>6,</w:t>
            </w:r>
            <w:r w:rsidRPr="00DF46CC">
              <w:rPr>
                <w:rFonts w:ascii="Verdana" w:eastAsia="Times New Roman" w:hAnsi="Verdana" w:cs="Calibri"/>
                <w:color w:val="365F91"/>
                <w:sz w:val="18"/>
                <w:szCs w:val="18"/>
                <w:lang w:val="el-GR" w:eastAsia="el-GR"/>
              </w:rPr>
              <w:t>1</w:t>
            </w:r>
          </w:p>
        </w:tc>
        <w:tc>
          <w:tcPr>
            <w:tcW w:w="1129" w:type="dxa"/>
            <w:tcBorders>
              <w:top w:val="nil"/>
              <w:bottom w:val="nil"/>
            </w:tcBorders>
            <w:shd w:val="clear" w:color="auto" w:fill="auto"/>
            <w:noWrap/>
            <w:vAlign w:val="center"/>
            <w:hideMark/>
          </w:tcPr>
          <w:p w14:paraId="5658414D"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5</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1</w:t>
            </w:r>
          </w:p>
        </w:tc>
        <w:tc>
          <w:tcPr>
            <w:tcW w:w="1129" w:type="dxa"/>
            <w:tcBorders>
              <w:top w:val="nil"/>
              <w:bottom w:val="nil"/>
            </w:tcBorders>
            <w:shd w:val="clear" w:color="auto" w:fill="auto"/>
            <w:noWrap/>
            <w:vAlign w:val="center"/>
            <w:hideMark/>
          </w:tcPr>
          <w:p w14:paraId="12CE1785"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5</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3</w:t>
            </w:r>
          </w:p>
        </w:tc>
      </w:tr>
      <w:tr w:rsidR="00985D01" w:rsidRPr="00DF46CC" w14:paraId="2F2D6903" w14:textId="77777777" w:rsidTr="003441E6">
        <w:trPr>
          <w:trHeight w:val="562"/>
          <w:jc w:val="center"/>
        </w:trPr>
        <w:tc>
          <w:tcPr>
            <w:tcW w:w="1509" w:type="dxa"/>
            <w:vMerge/>
            <w:tcBorders>
              <w:bottom w:val="nil"/>
            </w:tcBorders>
            <w:vAlign w:val="center"/>
            <w:hideMark/>
          </w:tcPr>
          <w:p w14:paraId="60B4150E" w14:textId="77777777" w:rsidR="00985D01" w:rsidRPr="00DF46CC" w:rsidRDefault="00985D01" w:rsidP="003441E6">
            <w:pPr>
              <w:rPr>
                <w:rFonts w:ascii="Verdana" w:eastAsia="Times New Roman" w:hAnsi="Verdana" w:cs="Calibri"/>
                <w:b/>
                <w:color w:val="365F91"/>
                <w:sz w:val="18"/>
                <w:szCs w:val="18"/>
                <w:lang w:eastAsia="el-GR"/>
              </w:rPr>
            </w:pPr>
          </w:p>
        </w:tc>
        <w:tc>
          <w:tcPr>
            <w:tcW w:w="2081" w:type="dxa"/>
            <w:tcBorders>
              <w:top w:val="nil"/>
              <w:bottom w:val="nil"/>
            </w:tcBorders>
            <w:shd w:val="clear" w:color="auto" w:fill="auto"/>
            <w:noWrap/>
            <w:vAlign w:val="center"/>
            <w:hideMark/>
          </w:tcPr>
          <w:p w14:paraId="7798AD19" w14:textId="77777777" w:rsidR="00985D01" w:rsidRPr="00DF46CC" w:rsidRDefault="00985D01" w:rsidP="003441E6">
            <w:pP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Women</w:t>
            </w:r>
          </w:p>
        </w:tc>
        <w:tc>
          <w:tcPr>
            <w:tcW w:w="702" w:type="dxa"/>
            <w:tcBorders>
              <w:top w:val="nil"/>
              <w:bottom w:val="nil"/>
            </w:tcBorders>
            <w:shd w:val="clear" w:color="auto" w:fill="auto"/>
            <w:noWrap/>
            <w:vAlign w:val="center"/>
            <w:hideMark/>
          </w:tcPr>
          <w:p w14:paraId="37359151"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w:t>
            </w:r>
          </w:p>
        </w:tc>
        <w:tc>
          <w:tcPr>
            <w:tcW w:w="854" w:type="dxa"/>
            <w:tcBorders>
              <w:top w:val="nil"/>
              <w:bottom w:val="nil"/>
            </w:tcBorders>
            <w:vAlign w:val="center"/>
          </w:tcPr>
          <w:p w14:paraId="1D14A639"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10,9</w:t>
            </w:r>
          </w:p>
        </w:tc>
        <w:tc>
          <w:tcPr>
            <w:tcW w:w="1129" w:type="dxa"/>
            <w:tcBorders>
              <w:top w:val="nil"/>
              <w:bottom w:val="nil"/>
            </w:tcBorders>
            <w:shd w:val="clear" w:color="auto" w:fill="auto"/>
            <w:noWrap/>
            <w:vAlign w:val="center"/>
            <w:hideMark/>
          </w:tcPr>
          <w:p w14:paraId="3C398B5C"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eastAsia="el-GR"/>
              </w:rPr>
              <w:t>8,</w:t>
            </w:r>
            <w:r w:rsidRPr="00DF46CC">
              <w:rPr>
                <w:rFonts w:ascii="Verdana" w:eastAsia="Times New Roman" w:hAnsi="Verdana" w:cs="Calibri"/>
                <w:color w:val="365F91"/>
                <w:sz w:val="18"/>
                <w:szCs w:val="18"/>
                <w:lang w:val="el-GR" w:eastAsia="el-GR"/>
              </w:rPr>
              <w:t>4</w:t>
            </w:r>
          </w:p>
        </w:tc>
        <w:tc>
          <w:tcPr>
            <w:tcW w:w="1129" w:type="dxa"/>
            <w:tcBorders>
              <w:top w:val="nil"/>
              <w:bottom w:val="nil"/>
            </w:tcBorders>
            <w:shd w:val="clear" w:color="auto" w:fill="auto"/>
            <w:noWrap/>
            <w:vAlign w:val="center"/>
            <w:hideMark/>
          </w:tcPr>
          <w:p w14:paraId="06A41A2C"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7,1</w:t>
            </w:r>
          </w:p>
        </w:tc>
        <w:tc>
          <w:tcPr>
            <w:tcW w:w="1129" w:type="dxa"/>
            <w:tcBorders>
              <w:top w:val="nil"/>
              <w:bottom w:val="nil"/>
            </w:tcBorders>
            <w:shd w:val="clear" w:color="auto" w:fill="auto"/>
            <w:noWrap/>
            <w:vAlign w:val="center"/>
            <w:hideMark/>
          </w:tcPr>
          <w:p w14:paraId="608CC3FA"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5</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6</w:t>
            </w:r>
          </w:p>
        </w:tc>
        <w:tc>
          <w:tcPr>
            <w:tcW w:w="1129" w:type="dxa"/>
            <w:tcBorders>
              <w:top w:val="nil"/>
              <w:bottom w:val="nil"/>
            </w:tcBorders>
            <w:shd w:val="clear" w:color="auto" w:fill="auto"/>
            <w:noWrap/>
            <w:vAlign w:val="center"/>
            <w:hideMark/>
          </w:tcPr>
          <w:p w14:paraId="13473E4A"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5</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8</w:t>
            </w:r>
          </w:p>
        </w:tc>
      </w:tr>
      <w:tr w:rsidR="00985D01" w:rsidRPr="00DF46CC" w14:paraId="6962FA01" w14:textId="77777777" w:rsidTr="003441E6">
        <w:trPr>
          <w:trHeight w:val="115"/>
          <w:jc w:val="center"/>
        </w:trPr>
        <w:tc>
          <w:tcPr>
            <w:tcW w:w="1509" w:type="dxa"/>
            <w:tcBorders>
              <w:top w:val="nil"/>
              <w:bottom w:val="single" w:sz="4" w:space="0" w:color="365F91"/>
            </w:tcBorders>
            <w:shd w:val="clear" w:color="auto" w:fill="auto"/>
            <w:vAlign w:val="center"/>
            <w:hideMark/>
          </w:tcPr>
          <w:p w14:paraId="7C22608B" w14:textId="77777777" w:rsidR="00985D01" w:rsidRPr="00DF46CC" w:rsidRDefault="00985D01" w:rsidP="003441E6">
            <w:pPr>
              <w:rPr>
                <w:rFonts w:ascii="Verdana" w:eastAsia="Times New Roman" w:hAnsi="Verdana" w:cs="Arial"/>
                <w:b/>
                <w:color w:val="365F91"/>
                <w:sz w:val="18"/>
                <w:szCs w:val="18"/>
                <w:lang w:eastAsia="el-GR"/>
              </w:rPr>
            </w:pPr>
            <w:r w:rsidRPr="00DF46CC">
              <w:rPr>
                <w:rFonts w:ascii="Verdana" w:eastAsia="Times New Roman" w:hAnsi="Verdana" w:cs="Arial"/>
                <w:b/>
                <w:color w:val="365F91"/>
                <w:sz w:val="18"/>
                <w:szCs w:val="18"/>
                <w:lang w:eastAsia="el-GR"/>
              </w:rPr>
              <w:t> </w:t>
            </w:r>
          </w:p>
        </w:tc>
        <w:tc>
          <w:tcPr>
            <w:tcW w:w="2081" w:type="dxa"/>
            <w:tcBorders>
              <w:top w:val="nil"/>
              <w:bottom w:val="single" w:sz="4" w:space="0" w:color="365F91"/>
            </w:tcBorders>
            <w:shd w:val="clear" w:color="auto" w:fill="auto"/>
            <w:noWrap/>
            <w:vAlign w:val="center"/>
            <w:hideMark/>
          </w:tcPr>
          <w:p w14:paraId="4DDEA723" w14:textId="77777777" w:rsidR="00985D01" w:rsidRPr="00DF46CC" w:rsidRDefault="00985D01" w:rsidP="003441E6">
            <w:pPr>
              <w:rPr>
                <w:rFonts w:ascii="Verdana" w:eastAsia="Times New Roman" w:hAnsi="Verdana" w:cs="Arial"/>
                <w:color w:val="365F91"/>
                <w:sz w:val="18"/>
                <w:szCs w:val="18"/>
                <w:lang w:eastAsia="el-GR"/>
              </w:rPr>
            </w:pPr>
            <w:r w:rsidRPr="00DF46CC">
              <w:rPr>
                <w:rFonts w:ascii="Verdana" w:eastAsia="Times New Roman" w:hAnsi="Verdana" w:cs="Arial"/>
                <w:color w:val="365F91"/>
                <w:sz w:val="18"/>
                <w:szCs w:val="18"/>
                <w:lang w:eastAsia="el-GR"/>
              </w:rPr>
              <w:t> </w:t>
            </w:r>
          </w:p>
        </w:tc>
        <w:tc>
          <w:tcPr>
            <w:tcW w:w="702" w:type="dxa"/>
            <w:tcBorders>
              <w:top w:val="nil"/>
              <w:bottom w:val="single" w:sz="4" w:space="0" w:color="365F91"/>
            </w:tcBorders>
            <w:shd w:val="clear" w:color="auto" w:fill="auto"/>
            <w:noWrap/>
            <w:vAlign w:val="center"/>
            <w:hideMark/>
          </w:tcPr>
          <w:p w14:paraId="71BEC01B" w14:textId="77777777" w:rsidR="00985D01" w:rsidRPr="00DF46CC" w:rsidRDefault="00985D01" w:rsidP="003441E6">
            <w:pPr>
              <w:jc w:val="center"/>
              <w:rPr>
                <w:rFonts w:ascii="Verdana" w:eastAsia="Times New Roman" w:hAnsi="Verdana" w:cs="Arial"/>
                <w:color w:val="365F91"/>
                <w:sz w:val="18"/>
                <w:szCs w:val="18"/>
                <w:lang w:eastAsia="el-GR"/>
              </w:rPr>
            </w:pPr>
          </w:p>
        </w:tc>
        <w:tc>
          <w:tcPr>
            <w:tcW w:w="854" w:type="dxa"/>
            <w:tcBorders>
              <w:top w:val="nil"/>
              <w:bottom w:val="single" w:sz="4" w:space="0" w:color="365F91"/>
            </w:tcBorders>
            <w:vAlign w:val="center"/>
          </w:tcPr>
          <w:p w14:paraId="3DDCB635" w14:textId="77777777" w:rsidR="00985D01" w:rsidRPr="00DF46CC" w:rsidRDefault="00985D01" w:rsidP="003441E6">
            <w:pPr>
              <w:ind w:right="144"/>
              <w:jc w:val="right"/>
              <w:rPr>
                <w:rFonts w:ascii="Verdana" w:eastAsia="Times New Roman" w:hAnsi="Verdana" w:cs="Arial"/>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5746E665"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1129" w:type="dxa"/>
            <w:tcBorders>
              <w:top w:val="nil"/>
              <w:bottom w:val="single" w:sz="4" w:space="0" w:color="365F91"/>
            </w:tcBorders>
            <w:shd w:val="clear" w:color="auto" w:fill="auto"/>
            <w:noWrap/>
            <w:vAlign w:val="center"/>
            <w:hideMark/>
          </w:tcPr>
          <w:p w14:paraId="5601940C"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1129" w:type="dxa"/>
            <w:tcBorders>
              <w:top w:val="nil"/>
              <w:bottom w:val="single" w:sz="4" w:space="0" w:color="365F91"/>
            </w:tcBorders>
            <w:shd w:val="clear" w:color="auto" w:fill="auto"/>
            <w:noWrap/>
            <w:vAlign w:val="center"/>
            <w:hideMark/>
          </w:tcPr>
          <w:p w14:paraId="159964A8"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1129" w:type="dxa"/>
            <w:tcBorders>
              <w:top w:val="nil"/>
              <w:bottom w:val="single" w:sz="4" w:space="0" w:color="365F91"/>
            </w:tcBorders>
            <w:shd w:val="clear" w:color="auto" w:fill="auto"/>
            <w:noWrap/>
            <w:vAlign w:val="center"/>
            <w:hideMark/>
          </w:tcPr>
          <w:p w14:paraId="38B741C5"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r>
      <w:tr w:rsidR="00985D01" w:rsidRPr="00DF46CC" w14:paraId="3C4FDB3E" w14:textId="77777777" w:rsidTr="003441E6">
        <w:trPr>
          <w:trHeight w:val="1008"/>
          <w:jc w:val="center"/>
        </w:trPr>
        <w:tc>
          <w:tcPr>
            <w:tcW w:w="1509" w:type="dxa"/>
            <w:tcBorders>
              <w:top w:val="single" w:sz="4" w:space="0" w:color="365F91"/>
              <w:bottom w:val="nil"/>
            </w:tcBorders>
            <w:shd w:val="clear" w:color="auto" w:fill="auto"/>
            <w:vAlign w:val="center"/>
            <w:hideMark/>
          </w:tcPr>
          <w:p w14:paraId="151DF798" w14:textId="77777777" w:rsidR="00985D01" w:rsidRPr="00DF46CC" w:rsidRDefault="00985D01" w:rsidP="003441E6">
            <w:pP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Mean annual disposable income of the household</w:t>
            </w:r>
          </w:p>
        </w:tc>
        <w:tc>
          <w:tcPr>
            <w:tcW w:w="2081" w:type="dxa"/>
            <w:tcBorders>
              <w:top w:val="single" w:sz="4" w:space="0" w:color="365F91"/>
              <w:bottom w:val="nil"/>
            </w:tcBorders>
            <w:shd w:val="clear" w:color="auto" w:fill="auto"/>
            <w:vAlign w:val="center"/>
            <w:hideMark/>
          </w:tcPr>
          <w:p w14:paraId="39B04608" w14:textId="77777777" w:rsidR="00985D01" w:rsidRPr="00DF46CC" w:rsidRDefault="00985D01" w:rsidP="003441E6">
            <w:pP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702" w:type="dxa"/>
            <w:tcBorders>
              <w:top w:val="single" w:sz="4" w:space="0" w:color="365F91"/>
              <w:bottom w:val="nil"/>
            </w:tcBorders>
            <w:shd w:val="clear" w:color="auto" w:fill="auto"/>
            <w:noWrap/>
            <w:vAlign w:val="center"/>
            <w:hideMark/>
          </w:tcPr>
          <w:p w14:paraId="3A7B6325"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w:t>
            </w:r>
          </w:p>
        </w:tc>
        <w:tc>
          <w:tcPr>
            <w:tcW w:w="854" w:type="dxa"/>
            <w:tcBorders>
              <w:top w:val="single" w:sz="4" w:space="0" w:color="365F91"/>
              <w:bottom w:val="nil"/>
            </w:tcBorders>
            <w:vAlign w:val="center"/>
          </w:tcPr>
          <w:p w14:paraId="2A974BCC"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val="el-GR" w:eastAsia="el-GR"/>
              </w:rPr>
              <w:t>29.</w:t>
            </w:r>
            <w:r w:rsidRPr="00DF46CC">
              <w:rPr>
                <w:rFonts w:ascii="Verdana" w:eastAsia="Times New Roman" w:hAnsi="Verdana" w:cs="Calibri"/>
                <w:color w:val="365F91"/>
                <w:sz w:val="18"/>
                <w:szCs w:val="18"/>
                <w:lang w:eastAsia="el-GR"/>
              </w:rPr>
              <w:t>959</w:t>
            </w:r>
          </w:p>
        </w:tc>
        <w:tc>
          <w:tcPr>
            <w:tcW w:w="1129" w:type="dxa"/>
            <w:tcBorders>
              <w:top w:val="single" w:sz="4" w:space="0" w:color="365F91"/>
              <w:bottom w:val="nil"/>
            </w:tcBorders>
            <w:shd w:val="clear" w:color="auto" w:fill="auto"/>
            <w:noWrap/>
            <w:vAlign w:val="center"/>
            <w:hideMark/>
          </w:tcPr>
          <w:p w14:paraId="0943A449"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30.807</w:t>
            </w:r>
          </w:p>
        </w:tc>
        <w:tc>
          <w:tcPr>
            <w:tcW w:w="1129" w:type="dxa"/>
            <w:tcBorders>
              <w:top w:val="single" w:sz="4" w:space="0" w:color="365F91"/>
              <w:bottom w:val="nil"/>
            </w:tcBorders>
            <w:shd w:val="clear" w:color="auto" w:fill="auto"/>
            <w:noWrap/>
            <w:vAlign w:val="center"/>
            <w:hideMark/>
          </w:tcPr>
          <w:p w14:paraId="03022977"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33.584</w:t>
            </w:r>
          </w:p>
        </w:tc>
        <w:tc>
          <w:tcPr>
            <w:tcW w:w="1129" w:type="dxa"/>
            <w:tcBorders>
              <w:top w:val="single" w:sz="4" w:space="0" w:color="365F91"/>
              <w:bottom w:val="nil"/>
            </w:tcBorders>
            <w:shd w:val="clear" w:color="auto" w:fill="auto"/>
            <w:noWrap/>
            <w:vAlign w:val="center"/>
            <w:hideMark/>
          </w:tcPr>
          <w:p w14:paraId="04FD5C67"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33.862</w:t>
            </w:r>
          </w:p>
        </w:tc>
        <w:tc>
          <w:tcPr>
            <w:tcW w:w="1129" w:type="dxa"/>
            <w:tcBorders>
              <w:top w:val="single" w:sz="4" w:space="0" w:color="365F91"/>
              <w:bottom w:val="nil"/>
            </w:tcBorders>
            <w:shd w:val="clear" w:color="auto" w:fill="auto"/>
            <w:noWrap/>
            <w:vAlign w:val="center"/>
            <w:hideMark/>
          </w:tcPr>
          <w:p w14:paraId="06CE884E"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34.227</w:t>
            </w:r>
          </w:p>
        </w:tc>
      </w:tr>
      <w:tr w:rsidR="00985D01" w:rsidRPr="00DF46CC" w14:paraId="77D14C6E" w14:textId="77777777" w:rsidTr="003441E6">
        <w:trPr>
          <w:trHeight w:val="115"/>
          <w:jc w:val="center"/>
        </w:trPr>
        <w:tc>
          <w:tcPr>
            <w:tcW w:w="1509" w:type="dxa"/>
            <w:tcBorders>
              <w:top w:val="nil"/>
              <w:bottom w:val="single" w:sz="4" w:space="0" w:color="365F91"/>
            </w:tcBorders>
            <w:shd w:val="clear" w:color="auto" w:fill="auto"/>
            <w:vAlign w:val="center"/>
            <w:hideMark/>
          </w:tcPr>
          <w:p w14:paraId="5E9AB39B" w14:textId="77777777" w:rsidR="00985D01" w:rsidRPr="00DF46CC" w:rsidRDefault="00985D01" w:rsidP="003441E6">
            <w:pP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 </w:t>
            </w:r>
          </w:p>
        </w:tc>
        <w:tc>
          <w:tcPr>
            <w:tcW w:w="2081" w:type="dxa"/>
            <w:tcBorders>
              <w:top w:val="nil"/>
              <w:bottom w:val="single" w:sz="4" w:space="0" w:color="365F91"/>
            </w:tcBorders>
            <w:shd w:val="clear" w:color="auto" w:fill="auto"/>
            <w:vAlign w:val="center"/>
            <w:hideMark/>
          </w:tcPr>
          <w:p w14:paraId="6FE92004" w14:textId="77777777" w:rsidR="00985D01" w:rsidRPr="00DF46CC" w:rsidRDefault="00985D01" w:rsidP="003441E6">
            <w:pP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702" w:type="dxa"/>
            <w:tcBorders>
              <w:top w:val="nil"/>
              <w:bottom w:val="single" w:sz="4" w:space="0" w:color="365F91"/>
            </w:tcBorders>
            <w:shd w:val="clear" w:color="auto" w:fill="auto"/>
            <w:noWrap/>
            <w:vAlign w:val="center"/>
            <w:hideMark/>
          </w:tcPr>
          <w:p w14:paraId="5D7E2A12"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854" w:type="dxa"/>
            <w:tcBorders>
              <w:top w:val="nil"/>
              <w:bottom w:val="single" w:sz="4" w:space="0" w:color="365F91"/>
            </w:tcBorders>
            <w:vAlign w:val="center"/>
          </w:tcPr>
          <w:p w14:paraId="4C20CEAD" w14:textId="77777777" w:rsidR="00985D01" w:rsidRPr="00DF46CC" w:rsidRDefault="00985D01" w:rsidP="003441E6">
            <w:pPr>
              <w:ind w:right="144"/>
              <w:jc w:val="right"/>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21A5B065"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1129" w:type="dxa"/>
            <w:tcBorders>
              <w:top w:val="nil"/>
              <w:bottom w:val="single" w:sz="4" w:space="0" w:color="365F91"/>
            </w:tcBorders>
            <w:shd w:val="clear" w:color="auto" w:fill="auto"/>
            <w:noWrap/>
            <w:vAlign w:val="center"/>
            <w:hideMark/>
          </w:tcPr>
          <w:p w14:paraId="6C6CDB98"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1129" w:type="dxa"/>
            <w:tcBorders>
              <w:top w:val="nil"/>
              <w:bottom w:val="single" w:sz="4" w:space="0" w:color="365F91"/>
            </w:tcBorders>
            <w:shd w:val="clear" w:color="auto" w:fill="auto"/>
            <w:noWrap/>
            <w:vAlign w:val="center"/>
            <w:hideMark/>
          </w:tcPr>
          <w:p w14:paraId="27314C4F"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1129" w:type="dxa"/>
            <w:tcBorders>
              <w:top w:val="nil"/>
              <w:bottom w:val="single" w:sz="4" w:space="0" w:color="365F91"/>
            </w:tcBorders>
            <w:shd w:val="clear" w:color="auto" w:fill="auto"/>
            <w:noWrap/>
            <w:vAlign w:val="center"/>
            <w:hideMark/>
          </w:tcPr>
          <w:p w14:paraId="2949305E"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r>
      <w:tr w:rsidR="00985D01" w:rsidRPr="00DF46CC" w14:paraId="2EEFB70E" w14:textId="77777777" w:rsidTr="003441E6">
        <w:trPr>
          <w:trHeight w:val="605"/>
          <w:jc w:val="center"/>
        </w:trPr>
        <w:tc>
          <w:tcPr>
            <w:tcW w:w="1509" w:type="dxa"/>
            <w:tcBorders>
              <w:top w:val="single" w:sz="4" w:space="0" w:color="365F91"/>
              <w:bottom w:val="nil"/>
            </w:tcBorders>
            <w:shd w:val="clear" w:color="auto" w:fill="auto"/>
            <w:vAlign w:val="center"/>
            <w:hideMark/>
          </w:tcPr>
          <w:p w14:paraId="336E0056" w14:textId="77777777" w:rsidR="00985D01" w:rsidRPr="00DF46CC" w:rsidRDefault="00985D01" w:rsidP="003441E6">
            <w:pP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S80/S20 quintile share ratio</w:t>
            </w:r>
          </w:p>
        </w:tc>
        <w:tc>
          <w:tcPr>
            <w:tcW w:w="2081" w:type="dxa"/>
            <w:tcBorders>
              <w:top w:val="single" w:sz="4" w:space="0" w:color="365F91"/>
              <w:bottom w:val="nil"/>
            </w:tcBorders>
            <w:shd w:val="clear" w:color="auto" w:fill="auto"/>
            <w:noWrap/>
            <w:vAlign w:val="center"/>
            <w:hideMark/>
          </w:tcPr>
          <w:p w14:paraId="1E0FBE22" w14:textId="77777777" w:rsidR="00985D01" w:rsidRPr="00DF46CC" w:rsidRDefault="00985D01" w:rsidP="003441E6">
            <w:pP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702" w:type="dxa"/>
            <w:tcBorders>
              <w:top w:val="single" w:sz="4" w:space="0" w:color="365F91"/>
              <w:bottom w:val="nil"/>
            </w:tcBorders>
            <w:shd w:val="clear" w:color="auto" w:fill="auto"/>
            <w:noWrap/>
            <w:vAlign w:val="center"/>
            <w:hideMark/>
          </w:tcPr>
          <w:p w14:paraId="5CFDDE7D"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854" w:type="dxa"/>
            <w:tcBorders>
              <w:top w:val="single" w:sz="4" w:space="0" w:color="365F91"/>
              <w:bottom w:val="nil"/>
            </w:tcBorders>
            <w:vAlign w:val="center"/>
          </w:tcPr>
          <w:p w14:paraId="124D4DD6"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5</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2</w:t>
            </w:r>
          </w:p>
        </w:tc>
        <w:tc>
          <w:tcPr>
            <w:tcW w:w="1129" w:type="dxa"/>
            <w:tcBorders>
              <w:top w:val="single" w:sz="4" w:space="0" w:color="365F91"/>
              <w:bottom w:val="nil"/>
            </w:tcBorders>
            <w:shd w:val="clear" w:color="auto" w:fill="auto"/>
            <w:noWrap/>
            <w:vAlign w:val="center"/>
            <w:hideMark/>
          </w:tcPr>
          <w:p w14:paraId="3AAFB7DA"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4,3</w:t>
            </w:r>
          </w:p>
        </w:tc>
        <w:tc>
          <w:tcPr>
            <w:tcW w:w="1129" w:type="dxa"/>
            <w:tcBorders>
              <w:top w:val="single" w:sz="4" w:space="0" w:color="365F91"/>
              <w:bottom w:val="nil"/>
            </w:tcBorders>
            <w:shd w:val="clear" w:color="auto" w:fill="auto"/>
            <w:noWrap/>
            <w:vAlign w:val="center"/>
            <w:hideMark/>
          </w:tcPr>
          <w:p w14:paraId="022CE703"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4,6</w:t>
            </w:r>
          </w:p>
        </w:tc>
        <w:tc>
          <w:tcPr>
            <w:tcW w:w="1129" w:type="dxa"/>
            <w:tcBorders>
              <w:top w:val="single" w:sz="4" w:space="0" w:color="365F91"/>
              <w:bottom w:val="nil"/>
            </w:tcBorders>
            <w:shd w:val="clear" w:color="auto" w:fill="auto"/>
            <w:noWrap/>
            <w:vAlign w:val="center"/>
            <w:hideMark/>
          </w:tcPr>
          <w:p w14:paraId="0FA71624"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eastAsia="el-GR"/>
              </w:rPr>
              <w:t>4,</w:t>
            </w:r>
            <w:r w:rsidRPr="00DF46CC">
              <w:rPr>
                <w:rFonts w:ascii="Verdana" w:eastAsia="Times New Roman" w:hAnsi="Verdana" w:cs="Calibri"/>
                <w:color w:val="365F91"/>
                <w:sz w:val="18"/>
                <w:szCs w:val="18"/>
                <w:lang w:val="el-GR" w:eastAsia="el-GR"/>
              </w:rPr>
              <w:t>3</w:t>
            </w:r>
          </w:p>
        </w:tc>
        <w:tc>
          <w:tcPr>
            <w:tcW w:w="1129" w:type="dxa"/>
            <w:tcBorders>
              <w:top w:val="single" w:sz="4" w:space="0" w:color="365F91"/>
              <w:bottom w:val="nil"/>
            </w:tcBorders>
            <w:shd w:val="clear" w:color="auto" w:fill="auto"/>
            <w:noWrap/>
            <w:vAlign w:val="center"/>
            <w:hideMark/>
          </w:tcPr>
          <w:p w14:paraId="18091177"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eastAsia="el-GR"/>
              </w:rPr>
              <w:t>4,</w:t>
            </w:r>
            <w:r w:rsidRPr="00DF46CC">
              <w:rPr>
                <w:rFonts w:ascii="Verdana" w:eastAsia="Times New Roman" w:hAnsi="Verdana" w:cs="Calibri"/>
                <w:color w:val="365F91"/>
                <w:sz w:val="18"/>
                <w:szCs w:val="18"/>
                <w:lang w:val="el-GR" w:eastAsia="el-GR"/>
              </w:rPr>
              <w:t>2</w:t>
            </w:r>
          </w:p>
        </w:tc>
      </w:tr>
      <w:tr w:rsidR="00985D01" w:rsidRPr="00DF46CC" w14:paraId="4A8D14DC" w14:textId="77777777" w:rsidTr="003441E6">
        <w:trPr>
          <w:trHeight w:val="115"/>
          <w:jc w:val="center"/>
        </w:trPr>
        <w:tc>
          <w:tcPr>
            <w:tcW w:w="1509" w:type="dxa"/>
            <w:tcBorders>
              <w:top w:val="nil"/>
              <w:bottom w:val="single" w:sz="4" w:space="0" w:color="365F91"/>
            </w:tcBorders>
            <w:shd w:val="clear" w:color="auto" w:fill="auto"/>
            <w:vAlign w:val="center"/>
            <w:hideMark/>
          </w:tcPr>
          <w:p w14:paraId="3D4E7019" w14:textId="77777777" w:rsidR="00985D01" w:rsidRPr="00DF46CC" w:rsidRDefault="00985D01" w:rsidP="003441E6">
            <w:pP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 </w:t>
            </w:r>
          </w:p>
        </w:tc>
        <w:tc>
          <w:tcPr>
            <w:tcW w:w="2081" w:type="dxa"/>
            <w:tcBorders>
              <w:top w:val="nil"/>
              <w:bottom w:val="single" w:sz="4" w:space="0" w:color="365F91"/>
            </w:tcBorders>
            <w:shd w:val="clear" w:color="auto" w:fill="auto"/>
            <w:noWrap/>
            <w:vAlign w:val="center"/>
            <w:hideMark/>
          </w:tcPr>
          <w:p w14:paraId="052F4B06" w14:textId="77777777" w:rsidR="00985D01" w:rsidRPr="00DF46CC" w:rsidRDefault="00985D01" w:rsidP="003441E6">
            <w:pP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702" w:type="dxa"/>
            <w:tcBorders>
              <w:top w:val="nil"/>
              <w:bottom w:val="single" w:sz="4" w:space="0" w:color="365F91"/>
            </w:tcBorders>
            <w:shd w:val="clear" w:color="auto" w:fill="auto"/>
            <w:noWrap/>
            <w:vAlign w:val="center"/>
            <w:hideMark/>
          </w:tcPr>
          <w:p w14:paraId="025DD3CA" w14:textId="77777777" w:rsidR="00985D01" w:rsidRPr="00DF46CC" w:rsidRDefault="00985D01" w:rsidP="003441E6">
            <w:pPr>
              <w:jc w:val="center"/>
              <w:rPr>
                <w:rFonts w:ascii="Verdana" w:eastAsia="Times New Roman" w:hAnsi="Verdana" w:cs="Calibri"/>
                <w:color w:val="365F91"/>
                <w:sz w:val="18"/>
                <w:szCs w:val="18"/>
                <w:lang w:eastAsia="el-GR"/>
              </w:rPr>
            </w:pPr>
          </w:p>
        </w:tc>
        <w:tc>
          <w:tcPr>
            <w:tcW w:w="854" w:type="dxa"/>
            <w:tcBorders>
              <w:top w:val="nil"/>
              <w:bottom w:val="single" w:sz="4" w:space="0" w:color="365F91"/>
            </w:tcBorders>
            <w:vAlign w:val="center"/>
          </w:tcPr>
          <w:p w14:paraId="64929F1B" w14:textId="77777777" w:rsidR="00985D01" w:rsidRPr="00DF46CC" w:rsidRDefault="00985D01" w:rsidP="003441E6">
            <w:pPr>
              <w:ind w:right="144"/>
              <w:jc w:val="right"/>
              <w:rPr>
                <w:rFonts w:ascii="Verdana" w:eastAsia="Times New Roman" w:hAnsi="Verdana" w:cs="Calibri"/>
                <w:color w:val="365F91"/>
                <w:sz w:val="18"/>
                <w:szCs w:val="18"/>
                <w:lang w:eastAsia="el-GR"/>
              </w:rPr>
            </w:pPr>
          </w:p>
        </w:tc>
        <w:tc>
          <w:tcPr>
            <w:tcW w:w="1129" w:type="dxa"/>
            <w:tcBorders>
              <w:top w:val="nil"/>
              <w:bottom w:val="single" w:sz="4" w:space="0" w:color="365F91"/>
            </w:tcBorders>
            <w:shd w:val="clear" w:color="auto" w:fill="auto"/>
            <w:noWrap/>
            <w:vAlign w:val="center"/>
            <w:hideMark/>
          </w:tcPr>
          <w:p w14:paraId="67EECDE3"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1129" w:type="dxa"/>
            <w:tcBorders>
              <w:top w:val="nil"/>
              <w:bottom w:val="single" w:sz="4" w:space="0" w:color="365F91"/>
            </w:tcBorders>
            <w:shd w:val="clear" w:color="auto" w:fill="auto"/>
            <w:noWrap/>
            <w:vAlign w:val="center"/>
            <w:hideMark/>
          </w:tcPr>
          <w:p w14:paraId="4F5D70B4"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1129" w:type="dxa"/>
            <w:tcBorders>
              <w:top w:val="nil"/>
              <w:bottom w:val="single" w:sz="4" w:space="0" w:color="365F91"/>
            </w:tcBorders>
            <w:shd w:val="clear" w:color="auto" w:fill="auto"/>
            <w:noWrap/>
            <w:vAlign w:val="center"/>
            <w:hideMark/>
          </w:tcPr>
          <w:p w14:paraId="4EB9912A"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1129" w:type="dxa"/>
            <w:tcBorders>
              <w:top w:val="nil"/>
              <w:bottom w:val="single" w:sz="4" w:space="0" w:color="365F91"/>
            </w:tcBorders>
            <w:shd w:val="clear" w:color="auto" w:fill="auto"/>
            <w:noWrap/>
            <w:vAlign w:val="center"/>
            <w:hideMark/>
          </w:tcPr>
          <w:p w14:paraId="4002E80D"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r>
      <w:tr w:rsidR="00985D01" w:rsidRPr="00DF46CC" w14:paraId="46D610E4" w14:textId="77777777" w:rsidTr="003441E6">
        <w:trPr>
          <w:trHeight w:val="461"/>
          <w:jc w:val="center"/>
        </w:trPr>
        <w:tc>
          <w:tcPr>
            <w:tcW w:w="1509" w:type="dxa"/>
            <w:tcBorders>
              <w:top w:val="single" w:sz="4" w:space="0" w:color="365F91"/>
              <w:bottom w:val="single" w:sz="4" w:space="0" w:color="365F91"/>
            </w:tcBorders>
            <w:shd w:val="clear" w:color="auto" w:fill="auto"/>
            <w:vAlign w:val="center"/>
            <w:hideMark/>
          </w:tcPr>
          <w:p w14:paraId="21662978" w14:textId="77777777" w:rsidR="00985D01" w:rsidRPr="00DF46CC" w:rsidRDefault="00985D01" w:rsidP="003441E6">
            <w:pPr>
              <w:rPr>
                <w:rFonts w:ascii="Verdana" w:eastAsia="Times New Roman" w:hAnsi="Verdana" w:cs="Calibri"/>
                <w:b/>
                <w:color w:val="365F91"/>
                <w:sz w:val="18"/>
                <w:szCs w:val="18"/>
                <w:lang w:eastAsia="el-GR"/>
              </w:rPr>
            </w:pPr>
            <w:r w:rsidRPr="00DF46CC">
              <w:rPr>
                <w:rFonts w:ascii="Verdana" w:eastAsia="Times New Roman" w:hAnsi="Verdana" w:cs="Calibri"/>
                <w:b/>
                <w:color w:val="365F91"/>
                <w:sz w:val="18"/>
                <w:szCs w:val="18"/>
                <w:lang w:eastAsia="el-GR"/>
              </w:rPr>
              <w:t>Gini coefficient</w:t>
            </w:r>
          </w:p>
        </w:tc>
        <w:tc>
          <w:tcPr>
            <w:tcW w:w="2081" w:type="dxa"/>
            <w:tcBorders>
              <w:top w:val="single" w:sz="4" w:space="0" w:color="365F91"/>
              <w:bottom w:val="single" w:sz="4" w:space="0" w:color="365F91"/>
            </w:tcBorders>
            <w:shd w:val="clear" w:color="auto" w:fill="auto"/>
            <w:noWrap/>
            <w:vAlign w:val="center"/>
            <w:hideMark/>
          </w:tcPr>
          <w:p w14:paraId="6751A97F" w14:textId="77777777" w:rsidR="00985D01" w:rsidRPr="00DF46CC" w:rsidRDefault="00985D01" w:rsidP="003441E6">
            <w:pP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 </w:t>
            </w:r>
          </w:p>
        </w:tc>
        <w:tc>
          <w:tcPr>
            <w:tcW w:w="702" w:type="dxa"/>
            <w:tcBorders>
              <w:top w:val="single" w:sz="4" w:space="0" w:color="365F91"/>
              <w:bottom w:val="single" w:sz="4" w:space="0" w:color="365F91"/>
            </w:tcBorders>
            <w:shd w:val="clear" w:color="auto" w:fill="auto"/>
            <w:noWrap/>
            <w:vAlign w:val="center"/>
            <w:hideMark/>
          </w:tcPr>
          <w:p w14:paraId="42E06339"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w:t>
            </w:r>
          </w:p>
        </w:tc>
        <w:tc>
          <w:tcPr>
            <w:tcW w:w="854" w:type="dxa"/>
            <w:tcBorders>
              <w:top w:val="single" w:sz="4" w:space="0" w:color="365F91"/>
              <w:bottom w:val="single" w:sz="4" w:space="0" w:color="365F91"/>
            </w:tcBorders>
            <w:vAlign w:val="center"/>
          </w:tcPr>
          <w:p w14:paraId="354B65BD"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eastAsia="el-GR"/>
              </w:rPr>
              <w:t>3</w:t>
            </w:r>
            <w:r w:rsidRPr="00DF46CC">
              <w:rPr>
                <w:rFonts w:ascii="Verdana" w:eastAsia="Times New Roman" w:hAnsi="Verdana" w:cs="Calibri"/>
                <w:color w:val="365F91"/>
                <w:sz w:val="18"/>
                <w:szCs w:val="18"/>
                <w:lang w:val="el-GR" w:eastAsia="el-GR"/>
              </w:rPr>
              <w:t>3</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6</w:t>
            </w:r>
          </w:p>
        </w:tc>
        <w:tc>
          <w:tcPr>
            <w:tcW w:w="1129" w:type="dxa"/>
            <w:tcBorders>
              <w:top w:val="single" w:sz="4" w:space="0" w:color="365F91"/>
              <w:bottom w:val="single" w:sz="4" w:space="0" w:color="365F91"/>
            </w:tcBorders>
            <w:shd w:val="clear" w:color="auto" w:fill="auto"/>
            <w:noWrap/>
            <w:vAlign w:val="center"/>
            <w:hideMark/>
          </w:tcPr>
          <w:p w14:paraId="288AC9F2"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29,1</w:t>
            </w:r>
          </w:p>
        </w:tc>
        <w:tc>
          <w:tcPr>
            <w:tcW w:w="1129" w:type="dxa"/>
            <w:tcBorders>
              <w:top w:val="single" w:sz="4" w:space="0" w:color="365F91"/>
              <w:bottom w:val="single" w:sz="4" w:space="0" w:color="365F91"/>
            </w:tcBorders>
            <w:shd w:val="clear" w:color="auto" w:fill="auto"/>
            <w:noWrap/>
            <w:vAlign w:val="center"/>
            <w:hideMark/>
          </w:tcPr>
          <w:p w14:paraId="6F720AEC" w14:textId="77777777" w:rsidR="00985D01" w:rsidRPr="00DF46CC" w:rsidRDefault="00985D01" w:rsidP="003441E6">
            <w:pPr>
              <w:jc w:val="center"/>
              <w:rPr>
                <w:rFonts w:ascii="Verdana" w:eastAsia="Times New Roman" w:hAnsi="Verdana" w:cs="Calibri"/>
                <w:color w:val="365F91"/>
                <w:sz w:val="18"/>
                <w:szCs w:val="18"/>
                <w:lang w:eastAsia="el-GR"/>
              </w:rPr>
            </w:pPr>
            <w:r w:rsidRPr="00DF46CC">
              <w:rPr>
                <w:rFonts w:ascii="Verdana" w:eastAsia="Times New Roman" w:hAnsi="Verdana" w:cs="Calibri"/>
                <w:color w:val="365F91"/>
                <w:sz w:val="18"/>
                <w:szCs w:val="18"/>
                <w:lang w:eastAsia="el-GR"/>
              </w:rPr>
              <w:t>31,1</w:t>
            </w:r>
          </w:p>
        </w:tc>
        <w:tc>
          <w:tcPr>
            <w:tcW w:w="1129" w:type="dxa"/>
            <w:tcBorders>
              <w:top w:val="single" w:sz="4" w:space="0" w:color="365F91"/>
              <w:bottom w:val="single" w:sz="4" w:space="0" w:color="365F91"/>
            </w:tcBorders>
            <w:shd w:val="clear" w:color="auto" w:fill="auto"/>
            <w:noWrap/>
            <w:vAlign w:val="center"/>
            <w:hideMark/>
          </w:tcPr>
          <w:p w14:paraId="051A00EA"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29</w:t>
            </w:r>
            <w:r w:rsidRPr="00DF46CC">
              <w:rPr>
                <w:rFonts w:ascii="Verdana" w:eastAsia="Times New Roman" w:hAnsi="Verdana" w:cs="Calibri"/>
                <w:color w:val="365F91"/>
                <w:sz w:val="18"/>
                <w:szCs w:val="18"/>
                <w:lang w:eastAsia="el-GR"/>
              </w:rPr>
              <w:t>,</w:t>
            </w:r>
            <w:r w:rsidRPr="00DF46CC">
              <w:rPr>
                <w:rFonts w:ascii="Verdana" w:eastAsia="Times New Roman" w:hAnsi="Verdana" w:cs="Calibri"/>
                <w:color w:val="365F91"/>
                <w:sz w:val="18"/>
                <w:szCs w:val="18"/>
                <w:lang w:val="el-GR" w:eastAsia="el-GR"/>
              </w:rPr>
              <w:t>3</w:t>
            </w:r>
          </w:p>
        </w:tc>
        <w:tc>
          <w:tcPr>
            <w:tcW w:w="1129" w:type="dxa"/>
            <w:tcBorders>
              <w:top w:val="single" w:sz="4" w:space="0" w:color="365F91"/>
              <w:bottom w:val="single" w:sz="4" w:space="0" w:color="365F91"/>
            </w:tcBorders>
            <w:shd w:val="clear" w:color="auto" w:fill="auto"/>
            <w:noWrap/>
            <w:vAlign w:val="center"/>
            <w:hideMark/>
          </w:tcPr>
          <w:p w14:paraId="51A1CA2D" w14:textId="77777777" w:rsidR="00985D01" w:rsidRPr="00DF46CC" w:rsidRDefault="00985D01" w:rsidP="003441E6">
            <w:pPr>
              <w:jc w:val="center"/>
              <w:rPr>
                <w:rFonts w:ascii="Verdana" w:eastAsia="Times New Roman" w:hAnsi="Verdana" w:cs="Calibri"/>
                <w:color w:val="365F91"/>
                <w:sz w:val="18"/>
                <w:szCs w:val="18"/>
                <w:lang w:val="el-GR" w:eastAsia="el-GR"/>
              </w:rPr>
            </w:pPr>
            <w:r w:rsidRPr="00DF46CC">
              <w:rPr>
                <w:rFonts w:ascii="Verdana" w:eastAsia="Times New Roman" w:hAnsi="Verdana" w:cs="Calibri"/>
                <w:color w:val="365F91"/>
                <w:sz w:val="18"/>
                <w:szCs w:val="18"/>
                <w:lang w:val="el-GR" w:eastAsia="el-GR"/>
              </w:rPr>
              <w:t>29,4</w:t>
            </w:r>
          </w:p>
        </w:tc>
      </w:tr>
    </w:tbl>
    <w:p w14:paraId="1D52CDED" w14:textId="77777777" w:rsidR="00985D01" w:rsidRDefault="00985D01" w:rsidP="00985D01">
      <w:pPr>
        <w:jc w:val="both"/>
        <w:rPr>
          <w:rFonts w:ascii="Verdana" w:eastAsia="Malgun Gothic" w:hAnsi="Verdana" w:cs="Arial"/>
          <w:sz w:val="18"/>
          <w:szCs w:val="18"/>
        </w:rPr>
      </w:pPr>
    </w:p>
    <w:p w14:paraId="0CB2C170" w14:textId="77777777" w:rsidR="00985D01" w:rsidRDefault="00985D01" w:rsidP="00985D01">
      <w:pPr>
        <w:jc w:val="both"/>
        <w:rPr>
          <w:rFonts w:ascii="Verdana" w:eastAsia="Malgun Gothic" w:hAnsi="Verdana" w:cs="Arial"/>
          <w:sz w:val="18"/>
          <w:szCs w:val="18"/>
        </w:rPr>
      </w:pPr>
    </w:p>
    <w:p w14:paraId="5462A80A" w14:textId="77777777" w:rsidR="00985D01" w:rsidRDefault="00985D01" w:rsidP="00985D01">
      <w:pPr>
        <w:jc w:val="both"/>
        <w:rPr>
          <w:rFonts w:ascii="Verdana" w:eastAsia="Malgun Gothic" w:hAnsi="Verdana" w:cs="Arial"/>
          <w:sz w:val="18"/>
          <w:szCs w:val="18"/>
        </w:rPr>
      </w:pPr>
    </w:p>
    <w:p w14:paraId="40B38BFA" w14:textId="77777777" w:rsidR="00985D01" w:rsidRPr="00205BA0" w:rsidRDefault="00985D01" w:rsidP="00985D01">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430DC8B1" w14:textId="77777777" w:rsidR="00985D01" w:rsidRPr="00D33293" w:rsidRDefault="00985D01" w:rsidP="00985D01">
      <w:pPr>
        <w:rPr>
          <w:rFonts w:ascii="Verdana" w:eastAsia="Malgun Gothic" w:hAnsi="Verdana" w:cs="Arial"/>
          <w:sz w:val="18"/>
          <w:szCs w:val="18"/>
        </w:rPr>
      </w:pPr>
    </w:p>
    <w:p w14:paraId="02D90419" w14:textId="77777777" w:rsidR="00985D01" w:rsidRDefault="00985D01" w:rsidP="00985D01">
      <w:pPr>
        <w:jc w:val="both"/>
        <w:rPr>
          <w:rFonts w:ascii="Verdana" w:eastAsia="Malgun Gothic" w:hAnsi="Verdana" w:cs="Arial"/>
          <w:sz w:val="18"/>
          <w:szCs w:val="18"/>
          <w:lang w:val="el-GR"/>
        </w:rPr>
      </w:pPr>
    </w:p>
    <w:p w14:paraId="5A7EE5BB" w14:textId="77777777" w:rsidR="00985D01" w:rsidRDefault="00985D01" w:rsidP="00985D01">
      <w:pPr>
        <w:jc w:val="both"/>
        <w:rPr>
          <w:rFonts w:ascii="Verdana" w:eastAsia="Malgun Gothic" w:hAnsi="Verdana" w:cs="Arial"/>
          <w:b/>
          <w:sz w:val="18"/>
          <w:szCs w:val="18"/>
          <w:u w:val="single"/>
        </w:rPr>
      </w:pPr>
      <w:r w:rsidRPr="007B696F">
        <w:rPr>
          <w:rFonts w:ascii="Verdana" w:eastAsia="Malgun Gothic" w:hAnsi="Verdana" w:cs="Arial"/>
          <w:b/>
          <w:sz w:val="18"/>
          <w:szCs w:val="18"/>
          <w:u w:val="single"/>
        </w:rPr>
        <w:t>Survey identity</w:t>
      </w:r>
    </w:p>
    <w:p w14:paraId="51402F0C" w14:textId="77777777" w:rsidR="00985D01" w:rsidRPr="007B696F" w:rsidRDefault="00985D01" w:rsidP="00985D01">
      <w:pPr>
        <w:jc w:val="both"/>
        <w:rPr>
          <w:rFonts w:ascii="Verdana" w:eastAsia="Malgun Gothic" w:hAnsi="Verdana" w:cs="Arial"/>
          <w:b/>
          <w:sz w:val="18"/>
          <w:szCs w:val="18"/>
          <w:u w:val="single"/>
        </w:rPr>
      </w:pPr>
    </w:p>
    <w:p w14:paraId="2659B05C" w14:textId="77777777" w:rsidR="00985D01" w:rsidRPr="004D3761" w:rsidRDefault="00985D01" w:rsidP="00985D01">
      <w:pPr>
        <w:jc w:val="both"/>
        <w:rPr>
          <w:rFonts w:ascii="Verdana" w:eastAsia="Malgun Gothic" w:hAnsi="Verdana" w:cs="Arial"/>
          <w:sz w:val="18"/>
          <w:szCs w:val="18"/>
        </w:rPr>
      </w:pPr>
      <w:r w:rsidRPr="004D3761">
        <w:rPr>
          <w:rFonts w:ascii="Verdana" w:eastAsia="Malgun Gothic" w:hAnsi="Verdana" w:cs="Arial"/>
          <w:sz w:val="18"/>
          <w:szCs w:val="18"/>
        </w:rPr>
        <w:t xml:space="preserve">The survey on Income and Living Conditions of the Households (EU-SILC) is conducted in accordance to Regulation (EC) No. 2019/1700 of the European Parliament and of the Council and is used by the European Statistical Service (EUROSTAT) as the main source of comparable information among the member states of the European Union (EU) on matters related to poverty and social exclusion. </w:t>
      </w:r>
    </w:p>
    <w:p w14:paraId="59CF7A75" w14:textId="77777777" w:rsidR="00985D01" w:rsidRPr="004D3761" w:rsidRDefault="00985D01" w:rsidP="00985D01">
      <w:pPr>
        <w:jc w:val="both"/>
        <w:rPr>
          <w:rFonts w:ascii="Verdana" w:eastAsia="Malgun Gothic" w:hAnsi="Verdana" w:cs="Arial"/>
          <w:sz w:val="18"/>
          <w:szCs w:val="18"/>
        </w:rPr>
      </w:pPr>
    </w:p>
    <w:p w14:paraId="0799CDD3" w14:textId="77777777" w:rsidR="00985D01" w:rsidRPr="007B696F" w:rsidRDefault="00985D01" w:rsidP="00985D01">
      <w:pPr>
        <w:jc w:val="both"/>
        <w:rPr>
          <w:rFonts w:ascii="Verdana" w:eastAsia="Malgun Gothic" w:hAnsi="Verdana" w:cs="Arial"/>
          <w:sz w:val="18"/>
          <w:szCs w:val="18"/>
        </w:rPr>
      </w:pPr>
      <w:r w:rsidRPr="004D3761">
        <w:rPr>
          <w:rFonts w:ascii="Verdana" w:eastAsia="Malgun Gothic" w:hAnsi="Verdana" w:cs="Arial"/>
          <w:sz w:val="18"/>
          <w:szCs w:val="18"/>
        </w:rPr>
        <w:t>The main objective of the survey is the study of various socio-economic indicators, which affect the living conditions of the population, the compilation of systematic statistics in relation to the income inequalities, the inequalities in living conditions of the households, poverty and social exclusion, as well as the compilation of structural social cohesion indicators.</w:t>
      </w:r>
    </w:p>
    <w:p w14:paraId="3279B9AC" w14:textId="77777777" w:rsidR="00985D01" w:rsidRPr="007B696F" w:rsidRDefault="00985D01" w:rsidP="00985D01">
      <w:pPr>
        <w:jc w:val="both"/>
        <w:rPr>
          <w:rFonts w:ascii="Verdana" w:eastAsia="Malgun Gothic" w:hAnsi="Verdana" w:cs="Arial"/>
          <w:sz w:val="18"/>
          <w:szCs w:val="18"/>
        </w:rPr>
      </w:pPr>
    </w:p>
    <w:p w14:paraId="02D4C0CC" w14:textId="77777777" w:rsidR="00985D01" w:rsidRDefault="00985D01" w:rsidP="00985D01">
      <w:pPr>
        <w:jc w:val="both"/>
        <w:rPr>
          <w:rFonts w:ascii="Verdana" w:eastAsia="Malgun Gothic" w:hAnsi="Verdana" w:cs="Arial"/>
          <w:b/>
          <w:sz w:val="18"/>
          <w:szCs w:val="18"/>
          <w:u w:val="single"/>
        </w:rPr>
      </w:pPr>
      <w:r w:rsidRPr="007B696F">
        <w:rPr>
          <w:rFonts w:ascii="Verdana" w:eastAsia="Malgun Gothic" w:hAnsi="Verdana" w:cs="Arial"/>
          <w:b/>
          <w:sz w:val="18"/>
          <w:szCs w:val="18"/>
          <w:u w:val="single"/>
        </w:rPr>
        <w:t>Coverage and data collection</w:t>
      </w:r>
    </w:p>
    <w:p w14:paraId="36F50643" w14:textId="77777777" w:rsidR="00985D01" w:rsidRPr="007B696F" w:rsidRDefault="00985D01" w:rsidP="00985D01">
      <w:pPr>
        <w:jc w:val="both"/>
        <w:rPr>
          <w:rFonts w:ascii="Verdana" w:eastAsia="Malgun Gothic" w:hAnsi="Verdana" w:cs="Arial"/>
          <w:b/>
          <w:sz w:val="18"/>
          <w:szCs w:val="18"/>
          <w:u w:val="single"/>
        </w:rPr>
      </w:pPr>
    </w:p>
    <w:p w14:paraId="70FDFC00" w14:textId="77777777" w:rsidR="00985D01" w:rsidRPr="007B696F" w:rsidRDefault="00985D01" w:rsidP="00985D01">
      <w:pPr>
        <w:jc w:val="both"/>
        <w:rPr>
          <w:rFonts w:ascii="Verdana" w:eastAsia="Malgun Gothic" w:hAnsi="Verdana" w:cs="Arial"/>
          <w:sz w:val="18"/>
          <w:szCs w:val="18"/>
        </w:rPr>
      </w:pPr>
      <w:r w:rsidRPr="007B696F">
        <w:rPr>
          <w:rFonts w:ascii="Verdana" w:eastAsia="Malgun Gothic" w:hAnsi="Verdana" w:cs="Arial"/>
          <w:sz w:val="18"/>
          <w:szCs w:val="18"/>
        </w:rPr>
        <w:t>The survey conducted in 20</w:t>
      </w:r>
      <w:r>
        <w:rPr>
          <w:rFonts w:ascii="Verdana" w:eastAsia="Malgun Gothic" w:hAnsi="Verdana" w:cs="Arial"/>
          <w:sz w:val="18"/>
          <w:szCs w:val="18"/>
        </w:rPr>
        <w:t>21</w:t>
      </w:r>
      <w:r w:rsidRPr="007B696F">
        <w:rPr>
          <w:rFonts w:ascii="Verdana" w:eastAsia="Malgun Gothic" w:hAnsi="Verdana" w:cs="Arial"/>
          <w:sz w:val="18"/>
          <w:szCs w:val="18"/>
        </w:rPr>
        <w:t>, with income reference period</w:t>
      </w:r>
      <w:r>
        <w:rPr>
          <w:rFonts w:ascii="Verdana" w:eastAsia="Malgun Gothic" w:hAnsi="Verdana" w:cs="Arial"/>
          <w:sz w:val="18"/>
          <w:szCs w:val="18"/>
        </w:rPr>
        <w:t xml:space="preserve"> the</w:t>
      </w:r>
      <w:r w:rsidRPr="007B696F">
        <w:rPr>
          <w:rFonts w:ascii="Verdana" w:eastAsia="Malgun Gothic" w:hAnsi="Verdana" w:cs="Arial"/>
          <w:sz w:val="18"/>
          <w:szCs w:val="18"/>
        </w:rPr>
        <w:t xml:space="preserve"> year 20</w:t>
      </w:r>
      <w:r>
        <w:rPr>
          <w:rFonts w:ascii="Verdana" w:eastAsia="Malgun Gothic" w:hAnsi="Verdana" w:cs="Arial"/>
          <w:sz w:val="18"/>
          <w:szCs w:val="18"/>
        </w:rPr>
        <w:t>20</w:t>
      </w:r>
      <w:r w:rsidRPr="007B696F">
        <w:rPr>
          <w:rFonts w:ascii="Verdana" w:eastAsia="Malgun Gothic" w:hAnsi="Verdana" w:cs="Arial"/>
          <w:sz w:val="18"/>
          <w:szCs w:val="18"/>
        </w:rPr>
        <w:t xml:space="preserve">, covered a sample </w:t>
      </w:r>
      <w:r w:rsidRPr="004D35AD">
        <w:rPr>
          <w:rFonts w:ascii="Verdana" w:eastAsia="Malgun Gothic" w:hAnsi="Verdana" w:cs="Arial"/>
          <w:sz w:val="18"/>
          <w:szCs w:val="18"/>
        </w:rPr>
        <w:t>of 4.</w:t>
      </w:r>
      <w:r>
        <w:rPr>
          <w:rFonts w:ascii="Verdana" w:eastAsia="Malgun Gothic" w:hAnsi="Verdana" w:cs="Arial"/>
          <w:sz w:val="18"/>
          <w:szCs w:val="18"/>
        </w:rPr>
        <w:t>113</w:t>
      </w:r>
      <w:r w:rsidRPr="004D35AD">
        <w:rPr>
          <w:rFonts w:ascii="Verdana" w:eastAsia="Malgun Gothic" w:hAnsi="Verdana" w:cs="Arial"/>
          <w:sz w:val="18"/>
          <w:szCs w:val="18"/>
        </w:rPr>
        <w:t xml:space="preserve"> households in all districts of Cyprus, </w:t>
      </w:r>
      <w:r>
        <w:rPr>
          <w:rFonts w:ascii="Verdana" w:eastAsia="Malgun Gothic" w:hAnsi="Verdana" w:cs="Arial"/>
          <w:sz w:val="18"/>
          <w:szCs w:val="18"/>
        </w:rPr>
        <w:t xml:space="preserve">in </w:t>
      </w:r>
      <w:r w:rsidRPr="004D35AD">
        <w:rPr>
          <w:rFonts w:ascii="Verdana" w:eastAsia="Malgun Gothic" w:hAnsi="Verdana" w:cs="Arial"/>
          <w:sz w:val="18"/>
          <w:szCs w:val="18"/>
        </w:rPr>
        <w:t>both urban and rural areas.</w:t>
      </w:r>
      <w:r w:rsidRPr="007B696F">
        <w:rPr>
          <w:rFonts w:ascii="Verdana" w:eastAsia="Malgun Gothic" w:hAnsi="Verdana" w:cs="Arial"/>
          <w:sz w:val="18"/>
          <w:szCs w:val="18"/>
        </w:rPr>
        <w:t xml:space="preserve"> </w:t>
      </w:r>
    </w:p>
    <w:p w14:paraId="5AB97DAA" w14:textId="77777777" w:rsidR="00985D01" w:rsidRPr="0032409A" w:rsidRDefault="00985D01" w:rsidP="00985D01">
      <w:pPr>
        <w:jc w:val="both"/>
        <w:rPr>
          <w:rFonts w:ascii="Verdana" w:eastAsia="Malgun Gothic" w:hAnsi="Verdana" w:cs="Arial"/>
          <w:sz w:val="18"/>
          <w:szCs w:val="18"/>
        </w:rPr>
      </w:pPr>
    </w:p>
    <w:p w14:paraId="1916D1BB" w14:textId="77777777" w:rsidR="00985D01" w:rsidRPr="007B696F" w:rsidRDefault="00985D01" w:rsidP="00985D01">
      <w:pPr>
        <w:jc w:val="both"/>
        <w:rPr>
          <w:rFonts w:ascii="Verdana" w:eastAsia="Malgun Gothic" w:hAnsi="Verdana" w:cs="Arial"/>
          <w:sz w:val="18"/>
          <w:szCs w:val="18"/>
        </w:rPr>
      </w:pPr>
      <w:r w:rsidRPr="007B696F">
        <w:rPr>
          <w:rFonts w:ascii="Verdana" w:eastAsia="Malgun Gothic" w:hAnsi="Verdana" w:cs="Arial"/>
          <w:sz w:val="18"/>
          <w:szCs w:val="18"/>
        </w:rPr>
        <w:t>The survey is carried out since 2005 on an annual basis</w:t>
      </w:r>
      <w:r>
        <w:rPr>
          <w:rFonts w:ascii="Verdana" w:eastAsia="Malgun Gothic" w:hAnsi="Verdana" w:cs="Arial"/>
          <w:sz w:val="18"/>
          <w:szCs w:val="18"/>
        </w:rPr>
        <w:t xml:space="preserve"> with a rotational sample and</w:t>
      </w:r>
      <w:r w:rsidRPr="007B696F">
        <w:rPr>
          <w:rFonts w:ascii="Verdana" w:eastAsia="Malgun Gothic" w:hAnsi="Verdana" w:cs="Arial"/>
          <w:sz w:val="18"/>
          <w:szCs w:val="18"/>
        </w:rPr>
        <w:t xml:space="preserve"> consists of two components, the cross-sectional and the longitudinal one. The cross-sectional refers to a point in time or period, whereas the longitudinal refers to the changes that arise on a personal level during a period of three to four years. </w:t>
      </w:r>
    </w:p>
    <w:p w14:paraId="1B78A6C9" w14:textId="77777777" w:rsidR="00985D01" w:rsidRPr="00985D01" w:rsidRDefault="00985D01" w:rsidP="00985D01">
      <w:pPr>
        <w:jc w:val="both"/>
        <w:rPr>
          <w:rFonts w:ascii="Verdana" w:eastAsia="Malgun Gothic" w:hAnsi="Verdana" w:cs="Arial"/>
          <w:sz w:val="18"/>
          <w:szCs w:val="18"/>
        </w:rPr>
      </w:pPr>
    </w:p>
    <w:p w14:paraId="7EA33B2B" w14:textId="77777777" w:rsidR="00985D01" w:rsidRPr="007B696F" w:rsidRDefault="00985D01" w:rsidP="00985D01">
      <w:pPr>
        <w:jc w:val="both"/>
        <w:rPr>
          <w:rFonts w:ascii="Verdana" w:eastAsia="Malgun Gothic" w:hAnsi="Verdana" w:cs="Arial"/>
          <w:sz w:val="18"/>
          <w:szCs w:val="18"/>
        </w:rPr>
      </w:pPr>
      <w:r w:rsidRPr="007B696F">
        <w:rPr>
          <w:rFonts w:ascii="Verdana" w:eastAsia="Malgun Gothic" w:hAnsi="Verdana" w:cs="Arial"/>
          <w:sz w:val="18"/>
          <w:szCs w:val="18"/>
        </w:rPr>
        <w:t>The data collection was carried out with personal and telephone interviews at the households using electronic questionnaires.</w:t>
      </w:r>
    </w:p>
    <w:p w14:paraId="5721CBC4" w14:textId="77777777" w:rsidR="00985D01" w:rsidRPr="007B696F" w:rsidRDefault="00985D01" w:rsidP="00985D01">
      <w:pPr>
        <w:jc w:val="both"/>
        <w:rPr>
          <w:rFonts w:ascii="Verdana" w:eastAsia="Malgun Gothic" w:hAnsi="Verdana" w:cs="Arial"/>
          <w:sz w:val="18"/>
          <w:szCs w:val="18"/>
        </w:rPr>
      </w:pPr>
    </w:p>
    <w:p w14:paraId="469314AA" w14:textId="77777777" w:rsidR="00985D01" w:rsidRDefault="00985D01" w:rsidP="00985D01">
      <w:pPr>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Definitions </w:t>
      </w:r>
    </w:p>
    <w:p w14:paraId="138C9E45" w14:textId="77777777" w:rsidR="00985D01" w:rsidRPr="00205BA0" w:rsidRDefault="00985D01" w:rsidP="00985D01">
      <w:pPr>
        <w:jc w:val="both"/>
        <w:rPr>
          <w:rFonts w:ascii="Verdana" w:eastAsia="Malgun Gothic" w:hAnsi="Verdana" w:cs="Arial"/>
          <w:b/>
          <w:sz w:val="18"/>
          <w:szCs w:val="18"/>
          <w:u w:val="single"/>
        </w:rPr>
      </w:pPr>
    </w:p>
    <w:p w14:paraId="14A06EBF" w14:textId="77777777" w:rsidR="00985D01" w:rsidRPr="00985D01" w:rsidRDefault="00985D01" w:rsidP="00985D01">
      <w:pPr>
        <w:jc w:val="both"/>
        <w:rPr>
          <w:rFonts w:ascii="Verdana" w:eastAsia="Malgun Gothic" w:hAnsi="Verdana" w:cs="Arial"/>
          <w:sz w:val="18"/>
          <w:szCs w:val="18"/>
        </w:rPr>
      </w:pPr>
      <w:r w:rsidRPr="007B696F">
        <w:rPr>
          <w:rFonts w:ascii="Verdana" w:eastAsia="Malgun Gothic" w:hAnsi="Verdana" w:cs="Arial"/>
          <w:b/>
          <w:sz w:val="18"/>
          <w:szCs w:val="18"/>
        </w:rPr>
        <w:t>At-risk-of-poverty or social exclusion rate (AROPE)</w:t>
      </w:r>
      <w:r w:rsidRPr="007B696F">
        <w:rPr>
          <w:rFonts w:ascii="Verdana" w:eastAsia="Malgun Gothic" w:hAnsi="Verdana" w:cs="Arial"/>
          <w:sz w:val="18"/>
          <w:szCs w:val="18"/>
        </w:rPr>
        <w:t xml:space="preserve">: </w:t>
      </w:r>
      <w:r w:rsidRPr="00473295">
        <w:rPr>
          <w:rFonts w:ascii="Verdana" w:eastAsia="Malgun Gothic" w:hAnsi="Verdana" w:cs="Arial"/>
          <w:sz w:val="18"/>
          <w:szCs w:val="18"/>
        </w:rPr>
        <w:t>At-risk-of-poverty or social exclusion rate is the percentage of the population who are: at risk of monetary poverty or severely materially and socially deprived or living in a household with a very low work intensity. Persons are only counted once even if they are present in several sub-indicators.</w:t>
      </w:r>
      <w:r w:rsidRPr="004138B4">
        <w:rPr>
          <w:rFonts w:ascii="Verdana" w:eastAsia="Malgun Gothic" w:hAnsi="Verdana" w:cs="Arial"/>
          <w:sz w:val="18"/>
          <w:szCs w:val="18"/>
        </w:rPr>
        <w:t xml:space="preserve"> </w:t>
      </w:r>
    </w:p>
    <w:p w14:paraId="69C55945" w14:textId="77777777" w:rsidR="00985D01" w:rsidRPr="00985D01" w:rsidRDefault="00985D01" w:rsidP="00985D01">
      <w:pPr>
        <w:jc w:val="both"/>
        <w:rPr>
          <w:rFonts w:ascii="Verdana" w:eastAsia="Malgun Gothic" w:hAnsi="Verdana" w:cs="Arial"/>
          <w:sz w:val="18"/>
          <w:szCs w:val="18"/>
        </w:rPr>
      </w:pPr>
    </w:p>
    <w:p w14:paraId="52FE9BA2" w14:textId="77777777" w:rsidR="00985D01" w:rsidRPr="004138B4" w:rsidRDefault="00985D01" w:rsidP="00985D01">
      <w:pPr>
        <w:jc w:val="both"/>
        <w:rPr>
          <w:rFonts w:ascii="Verdana" w:eastAsia="Malgun Gothic" w:hAnsi="Verdana" w:cs="Arial"/>
          <w:sz w:val="18"/>
          <w:szCs w:val="18"/>
        </w:rPr>
      </w:pPr>
      <w:r w:rsidRPr="004138B4">
        <w:rPr>
          <w:rFonts w:ascii="Verdana" w:eastAsia="Malgun Gothic" w:hAnsi="Verdana" w:cs="Arial"/>
          <w:sz w:val="18"/>
          <w:szCs w:val="18"/>
        </w:rPr>
        <w:t xml:space="preserve">The indicator </w:t>
      </w:r>
      <w:r>
        <w:rPr>
          <w:rFonts w:ascii="Verdana" w:eastAsia="Malgun Gothic" w:hAnsi="Verdana" w:cs="Arial"/>
          <w:sz w:val="18"/>
          <w:szCs w:val="18"/>
        </w:rPr>
        <w:t>a</w:t>
      </w:r>
      <w:r w:rsidRPr="004138B4">
        <w:rPr>
          <w:rFonts w:ascii="Verdana" w:eastAsia="Malgun Gothic" w:hAnsi="Verdana" w:cs="Arial"/>
          <w:sz w:val="18"/>
          <w:szCs w:val="18"/>
        </w:rPr>
        <w:t>t-</w:t>
      </w:r>
      <w:r>
        <w:rPr>
          <w:rFonts w:ascii="Verdana" w:eastAsia="Malgun Gothic" w:hAnsi="Verdana" w:cs="Arial"/>
          <w:sz w:val="18"/>
          <w:szCs w:val="18"/>
        </w:rPr>
        <w:t>r</w:t>
      </w:r>
      <w:r w:rsidRPr="004138B4">
        <w:rPr>
          <w:rFonts w:ascii="Verdana" w:eastAsia="Malgun Gothic" w:hAnsi="Verdana" w:cs="Arial"/>
          <w:sz w:val="18"/>
          <w:szCs w:val="18"/>
        </w:rPr>
        <w:t>isk-of-</w:t>
      </w:r>
      <w:r>
        <w:rPr>
          <w:rFonts w:ascii="Verdana" w:eastAsia="Malgun Gothic" w:hAnsi="Verdana" w:cs="Arial"/>
          <w:sz w:val="18"/>
          <w:szCs w:val="18"/>
        </w:rPr>
        <w:t>p</w:t>
      </w:r>
      <w:r w:rsidRPr="004138B4">
        <w:rPr>
          <w:rFonts w:ascii="Verdana" w:eastAsia="Malgun Gothic" w:hAnsi="Verdana" w:cs="Arial"/>
          <w:sz w:val="18"/>
          <w:szCs w:val="18"/>
        </w:rPr>
        <w:t xml:space="preserve">overty or </w:t>
      </w:r>
      <w:r>
        <w:rPr>
          <w:rFonts w:ascii="Verdana" w:eastAsia="Malgun Gothic" w:hAnsi="Verdana" w:cs="Arial"/>
          <w:sz w:val="18"/>
          <w:szCs w:val="18"/>
        </w:rPr>
        <w:t>s</w:t>
      </w:r>
      <w:r w:rsidRPr="004138B4">
        <w:rPr>
          <w:rFonts w:ascii="Verdana" w:eastAsia="Malgun Gothic" w:hAnsi="Verdana" w:cs="Arial"/>
          <w:sz w:val="18"/>
          <w:szCs w:val="18"/>
        </w:rPr>
        <w:t xml:space="preserve">ocial </w:t>
      </w:r>
      <w:r>
        <w:rPr>
          <w:rFonts w:ascii="Verdana" w:eastAsia="Malgun Gothic" w:hAnsi="Verdana" w:cs="Arial"/>
          <w:sz w:val="18"/>
          <w:szCs w:val="18"/>
        </w:rPr>
        <w:t>e</w:t>
      </w:r>
      <w:r w:rsidRPr="004138B4">
        <w:rPr>
          <w:rFonts w:ascii="Verdana" w:eastAsia="Malgun Gothic" w:hAnsi="Verdana" w:cs="Arial"/>
          <w:sz w:val="18"/>
          <w:szCs w:val="18"/>
        </w:rPr>
        <w:t>xclusion is the main indicator to monitor the EU 2030 target on poverty and social exclusion</w:t>
      </w:r>
      <w:r>
        <w:rPr>
          <w:rFonts w:ascii="Verdana" w:eastAsia="Malgun Gothic" w:hAnsi="Verdana" w:cs="Arial"/>
          <w:sz w:val="18"/>
          <w:szCs w:val="18"/>
        </w:rPr>
        <w:t>.</w:t>
      </w:r>
      <w:r w:rsidRPr="004138B4">
        <w:rPr>
          <w:rFonts w:ascii="Verdana" w:eastAsia="Malgun Gothic" w:hAnsi="Verdana" w:cs="Arial"/>
          <w:sz w:val="18"/>
          <w:szCs w:val="18"/>
        </w:rPr>
        <w:t xml:space="preserve"> The relevant target refers to the reduction of the number of people at risk of poverty or social exclusion by at least 15 million by 2030, and out of them, at least 5 million should be children.</w:t>
      </w:r>
    </w:p>
    <w:p w14:paraId="0CA58174" w14:textId="77777777" w:rsidR="00985D01" w:rsidRPr="00473295" w:rsidRDefault="00985D01" w:rsidP="00985D01">
      <w:pPr>
        <w:jc w:val="both"/>
        <w:rPr>
          <w:rFonts w:ascii="Verdana" w:eastAsia="Malgun Gothic" w:hAnsi="Verdana" w:cs="Arial"/>
          <w:sz w:val="18"/>
          <w:szCs w:val="18"/>
        </w:rPr>
      </w:pPr>
    </w:p>
    <w:p w14:paraId="4463EC53" w14:textId="77777777" w:rsidR="00985D01" w:rsidRPr="007C0400" w:rsidRDefault="00985D01" w:rsidP="00985D01">
      <w:pPr>
        <w:jc w:val="both"/>
        <w:rPr>
          <w:rFonts w:ascii="Verdana" w:eastAsia="Malgun Gothic" w:hAnsi="Verdana" w:cs="Arial"/>
          <w:sz w:val="18"/>
          <w:szCs w:val="18"/>
        </w:rPr>
      </w:pPr>
      <w:r w:rsidRPr="007B696F">
        <w:rPr>
          <w:rFonts w:ascii="Verdana" w:eastAsia="Malgun Gothic" w:hAnsi="Verdana" w:cs="Arial"/>
          <w:b/>
          <w:sz w:val="18"/>
          <w:szCs w:val="18"/>
        </w:rPr>
        <w:t>At-risk-of-poverty threshold</w:t>
      </w:r>
      <w:r>
        <w:rPr>
          <w:rFonts w:ascii="Verdana" w:eastAsia="Malgun Gothic" w:hAnsi="Verdana" w:cs="Arial"/>
          <w:sz w:val="18"/>
          <w:szCs w:val="18"/>
        </w:rPr>
        <w:t>:  is set at 60</w:t>
      </w:r>
      <w:r w:rsidRPr="007B696F">
        <w:rPr>
          <w:rFonts w:ascii="Verdana" w:eastAsia="Malgun Gothic" w:hAnsi="Verdana" w:cs="Arial"/>
          <w:sz w:val="18"/>
          <w:szCs w:val="18"/>
        </w:rPr>
        <w:t xml:space="preserve">% of the national median equivalised disposable income, which is calculated by dividing the total disposable income of the household (total disposable income of all its members after social transfers) by the equivalised household size, which is calculated using the following weights: First adult=1,0 unit, second and each subsequent household member aged 14 years and over=0,5 and each household member aged under 14=0,3. </w:t>
      </w:r>
    </w:p>
    <w:p w14:paraId="486DF3EF" w14:textId="77777777" w:rsidR="00985D01" w:rsidRPr="007C0400" w:rsidRDefault="00985D01" w:rsidP="00985D01">
      <w:pPr>
        <w:jc w:val="both"/>
        <w:rPr>
          <w:rFonts w:ascii="Verdana" w:eastAsia="Malgun Gothic" w:hAnsi="Verdana" w:cs="Arial"/>
          <w:sz w:val="18"/>
          <w:szCs w:val="18"/>
        </w:rPr>
      </w:pPr>
    </w:p>
    <w:p w14:paraId="3D33F21D" w14:textId="77777777" w:rsidR="00985D01" w:rsidRPr="007B696F" w:rsidRDefault="00985D01" w:rsidP="00985D01">
      <w:pPr>
        <w:jc w:val="both"/>
        <w:rPr>
          <w:rFonts w:ascii="Verdana" w:eastAsia="Malgun Gothic" w:hAnsi="Verdana" w:cs="Arial"/>
          <w:sz w:val="18"/>
          <w:szCs w:val="18"/>
        </w:rPr>
      </w:pPr>
      <w:r w:rsidRPr="007B696F">
        <w:rPr>
          <w:rFonts w:ascii="Verdana" w:eastAsia="Malgun Gothic" w:hAnsi="Verdana" w:cs="Arial"/>
          <w:b/>
          <w:sz w:val="18"/>
          <w:szCs w:val="18"/>
        </w:rPr>
        <w:t>At-risk-of-poverty rate (AROP)</w:t>
      </w:r>
      <w:r w:rsidRPr="007B696F">
        <w:rPr>
          <w:rFonts w:ascii="Verdana" w:eastAsia="Malgun Gothic" w:hAnsi="Verdana" w:cs="Arial"/>
          <w:sz w:val="18"/>
          <w:szCs w:val="18"/>
        </w:rPr>
        <w:t>: The at-risk-of-poverty rate is the share of persons with an equ</w:t>
      </w:r>
      <w:r>
        <w:rPr>
          <w:rFonts w:ascii="Verdana" w:eastAsia="Malgun Gothic" w:hAnsi="Verdana" w:cs="Arial"/>
          <w:sz w:val="18"/>
          <w:szCs w:val="18"/>
        </w:rPr>
        <w:t>iva</w:t>
      </w:r>
      <w:r w:rsidRPr="007B696F">
        <w:rPr>
          <w:rFonts w:ascii="Verdana" w:eastAsia="Malgun Gothic" w:hAnsi="Verdana" w:cs="Arial"/>
          <w:sz w:val="18"/>
          <w:szCs w:val="18"/>
        </w:rPr>
        <w:t>li</w:t>
      </w:r>
      <w:r>
        <w:rPr>
          <w:rFonts w:ascii="Verdana" w:eastAsia="Malgun Gothic" w:hAnsi="Verdana" w:cs="Arial"/>
          <w:sz w:val="18"/>
          <w:szCs w:val="18"/>
        </w:rPr>
        <w:t>s</w:t>
      </w:r>
      <w:r w:rsidRPr="007B696F">
        <w:rPr>
          <w:rFonts w:ascii="Verdana" w:eastAsia="Malgun Gothic" w:hAnsi="Verdana" w:cs="Arial"/>
          <w:sz w:val="18"/>
          <w:szCs w:val="18"/>
        </w:rPr>
        <w:t xml:space="preserve">ed disposable income (after social transfers) below the at-risk-of-poverty threshold. It measures relative poverty and not absolute poverty. </w:t>
      </w:r>
    </w:p>
    <w:p w14:paraId="0CDC17A8" w14:textId="77777777" w:rsidR="00985D01" w:rsidRPr="00985D01" w:rsidRDefault="00985D01" w:rsidP="00985D01">
      <w:pPr>
        <w:jc w:val="both"/>
        <w:rPr>
          <w:rFonts w:ascii="Verdana" w:eastAsia="Malgun Gothic" w:hAnsi="Verdana" w:cs="Arial"/>
          <w:sz w:val="18"/>
          <w:szCs w:val="18"/>
        </w:rPr>
      </w:pPr>
    </w:p>
    <w:p w14:paraId="728448B1" w14:textId="77777777" w:rsidR="00985D01" w:rsidRPr="00473295" w:rsidRDefault="00985D01" w:rsidP="00985D01">
      <w:pPr>
        <w:jc w:val="both"/>
        <w:rPr>
          <w:rFonts w:ascii="Verdana" w:eastAsia="Malgun Gothic" w:hAnsi="Verdana" w:cs="Arial"/>
          <w:sz w:val="18"/>
          <w:szCs w:val="18"/>
        </w:rPr>
      </w:pPr>
      <w:r w:rsidRPr="00473295">
        <w:rPr>
          <w:rFonts w:ascii="Verdana" w:eastAsia="Malgun Gothic" w:hAnsi="Verdana" w:cs="Arial"/>
          <w:b/>
          <w:sz w:val="18"/>
          <w:szCs w:val="18"/>
        </w:rPr>
        <w:t xml:space="preserve">Severe material and social deprivation </w:t>
      </w:r>
      <w:r w:rsidRPr="007B696F">
        <w:rPr>
          <w:rFonts w:ascii="Verdana" w:eastAsia="Malgun Gothic" w:hAnsi="Verdana" w:cs="Arial"/>
          <w:b/>
          <w:sz w:val="18"/>
          <w:szCs w:val="18"/>
        </w:rPr>
        <w:t>(SM</w:t>
      </w:r>
      <w:r>
        <w:rPr>
          <w:rFonts w:ascii="Verdana" w:eastAsia="Malgun Gothic" w:hAnsi="Verdana" w:cs="Arial"/>
          <w:b/>
          <w:sz w:val="18"/>
          <w:szCs w:val="18"/>
        </w:rPr>
        <w:t>S</w:t>
      </w:r>
      <w:r w:rsidRPr="007B696F">
        <w:rPr>
          <w:rFonts w:ascii="Verdana" w:eastAsia="Malgun Gothic" w:hAnsi="Verdana" w:cs="Arial"/>
          <w:b/>
          <w:sz w:val="18"/>
          <w:szCs w:val="18"/>
        </w:rPr>
        <w:t>D)</w:t>
      </w:r>
      <w:r w:rsidRPr="007B696F">
        <w:rPr>
          <w:rFonts w:ascii="Verdana" w:eastAsia="Malgun Gothic" w:hAnsi="Verdana" w:cs="Arial"/>
          <w:sz w:val="18"/>
          <w:szCs w:val="18"/>
        </w:rPr>
        <w:t xml:space="preserve">: </w:t>
      </w:r>
      <w:r w:rsidRPr="00473295">
        <w:rPr>
          <w:rFonts w:ascii="Verdana" w:eastAsia="Malgun Gothic" w:hAnsi="Verdana" w:cs="Arial"/>
          <w:sz w:val="18"/>
          <w:szCs w:val="18"/>
        </w:rPr>
        <w:t>Severely materially and socially deprived is the population who cannot afford a certain good, service or social activities. It refers to the population experiencing enforced lack of at least 7 out of 13 deprivation items (6 related to the individual and 7 related to the household):</w:t>
      </w:r>
    </w:p>
    <w:p w14:paraId="57E5A523" w14:textId="77777777" w:rsidR="00985D01" w:rsidRPr="00473295" w:rsidRDefault="00985D01" w:rsidP="00985D01">
      <w:pPr>
        <w:jc w:val="both"/>
        <w:rPr>
          <w:rFonts w:ascii="Verdana" w:eastAsia="Malgun Gothic" w:hAnsi="Verdana" w:cs="Arial"/>
          <w:sz w:val="18"/>
          <w:szCs w:val="18"/>
          <w:u w:val="single"/>
        </w:rPr>
      </w:pPr>
      <w:r w:rsidRPr="00473295">
        <w:rPr>
          <w:rFonts w:ascii="Verdana" w:eastAsia="Malgun Gothic" w:hAnsi="Verdana" w:cs="Arial"/>
          <w:sz w:val="18"/>
          <w:szCs w:val="18"/>
          <w:u w:val="single"/>
        </w:rPr>
        <w:t xml:space="preserve">At household level: </w:t>
      </w:r>
    </w:p>
    <w:p w14:paraId="1FFD0CB4" w14:textId="77777777" w:rsidR="00985D01" w:rsidRPr="00473295" w:rsidRDefault="00985D01" w:rsidP="00985D01">
      <w:pPr>
        <w:jc w:val="both"/>
        <w:rPr>
          <w:rFonts w:ascii="Verdana" w:eastAsia="Malgun Gothic" w:hAnsi="Verdana" w:cs="Arial"/>
          <w:sz w:val="18"/>
          <w:szCs w:val="18"/>
        </w:rPr>
      </w:pPr>
      <w:r w:rsidRPr="00473295">
        <w:rPr>
          <w:rFonts w:ascii="Verdana" w:eastAsia="Malgun Gothic" w:hAnsi="Verdana" w:cs="Arial"/>
          <w:sz w:val="18"/>
          <w:szCs w:val="18"/>
        </w:rPr>
        <w:t>Cannot afford:</w:t>
      </w:r>
    </w:p>
    <w:p w14:paraId="49DD18D3" w14:textId="77777777" w:rsidR="00985D01" w:rsidRPr="00473295" w:rsidRDefault="00985D01" w:rsidP="00985D01">
      <w:pPr>
        <w:ind w:firstLine="426"/>
        <w:jc w:val="both"/>
        <w:rPr>
          <w:rFonts w:ascii="Verdana" w:eastAsia="Malgun Gothic" w:hAnsi="Verdana" w:cs="Arial"/>
          <w:sz w:val="18"/>
          <w:szCs w:val="18"/>
        </w:rPr>
      </w:pPr>
      <w:r w:rsidRPr="00473295">
        <w:rPr>
          <w:rFonts w:ascii="Verdana" w:eastAsia="Malgun Gothic" w:hAnsi="Verdana" w:cs="Arial"/>
          <w:sz w:val="18"/>
          <w:szCs w:val="18"/>
        </w:rPr>
        <w:t>1)</w:t>
      </w:r>
      <w:r w:rsidRPr="00473295">
        <w:rPr>
          <w:rFonts w:ascii="Verdana" w:eastAsia="Malgun Gothic" w:hAnsi="Verdana" w:cs="Arial"/>
          <w:sz w:val="18"/>
          <w:szCs w:val="18"/>
        </w:rPr>
        <w:tab/>
        <w:t>to face unexpected expenses,</w:t>
      </w:r>
    </w:p>
    <w:p w14:paraId="420E42C6" w14:textId="77777777" w:rsidR="00985D01" w:rsidRPr="00473295" w:rsidRDefault="00985D01" w:rsidP="00985D01">
      <w:pPr>
        <w:ind w:firstLine="426"/>
        <w:jc w:val="both"/>
        <w:rPr>
          <w:rFonts w:ascii="Verdana" w:eastAsia="Malgun Gothic" w:hAnsi="Verdana" w:cs="Arial"/>
          <w:sz w:val="18"/>
          <w:szCs w:val="18"/>
        </w:rPr>
      </w:pPr>
      <w:r w:rsidRPr="00473295">
        <w:rPr>
          <w:rFonts w:ascii="Verdana" w:eastAsia="Malgun Gothic" w:hAnsi="Verdana" w:cs="Arial"/>
          <w:sz w:val="18"/>
          <w:szCs w:val="18"/>
        </w:rPr>
        <w:t>2)</w:t>
      </w:r>
      <w:r w:rsidRPr="00473295">
        <w:rPr>
          <w:rFonts w:ascii="Verdana" w:eastAsia="Malgun Gothic" w:hAnsi="Verdana" w:cs="Arial"/>
          <w:sz w:val="18"/>
          <w:szCs w:val="18"/>
        </w:rPr>
        <w:tab/>
        <w:t>a week holiday away from home,</w:t>
      </w:r>
    </w:p>
    <w:p w14:paraId="382483E4" w14:textId="77777777" w:rsidR="00985D01" w:rsidRPr="00473295" w:rsidRDefault="00985D01" w:rsidP="00985D01">
      <w:pPr>
        <w:ind w:firstLine="426"/>
        <w:jc w:val="both"/>
        <w:rPr>
          <w:rFonts w:ascii="Verdana" w:eastAsia="Malgun Gothic" w:hAnsi="Verdana" w:cs="Arial"/>
          <w:sz w:val="18"/>
          <w:szCs w:val="18"/>
        </w:rPr>
      </w:pPr>
      <w:r w:rsidRPr="00473295">
        <w:rPr>
          <w:rFonts w:ascii="Verdana" w:eastAsia="Malgun Gothic" w:hAnsi="Verdana" w:cs="Arial"/>
          <w:sz w:val="18"/>
          <w:szCs w:val="18"/>
        </w:rPr>
        <w:t>3)</w:t>
      </w:r>
      <w:r w:rsidRPr="00473295">
        <w:rPr>
          <w:rFonts w:ascii="Verdana" w:eastAsia="Malgun Gothic" w:hAnsi="Verdana" w:cs="Arial"/>
          <w:sz w:val="18"/>
          <w:szCs w:val="18"/>
        </w:rPr>
        <w:tab/>
        <w:t xml:space="preserve">to pay rent or utility bills or loans (to be confronted with payment arrears), </w:t>
      </w:r>
    </w:p>
    <w:p w14:paraId="6BE4931F" w14:textId="77777777" w:rsidR="00985D01" w:rsidRPr="00473295" w:rsidRDefault="00985D01" w:rsidP="00985D01">
      <w:pPr>
        <w:ind w:firstLine="426"/>
        <w:jc w:val="both"/>
        <w:rPr>
          <w:rFonts w:ascii="Verdana" w:eastAsia="Malgun Gothic" w:hAnsi="Verdana" w:cs="Arial"/>
          <w:sz w:val="18"/>
          <w:szCs w:val="18"/>
        </w:rPr>
      </w:pPr>
      <w:r w:rsidRPr="00473295">
        <w:rPr>
          <w:rFonts w:ascii="Verdana" w:eastAsia="Malgun Gothic" w:hAnsi="Verdana" w:cs="Arial"/>
          <w:sz w:val="18"/>
          <w:szCs w:val="18"/>
        </w:rPr>
        <w:t>4)</w:t>
      </w:r>
      <w:r w:rsidRPr="00473295">
        <w:rPr>
          <w:rFonts w:ascii="Verdana" w:eastAsia="Malgun Gothic" w:hAnsi="Verdana" w:cs="Arial"/>
          <w:sz w:val="18"/>
          <w:szCs w:val="18"/>
        </w:rPr>
        <w:tab/>
        <w:t xml:space="preserve">a meal with meat, chicken, fish or vegetarian equivalent every second day, </w:t>
      </w:r>
    </w:p>
    <w:p w14:paraId="3AED0F89" w14:textId="77777777" w:rsidR="00985D01" w:rsidRPr="00473295" w:rsidRDefault="00985D01" w:rsidP="00985D01">
      <w:pPr>
        <w:ind w:firstLine="426"/>
        <w:jc w:val="both"/>
        <w:rPr>
          <w:rFonts w:ascii="Verdana" w:eastAsia="Malgun Gothic" w:hAnsi="Verdana" w:cs="Arial"/>
          <w:sz w:val="18"/>
          <w:szCs w:val="18"/>
        </w:rPr>
      </w:pPr>
      <w:r w:rsidRPr="00473295">
        <w:rPr>
          <w:rFonts w:ascii="Verdana" w:eastAsia="Malgun Gothic" w:hAnsi="Verdana" w:cs="Arial"/>
          <w:sz w:val="18"/>
          <w:szCs w:val="18"/>
        </w:rPr>
        <w:t>5)</w:t>
      </w:r>
      <w:r w:rsidRPr="00473295">
        <w:rPr>
          <w:rFonts w:ascii="Verdana" w:eastAsia="Malgun Gothic" w:hAnsi="Verdana" w:cs="Arial"/>
          <w:sz w:val="18"/>
          <w:szCs w:val="18"/>
        </w:rPr>
        <w:tab/>
        <w:t xml:space="preserve">to keep home adequately warm, </w:t>
      </w:r>
    </w:p>
    <w:p w14:paraId="3379DD9A" w14:textId="77777777" w:rsidR="00985D01" w:rsidRPr="00473295" w:rsidRDefault="00985D01" w:rsidP="00985D01">
      <w:pPr>
        <w:ind w:firstLine="426"/>
        <w:jc w:val="both"/>
        <w:rPr>
          <w:rFonts w:ascii="Verdana" w:eastAsia="Malgun Gothic" w:hAnsi="Verdana" w:cs="Arial"/>
          <w:sz w:val="18"/>
          <w:szCs w:val="18"/>
        </w:rPr>
      </w:pPr>
      <w:r w:rsidRPr="00473295">
        <w:rPr>
          <w:rFonts w:ascii="Verdana" w:eastAsia="Malgun Gothic" w:hAnsi="Verdana" w:cs="Arial"/>
          <w:sz w:val="18"/>
          <w:szCs w:val="18"/>
        </w:rPr>
        <w:t>6)</w:t>
      </w:r>
      <w:r w:rsidRPr="00473295">
        <w:rPr>
          <w:rFonts w:ascii="Verdana" w:eastAsia="Malgun Gothic" w:hAnsi="Verdana" w:cs="Arial"/>
          <w:sz w:val="18"/>
          <w:szCs w:val="18"/>
        </w:rPr>
        <w:tab/>
        <w:t xml:space="preserve">to have a car/van for personal use, </w:t>
      </w:r>
    </w:p>
    <w:p w14:paraId="653726D3" w14:textId="77777777" w:rsidR="00985D01" w:rsidRPr="00473295" w:rsidRDefault="00985D01" w:rsidP="00985D01">
      <w:pPr>
        <w:ind w:firstLine="426"/>
        <w:jc w:val="both"/>
        <w:rPr>
          <w:rFonts w:ascii="Verdana" w:eastAsia="Malgun Gothic" w:hAnsi="Verdana" w:cs="Arial"/>
          <w:sz w:val="18"/>
          <w:szCs w:val="18"/>
        </w:rPr>
      </w:pPr>
      <w:r w:rsidRPr="00473295">
        <w:rPr>
          <w:rFonts w:ascii="Verdana" w:eastAsia="Malgun Gothic" w:hAnsi="Verdana" w:cs="Arial"/>
          <w:sz w:val="18"/>
          <w:szCs w:val="18"/>
        </w:rPr>
        <w:t>7)</w:t>
      </w:r>
      <w:r w:rsidRPr="00473295">
        <w:rPr>
          <w:rFonts w:ascii="Verdana" w:eastAsia="Malgun Gothic" w:hAnsi="Verdana" w:cs="Arial"/>
          <w:sz w:val="18"/>
          <w:szCs w:val="18"/>
        </w:rPr>
        <w:tab/>
        <w:t>to replace worn-out furniture.</w:t>
      </w:r>
    </w:p>
    <w:p w14:paraId="0FD94A3E" w14:textId="77777777" w:rsidR="00985D01" w:rsidRPr="00473295" w:rsidRDefault="00985D01" w:rsidP="00985D01">
      <w:pPr>
        <w:jc w:val="both"/>
        <w:rPr>
          <w:rFonts w:ascii="Verdana" w:eastAsia="Malgun Gothic" w:hAnsi="Verdana" w:cs="Arial"/>
          <w:sz w:val="18"/>
          <w:szCs w:val="18"/>
          <w:u w:val="single"/>
        </w:rPr>
      </w:pPr>
      <w:r w:rsidRPr="00473295">
        <w:rPr>
          <w:rFonts w:ascii="Verdana" w:eastAsia="Malgun Gothic" w:hAnsi="Verdana" w:cs="Arial"/>
          <w:sz w:val="18"/>
          <w:szCs w:val="18"/>
          <w:u w:val="single"/>
        </w:rPr>
        <w:t xml:space="preserve">At individual level: </w:t>
      </w:r>
    </w:p>
    <w:p w14:paraId="1E01DAFB" w14:textId="77777777" w:rsidR="00985D01" w:rsidRPr="00473295" w:rsidRDefault="00985D01" w:rsidP="00985D01">
      <w:pPr>
        <w:jc w:val="both"/>
        <w:rPr>
          <w:rFonts w:ascii="Verdana" w:eastAsia="Malgun Gothic" w:hAnsi="Verdana" w:cs="Arial"/>
          <w:sz w:val="18"/>
          <w:szCs w:val="18"/>
        </w:rPr>
      </w:pPr>
      <w:r w:rsidRPr="00473295">
        <w:rPr>
          <w:rFonts w:ascii="Verdana" w:eastAsia="Malgun Gothic" w:hAnsi="Verdana" w:cs="Arial"/>
          <w:sz w:val="18"/>
          <w:szCs w:val="18"/>
        </w:rPr>
        <w:t>Cannot afford:</w:t>
      </w:r>
    </w:p>
    <w:p w14:paraId="483A9A56" w14:textId="77777777" w:rsidR="00985D01" w:rsidRPr="00473295" w:rsidRDefault="00985D01" w:rsidP="00985D01">
      <w:pPr>
        <w:ind w:left="426"/>
        <w:jc w:val="both"/>
        <w:rPr>
          <w:rFonts w:ascii="Verdana" w:eastAsia="Malgun Gothic" w:hAnsi="Verdana" w:cs="Arial"/>
          <w:sz w:val="18"/>
          <w:szCs w:val="18"/>
        </w:rPr>
      </w:pPr>
      <w:r w:rsidRPr="00473295">
        <w:rPr>
          <w:rFonts w:ascii="Verdana" w:eastAsia="Malgun Gothic" w:hAnsi="Verdana" w:cs="Arial"/>
          <w:sz w:val="18"/>
          <w:szCs w:val="18"/>
        </w:rPr>
        <w:t>1)</w:t>
      </w:r>
      <w:r w:rsidRPr="00473295">
        <w:rPr>
          <w:rFonts w:ascii="Verdana" w:eastAsia="Malgun Gothic" w:hAnsi="Verdana" w:cs="Arial"/>
          <w:sz w:val="18"/>
          <w:szCs w:val="18"/>
        </w:rPr>
        <w:tab/>
        <w:t>to have an internet connection,</w:t>
      </w:r>
    </w:p>
    <w:p w14:paraId="0B3FB634" w14:textId="77777777" w:rsidR="00985D01" w:rsidRPr="00473295" w:rsidRDefault="00985D01" w:rsidP="00985D01">
      <w:pPr>
        <w:ind w:left="426"/>
        <w:jc w:val="both"/>
        <w:rPr>
          <w:rFonts w:ascii="Verdana" w:eastAsia="Malgun Gothic" w:hAnsi="Verdana" w:cs="Arial"/>
          <w:sz w:val="18"/>
          <w:szCs w:val="18"/>
        </w:rPr>
      </w:pPr>
      <w:r w:rsidRPr="00473295">
        <w:rPr>
          <w:rFonts w:ascii="Verdana" w:eastAsia="Malgun Gothic" w:hAnsi="Verdana" w:cs="Arial"/>
          <w:sz w:val="18"/>
          <w:szCs w:val="18"/>
        </w:rPr>
        <w:t>2)</w:t>
      </w:r>
      <w:r w:rsidRPr="00473295">
        <w:rPr>
          <w:rFonts w:ascii="Verdana" w:eastAsia="Malgun Gothic" w:hAnsi="Verdana" w:cs="Arial"/>
          <w:sz w:val="18"/>
          <w:szCs w:val="18"/>
        </w:rPr>
        <w:tab/>
        <w:t>to replace worn-out clothes by some new ones,</w:t>
      </w:r>
    </w:p>
    <w:p w14:paraId="263D9E04" w14:textId="77777777" w:rsidR="00985D01" w:rsidRPr="00473295" w:rsidRDefault="00985D01" w:rsidP="00985D01">
      <w:pPr>
        <w:ind w:left="426"/>
        <w:jc w:val="both"/>
        <w:rPr>
          <w:rFonts w:ascii="Verdana" w:eastAsia="Malgun Gothic" w:hAnsi="Verdana" w:cs="Arial"/>
          <w:sz w:val="18"/>
          <w:szCs w:val="18"/>
        </w:rPr>
      </w:pPr>
      <w:r w:rsidRPr="00473295">
        <w:rPr>
          <w:rFonts w:ascii="Verdana" w:eastAsia="Malgun Gothic" w:hAnsi="Verdana" w:cs="Arial"/>
          <w:sz w:val="18"/>
          <w:szCs w:val="18"/>
        </w:rPr>
        <w:t>3)</w:t>
      </w:r>
      <w:r w:rsidRPr="00473295">
        <w:rPr>
          <w:rFonts w:ascii="Verdana" w:eastAsia="Malgun Gothic" w:hAnsi="Verdana" w:cs="Arial"/>
          <w:sz w:val="18"/>
          <w:szCs w:val="18"/>
        </w:rPr>
        <w:tab/>
        <w:t xml:space="preserve">to have 2 pairs of properly fitting shoes (including a pair of all-weather shoes), </w:t>
      </w:r>
    </w:p>
    <w:p w14:paraId="24E3D0FA" w14:textId="77777777" w:rsidR="00985D01" w:rsidRPr="00473295" w:rsidRDefault="00985D01" w:rsidP="00985D01">
      <w:pPr>
        <w:ind w:left="426"/>
        <w:jc w:val="both"/>
        <w:rPr>
          <w:rFonts w:ascii="Verdana" w:eastAsia="Malgun Gothic" w:hAnsi="Verdana" w:cs="Arial"/>
          <w:sz w:val="18"/>
          <w:szCs w:val="18"/>
        </w:rPr>
      </w:pPr>
      <w:r w:rsidRPr="00473295">
        <w:rPr>
          <w:rFonts w:ascii="Verdana" w:eastAsia="Malgun Gothic" w:hAnsi="Verdana" w:cs="Arial"/>
          <w:sz w:val="18"/>
          <w:szCs w:val="18"/>
        </w:rPr>
        <w:lastRenderedPageBreak/>
        <w:t>4)</w:t>
      </w:r>
      <w:r w:rsidRPr="00473295">
        <w:rPr>
          <w:rFonts w:ascii="Verdana" w:eastAsia="Malgun Gothic" w:hAnsi="Verdana" w:cs="Arial"/>
          <w:sz w:val="18"/>
          <w:szCs w:val="18"/>
        </w:rPr>
        <w:tab/>
        <w:t xml:space="preserve">to spend a small amount of money each week on him/herself, </w:t>
      </w:r>
    </w:p>
    <w:p w14:paraId="52D4D246" w14:textId="77777777" w:rsidR="00985D01" w:rsidRPr="00473295" w:rsidRDefault="00985D01" w:rsidP="00985D01">
      <w:pPr>
        <w:ind w:left="426"/>
        <w:jc w:val="both"/>
        <w:rPr>
          <w:rFonts w:ascii="Verdana" w:eastAsia="Malgun Gothic" w:hAnsi="Verdana" w:cs="Arial"/>
          <w:sz w:val="18"/>
          <w:szCs w:val="18"/>
        </w:rPr>
      </w:pPr>
      <w:r w:rsidRPr="00473295">
        <w:rPr>
          <w:rFonts w:ascii="Verdana" w:eastAsia="Malgun Gothic" w:hAnsi="Verdana" w:cs="Arial"/>
          <w:sz w:val="18"/>
          <w:szCs w:val="18"/>
        </w:rPr>
        <w:t>5)</w:t>
      </w:r>
      <w:r w:rsidRPr="00473295">
        <w:rPr>
          <w:rFonts w:ascii="Verdana" w:eastAsia="Malgun Gothic" w:hAnsi="Verdana" w:cs="Arial"/>
          <w:sz w:val="18"/>
          <w:szCs w:val="18"/>
        </w:rPr>
        <w:tab/>
        <w:t xml:space="preserve">to have regular leisure activities, </w:t>
      </w:r>
    </w:p>
    <w:p w14:paraId="49939DE6" w14:textId="77777777" w:rsidR="00985D01" w:rsidRPr="00473295" w:rsidRDefault="00985D01" w:rsidP="00985D01">
      <w:pPr>
        <w:ind w:left="426"/>
        <w:jc w:val="both"/>
        <w:rPr>
          <w:rFonts w:ascii="Verdana" w:eastAsia="Malgun Gothic" w:hAnsi="Verdana" w:cs="Arial"/>
          <w:sz w:val="18"/>
          <w:szCs w:val="18"/>
        </w:rPr>
      </w:pPr>
      <w:r w:rsidRPr="00473295">
        <w:rPr>
          <w:rFonts w:ascii="Verdana" w:eastAsia="Malgun Gothic" w:hAnsi="Verdana" w:cs="Arial"/>
          <w:sz w:val="18"/>
          <w:szCs w:val="18"/>
        </w:rPr>
        <w:t>6)</w:t>
      </w:r>
      <w:r w:rsidRPr="00473295">
        <w:rPr>
          <w:rFonts w:ascii="Verdana" w:eastAsia="Malgun Gothic" w:hAnsi="Verdana" w:cs="Arial"/>
          <w:sz w:val="18"/>
          <w:szCs w:val="18"/>
        </w:rPr>
        <w:tab/>
        <w:t xml:space="preserve">to get together with friends/family for a drink/meal at least once a month. </w:t>
      </w:r>
    </w:p>
    <w:p w14:paraId="3F1D4B8F" w14:textId="77777777" w:rsidR="00985D01" w:rsidRPr="00473295" w:rsidRDefault="00985D01" w:rsidP="00985D01">
      <w:pPr>
        <w:jc w:val="both"/>
        <w:rPr>
          <w:rFonts w:ascii="Verdana" w:eastAsia="Malgun Gothic" w:hAnsi="Verdana" w:cs="Arial"/>
          <w:sz w:val="18"/>
          <w:szCs w:val="18"/>
        </w:rPr>
      </w:pPr>
    </w:p>
    <w:p w14:paraId="61E87FF8" w14:textId="77777777" w:rsidR="00985D01" w:rsidRPr="007B696F" w:rsidRDefault="00985D01" w:rsidP="00985D01">
      <w:pPr>
        <w:jc w:val="both"/>
        <w:rPr>
          <w:rFonts w:ascii="Verdana" w:eastAsia="Malgun Gothic" w:hAnsi="Verdana" w:cs="Arial"/>
          <w:sz w:val="18"/>
          <w:szCs w:val="18"/>
        </w:rPr>
      </w:pPr>
      <w:r w:rsidRPr="00473295">
        <w:rPr>
          <w:rFonts w:ascii="Verdana" w:eastAsia="Malgun Gothic" w:hAnsi="Verdana" w:cs="Arial"/>
          <w:sz w:val="18"/>
          <w:szCs w:val="18"/>
        </w:rPr>
        <w:t xml:space="preserve">The 6 items at individual level are only collected for people aged 16 or over. For the children below 16 </w:t>
      </w:r>
      <w:r>
        <w:rPr>
          <w:rFonts w:ascii="Verdana" w:eastAsia="Malgun Gothic" w:hAnsi="Verdana" w:cs="Arial"/>
          <w:sz w:val="18"/>
          <w:szCs w:val="18"/>
        </w:rPr>
        <w:t>it is</w:t>
      </w:r>
      <w:r w:rsidRPr="00473295">
        <w:rPr>
          <w:rFonts w:ascii="Verdana" w:eastAsia="Malgun Gothic" w:hAnsi="Verdana" w:cs="Arial"/>
          <w:sz w:val="18"/>
          <w:szCs w:val="18"/>
        </w:rPr>
        <w:t xml:space="preserve"> estimated by applying the rule: if at least half the number of adults in the household lack an item, then the children living in that household are considered deprived from that item</w:t>
      </w:r>
      <w:r w:rsidRPr="0063618C">
        <w:rPr>
          <w:rFonts w:ascii="Verdana" w:eastAsia="Malgun Gothic" w:hAnsi="Verdana" w:cs="Arial"/>
          <w:sz w:val="18"/>
          <w:szCs w:val="18"/>
          <w:lang w:val="en-GB"/>
        </w:rPr>
        <w:t xml:space="preserve"> </w:t>
      </w:r>
      <w:r>
        <w:rPr>
          <w:rFonts w:ascii="Verdana" w:eastAsia="Malgun Gothic" w:hAnsi="Verdana" w:cs="Arial"/>
          <w:sz w:val="18"/>
          <w:szCs w:val="18"/>
          <w:lang w:val="en-GB"/>
        </w:rPr>
        <w:t>as well</w:t>
      </w:r>
      <w:r w:rsidRPr="00473295">
        <w:rPr>
          <w:rFonts w:ascii="Verdana" w:eastAsia="Malgun Gothic" w:hAnsi="Verdana" w:cs="Arial"/>
          <w:sz w:val="18"/>
          <w:szCs w:val="18"/>
        </w:rPr>
        <w:t>.</w:t>
      </w:r>
    </w:p>
    <w:p w14:paraId="2F8230D3" w14:textId="77777777" w:rsidR="00985D01" w:rsidRPr="0063618C" w:rsidRDefault="00985D01" w:rsidP="00985D01">
      <w:pPr>
        <w:jc w:val="both"/>
        <w:rPr>
          <w:rFonts w:ascii="Verdana" w:eastAsia="Malgun Gothic" w:hAnsi="Verdana" w:cs="Arial"/>
          <w:sz w:val="18"/>
          <w:szCs w:val="18"/>
        </w:rPr>
      </w:pPr>
    </w:p>
    <w:p w14:paraId="3097DF6D" w14:textId="77777777" w:rsidR="00985D01" w:rsidRDefault="00985D01" w:rsidP="00985D01">
      <w:pPr>
        <w:jc w:val="both"/>
        <w:rPr>
          <w:rFonts w:ascii="Verdana" w:eastAsia="Malgun Gothic" w:hAnsi="Verdana" w:cs="Arial"/>
          <w:sz w:val="18"/>
          <w:szCs w:val="18"/>
        </w:rPr>
      </w:pPr>
      <w:r w:rsidRPr="004D35AD">
        <w:rPr>
          <w:rFonts w:ascii="Verdana" w:eastAsia="Malgun Gothic" w:hAnsi="Verdana" w:cs="Arial"/>
          <w:b/>
          <w:sz w:val="18"/>
          <w:szCs w:val="18"/>
        </w:rPr>
        <w:t>Very low work intensity (LWI)</w:t>
      </w:r>
      <w:r w:rsidRPr="004D35AD">
        <w:rPr>
          <w:rFonts w:ascii="Verdana" w:eastAsia="Malgun Gothic" w:hAnsi="Verdana" w:cs="Arial"/>
          <w:sz w:val="18"/>
          <w:szCs w:val="18"/>
        </w:rPr>
        <w:t xml:space="preserve">: </w:t>
      </w:r>
      <w:r w:rsidRPr="00473295">
        <w:rPr>
          <w:rFonts w:ascii="Verdana" w:eastAsia="Malgun Gothic" w:hAnsi="Verdana" w:cs="Arial"/>
          <w:sz w:val="18"/>
          <w:szCs w:val="18"/>
        </w:rPr>
        <w:t>The percentage of the population aged 0-64 that was living in households whose adults aged 18-64 worked less than 20% of their work potential during the past year. From the</w:t>
      </w:r>
      <w:r>
        <w:rPr>
          <w:rFonts w:ascii="Verdana" w:eastAsia="Malgun Gothic" w:hAnsi="Verdana" w:cs="Arial"/>
          <w:sz w:val="18"/>
          <w:szCs w:val="18"/>
        </w:rPr>
        <w:t xml:space="preserve"> adults are excluded the </w:t>
      </w:r>
      <w:r w:rsidRPr="00473295">
        <w:rPr>
          <w:rFonts w:ascii="Verdana" w:eastAsia="Malgun Gothic" w:hAnsi="Verdana" w:cs="Arial"/>
          <w:sz w:val="18"/>
          <w:szCs w:val="18"/>
        </w:rPr>
        <w:t>students</w:t>
      </w:r>
      <w:r>
        <w:rPr>
          <w:rFonts w:ascii="Verdana" w:eastAsia="Malgun Gothic" w:hAnsi="Verdana" w:cs="Arial"/>
          <w:sz w:val="18"/>
          <w:szCs w:val="18"/>
        </w:rPr>
        <w:t xml:space="preserve"> </w:t>
      </w:r>
      <w:r w:rsidRPr="00473295">
        <w:rPr>
          <w:rFonts w:ascii="Verdana" w:eastAsia="Malgun Gothic" w:hAnsi="Verdana" w:cs="Arial"/>
          <w:sz w:val="18"/>
          <w:szCs w:val="18"/>
        </w:rPr>
        <w:t>aged 18-24</w:t>
      </w:r>
      <w:r>
        <w:rPr>
          <w:rFonts w:ascii="Verdana" w:eastAsia="Malgun Gothic" w:hAnsi="Verdana" w:cs="Arial"/>
          <w:sz w:val="18"/>
          <w:szCs w:val="18"/>
        </w:rPr>
        <w:t xml:space="preserve">, </w:t>
      </w:r>
      <w:r w:rsidRPr="00473295">
        <w:rPr>
          <w:rFonts w:ascii="Verdana" w:eastAsia="Malgun Gothic" w:hAnsi="Verdana" w:cs="Arial"/>
          <w:sz w:val="18"/>
          <w:szCs w:val="18"/>
        </w:rPr>
        <w:tab/>
        <w:t>people who are retired according to their self-defined current economic status or who receive any pension (except survivor’s pension)</w:t>
      </w:r>
      <w:r>
        <w:rPr>
          <w:rFonts w:ascii="Verdana" w:eastAsia="Malgun Gothic" w:hAnsi="Verdana" w:cs="Arial"/>
          <w:sz w:val="18"/>
          <w:szCs w:val="18"/>
        </w:rPr>
        <w:t xml:space="preserve">, </w:t>
      </w:r>
      <w:r w:rsidRPr="00473295">
        <w:rPr>
          <w:rFonts w:ascii="Verdana" w:eastAsia="Malgun Gothic" w:hAnsi="Verdana" w:cs="Arial"/>
          <w:sz w:val="18"/>
          <w:szCs w:val="18"/>
        </w:rPr>
        <w:t>people in the age bracket 60-64 who are inactive and living in a household where the main income is pensions (except survivor’s pension)</w:t>
      </w:r>
      <w:r>
        <w:rPr>
          <w:rFonts w:ascii="Verdana" w:eastAsia="Malgun Gothic" w:hAnsi="Verdana" w:cs="Arial"/>
          <w:sz w:val="18"/>
          <w:szCs w:val="18"/>
        </w:rPr>
        <w:t>.</w:t>
      </w:r>
    </w:p>
    <w:p w14:paraId="4D632B18" w14:textId="77777777" w:rsidR="00985D01" w:rsidRDefault="00985D01" w:rsidP="00985D01">
      <w:pPr>
        <w:jc w:val="both"/>
        <w:rPr>
          <w:rFonts w:ascii="Verdana" w:eastAsia="Malgun Gothic" w:hAnsi="Verdana" w:cs="Arial"/>
          <w:sz w:val="18"/>
          <w:szCs w:val="18"/>
        </w:rPr>
      </w:pPr>
    </w:p>
    <w:p w14:paraId="70791108" w14:textId="77777777" w:rsidR="00985D01" w:rsidRPr="007B696F" w:rsidRDefault="00985D01" w:rsidP="00985D01">
      <w:pPr>
        <w:jc w:val="both"/>
        <w:rPr>
          <w:rFonts w:ascii="Verdana" w:eastAsia="Malgun Gothic" w:hAnsi="Verdana" w:cs="Arial"/>
          <w:sz w:val="18"/>
          <w:szCs w:val="18"/>
        </w:rPr>
      </w:pPr>
      <w:r w:rsidRPr="007B696F">
        <w:rPr>
          <w:rFonts w:ascii="Verdana" w:eastAsia="Malgun Gothic" w:hAnsi="Verdana" w:cs="Arial"/>
          <w:b/>
          <w:sz w:val="18"/>
          <w:szCs w:val="18"/>
        </w:rPr>
        <w:t>Income distribution ratio, S80/S20</w:t>
      </w:r>
      <w:r w:rsidRPr="007B696F">
        <w:rPr>
          <w:rFonts w:ascii="Verdana" w:eastAsia="Malgun Gothic" w:hAnsi="Verdana" w:cs="Arial"/>
          <w:sz w:val="18"/>
          <w:szCs w:val="18"/>
        </w:rPr>
        <w:t>: The income quintile share ratio or the S80/S20 ratio is calculated as the ratio of total equivalised disposable income received by the 20% of the population with the highest equivalised disposable income (the top quintile) to that received by the 20% of the population with the lowest equivalised disposable income (the bottom quintile).</w:t>
      </w:r>
    </w:p>
    <w:p w14:paraId="6F8F4D86" w14:textId="77777777" w:rsidR="00985D01" w:rsidRPr="007B696F" w:rsidRDefault="00985D01" w:rsidP="00985D01">
      <w:pPr>
        <w:jc w:val="both"/>
        <w:rPr>
          <w:rFonts w:ascii="Verdana" w:eastAsia="Malgun Gothic" w:hAnsi="Verdana" w:cs="Arial"/>
          <w:sz w:val="18"/>
          <w:szCs w:val="18"/>
        </w:rPr>
      </w:pPr>
    </w:p>
    <w:p w14:paraId="679E03FD" w14:textId="77777777" w:rsidR="00985D01" w:rsidRDefault="00985D01" w:rsidP="00985D01">
      <w:pPr>
        <w:jc w:val="both"/>
        <w:rPr>
          <w:rFonts w:ascii="Verdana" w:eastAsia="Malgun Gothic" w:hAnsi="Verdana" w:cs="Arial"/>
          <w:sz w:val="18"/>
          <w:szCs w:val="18"/>
        </w:rPr>
      </w:pPr>
      <w:r w:rsidRPr="007B696F">
        <w:rPr>
          <w:rFonts w:ascii="Verdana" w:eastAsia="Malgun Gothic" w:hAnsi="Verdana" w:cs="Arial"/>
          <w:b/>
          <w:sz w:val="18"/>
          <w:szCs w:val="18"/>
        </w:rPr>
        <w:t>Inequality of income distribution, Gini coefficient</w:t>
      </w:r>
      <w:r w:rsidRPr="007B696F">
        <w:rPr>
          <w:rFonts w:ascii="Verdana" w:eastAsia="Malgun Gothic" w:hAnsi="Verdana" w:cs="Arial"/>
          <w:sz w:val="18"/>
          <w:szCs w:val="18"/>
        </w:rPr>
        <w:t>: Measure of (income) inequality or concentration. If incomes were equally distributed</w:t>
      </w:r>
      <w:r w:rsidRPr="009D3351">
        <w:rPr>
          <w:rFonts w:ascii="Verdana" w:eastAsia="Malgun Gothic" w:hAnsi="Verdana" w:cs="Arial"/>
          <w:sz w:val="18"/>
          <w:szCs w:val="18"/>
        </w:rPr>
        <w:t>,</w:t>
      </w:r>
      <w:r w:rsidRPr="007B696F">
        <w:rPr>
          <w:rFonts w:ascii="Verdana" w:eastAsia="Malgun Gothic" w:hAnsi="Verdana" w:cs="Arial"/>
          <w:sz w:val="18"/>
          <w:szCs w:val="18"/>
        </w:rPr>
        <w:t xml:space="preserve"> the Gini coefficient would be 0. At the other extreme</w:t>
      </w:r>
      <w:r>
        <w:rPr>
          <w:rFonts w:ascii="Verdana" w:eastAsia="Malgun Gothic" w:hAnsi="Verdana" w:cs="Arial"/>
          <w:sz w:val="18"/>
          <w:szCs w:val="18"/>
        </w:rPr>
        <w:t>,</w:t>
      </w:r>
      <w:r w:rsidRPr="007B696F">
        <w:rPr>
          <w:rFonts w:ascii="Verdana" w:eastAsia="Malgun Gothic" w:hAnsi="Verdana" w:cs="Arial"/>
          <w:sz w:val="18"/>
          <w:szCs w:val="18"/>
        </w:rPr>
        <w:t xml:space="preserve"> if the richest unit received all income the Gini coefficient would be 100. An increase in the Gini coefficient thus represents an increase in inequality.</w:t>
      </w:r>
    </w:p>
    <w:p w14:paraId="340BF9EC" w14:textId="77777777" w:rsidR="00985D01" w:rsidRDefault="00985D01" w:rsidP="00985D01">
      <w:pPr>
        <w:jc w:val="both"/>
        <w:rPr>
          <w:rFonts w:ascii="Verdana" w:eastAsia="Malgun Gothic" w:hAnsi="Verdana" w:cs="Arial"/>
          <w:sz w:val="18"/>
          <w:szCs w:val="18"/>
        </w:rPr>
      </w:pPr>
    </w:p>
    <w:p w14:paraId="67D55E3F" w14:textId="77777777" w:rsidR="00985D01" w:rsidRDefault="00985D01" w:rsidP="00985D01">
      <w:pPr>
        <w:jc w:val="both"/>
        <w:rPr>
          <w:rFonts w:ascii="Verdana" w:eastAsia="Malgun Gothic" w:hAnsi="Verdana" w:cs="Arial"/>
          <w:sz w:val="18"/>
          <w:szCs w:val="18"/>
        </w:rPr>
      </w:pPr>
    </w:p>
    <w:p w14:paraId="7F8D9630" w14:textId="77777777" w:rsidR="00985D01" w:rsidRDefault="00985D01" w:rsidP="00985D01">
      <w:pPr>
        <w:jc w:val="both"/>
        <w:rPr>
          <w:rFonts w:ascii="Verdana" w:eastAsia="Malgun Gothic" w:hAnsi="Verdana" w:cs="Arial"/>
          <w:sz w:val="18"/>
          <w:szCs w:val="18"/>
        </w:rPr>
      </w:pPr>
    </w:p>
    <w:p w14:paraId="4A7F939F" w14:textId="77777777" w:rsidR="00985D01" w:rsidRDefault="00985D01" w:rsidP="00985D01">
      <w:pPr>
        <w:ind w:right="-79"/>
        <w:jc w:val="both"/>
        <w:rPr>
          <w:rFonts w:ascii="Verdana" w:eastAsia="Malgun Gothic" w:hAnsi="Verdana" w:cs="Arial"/>
          <w:b/>
          <w:i/>
          <w:sz w:val="18"/>
          <w:szCs w:val="18"/>
        </w:rPr>
      </w:pPr>
      <w:r>
        <w:rPr>
          <w:rFonts w:ascii="Verdana" w:eastAsia="Malgun Gothic" w:hAnsi="Verdana" w:cs="Arial"/>
          <w:b/>
          <w:i/>
          <w:sz w:val="18"/>
          <w:szCs w:val="18"/>
        </w:rPr>
        <w:t>For more information:</w:t>
      </w:r>
    </w:p>
    <w:p w14:paraId="1B4F2024" w14:textId="6264E8C1" w:rsidR="00985D01" w:rsidRDefault="00985D01" w:rsidP="00985D01">
      <w:pPr>
        <w:ind w:right="-79"/>
        <w:jc w:val="both"/>
        <w:rPr>
          <w:rFonts w:ascii="Verdana" w:eastAsia="Malgun Gothic" w:hAnsi="Verdana" w:cs="Arial"/>
          <w:sz w:val="18"/>
          <w:szCs w:val="18"/>
        </w:rPr>
      </w:pPr>
      <w:r w:rsidRPr="00985D01">
        <w:rPr>
          <w:rFonts w:ascii="Verdana" w:eastAsia="Malgun Gothic" w:hAnsi="Verdana" w:cs="Arial"/>
          <w:sz w:val="18"/>
          <w:szCs w:val="18"/>
        </w:rPr>
        <w:t>CYSTAT Portal</w:t>
      </w:r>
      <w:r>
        <w:rPr>
          <w:rFonts w:ascii="Verdana" w:eastAsia="Malgun Gothic" w:hAnsi="Verdana" w:cs="Arial"/>
          <w:sz w:val="18"/>
          <w:szCs w:val="18"/>
        </w:rPr>
        <w:t xml:space="preserve">, subtheme </w:t>
      </w:r>
      <w:hyperlink r:id="rId10" w:tooltip="Living Conditions and Social Protection" w:history="1">
        <w:r w:rsidRPr="00330E32">
          <w:rPr>
            <w:rStyle w:val="Hyperlink"/>
            <w:rFonts w:ascii="Verdana" w:eastAsia="Malgun Gothic" w:hAnsi="Verdana" w:cs="Arial"/>
            <w:sz w:val="18"/>
            <w:szCs w:val="18"/>
          </w:rPr>
          <w:t>Living Condit</w:t>
        </w:r>
        <w:r w:rsidRPr="00330E32">
          <w:rPr>
            <w:rStyle w:val="Hyperlink"/>
            <w:rFonts w:ascii="Verdana" w:eastAsia="Malgun Gothic" w:hAnsi="Verdana" w:cs="Arial"/>
            <w:sz w:val="18"/>
            <w:szCs w:val="18"/>
          </w:rPr>
          <w:t>i</w:t>
        </w:r>
        <w:r w:rsidRPr="00330E32">
          <w:rPr>
            <w:rStyle w:val="Hyperlink"/>
            <w:rFonts w:ascii="Verdana" w:eastAsia="Malgun Gothic" w:hAnsi="Verdana" w:cs="Arial"/>
            <w:sz w:val="18"/>
            <w:szCs w:val="18"/>
          </w:rPr>
          <w:t>ons and Social Protection</w:t>
        </w:r>
      </w:hyperlink>
    </w:p>
    <w:p w14:paraId="31A8CC4A" w14:textId="1C0FED5A" w:rsidR="00985D01" w:rsidRDefault="00DF46CC" w:rsidP="00985D01">
      <w:pPr>
        <w:jc w:val="both"/>
        <w:rPr>
          <w:color w:val="000000"/>
        </w:rPr>
      </w:pPr>
      <w:hyperlink r:id="rId11" w:history="1">
        <w:r w:rsidR="00985D01" w:rsidRPr="00DF46CC">
          <w:rPr>
            <w:rStyle w:val="Hyperlink"/>
            <w:rFonts w:ascii="Verdana" w:hAnsi="Verdana"/>
            <w:sz w:val="18"/>
            <w:szCs w:val="18"/>
          </w:rPr>
          <w:t>Pre</w:t>
        </w:r>
        <w:r w:rsidR="00985D01" w:rsidRPr="00DF46CC">
          <w:rPr>
            <w:rStyle w:val="Hyperlink"/>
            <w:rFonts w:ascii="Verdana" w:hAnsi="Verdana"/>
            <w:sz w:val="18"/>
            <w:szCs w:val="18"/>
          </w:rPr>
          <w:t>d</w:t>
        </w:r>
        <w:r w:rsidR="00985D01" w:rsidRPr="00DF46CC">
          <w:rPr>
            <w:rStyle w:val="Hyperlink"/>
            <w:rFonts w:ascii="Verdana" w:hAnsi="Verdana"/>
            <w:sz w:val="18"/>
            <w:szCs w:val="18"/>
          </w:rPr>
          <w:t>efined Ta</w:t>
        </w:r>
        <w:r w:rsidR="00985D01" w:rsidRPr="00DF46CC">
          <w:rPr>
            <w:rStyle w:val="Hyperlink"/>
            <w:rFonts w:ascii="Verdana" w:hAnsi="Verdana"/>
            <w:sz w:val="18"/>
            <w:szCs w:val="18"/>
          </w:rPr>
          <w:t>b</w:t>
        </w:r>
        <w:r w:rsidR="00985D01" w:rsidRPr="00DF46CC">
          <w:rPr>
            <w:rStyle w:val="Hyperlink"/>
            <w:rFonts w:ascii="Verdana" w:hAnsi="Verdana"/>
            <w:sz w:val="18"/>
            <w:szCs w:val="18"/>
          </w:rPr>
          <w:t>les</w:t>
        </w:r>
      </w:hyperlink>
      <w:r w:rsidR="00985D01">
        <w:rPr>
          <w:rFonts w:ascii="Verdana" w:hAnsi="Verdana"/>
          <w:color w:val="000000"/>
          <w:sz w:val="18"/>
          <w:szCs w:val="18"/>
        </w:rPr>
        <w:t xml:space="preserve"> (Excel)</w:t>
      </w:r>
    </w:p>
    <w:p w14:paraId="33B20DB2" w14:textId="64008C5C" w:rsidR="00985D01" w:rsidRDefault="00DF46CC" w:rsidP="00985D01">
      <w:pPr>
        <w:jc w:val="both"/>
        <w:rPr>
          <w:rFonts w:ascii="Verdana" w:hAnsi="Verdana"/>
          <w:sz w:val="18"/>
          <w:szCs w:val="18"/>
        </w:rPr>
      </w:pPr>
      <w:hyperlink r:id="rId12" w:history="1">
        <w:r w:rsidR="00985D01" w:rsidRPr="00DF46CC">
          <w:rPr>
            <w:rStyle w:val="Hyperlink"/>
            <w:rFonts w:ascii="Verdana" w:hAnsi="Verdana"/>
            <w:sz w:val="18"/>
            <w:szCs w:val="18"/>
          </w:rPr>
          <w:t>Methodo</w:t>
        </w:r>
        <w:r w:rsidR="00985D01" w:rsidRPr="00DF46CC">
          <w:rPr>
            <w:rStyle w:val="Hyperlink"/>
            <w:rFonts w:ascii="Verdana" w:hAnsi="Verdana"/>
            <w:sz w:val="18"/>
            <w:szCs w:val="18"/>
          </w:rPr>
          <w:t>l</w:t>
        </w:r>
        <w:r w:rsidR="00985D01" w:rsidRPr="00DF46CC">
          <w:rPr>
            <w:rStyle w:val="Hyperlink"/>
            <w:rFonts w:ascii="Verdana" w:hAnsi="Verdana"/>
            <w:sz w:val="18"/>
            <w:szCs w:val="18"/>
          </w:rPr>
          <w:t>ogical Inform</w:t>
        </w:r>
        <w:r w:rsidR="00985D01" w:rsidRPr="00DF46CC">
          <w:rPr>
            <w:rStyle w:val="Hyperlink"/>
            <w:rFonts w:ascii="Verdana" w:hAnsi="Verdana"/>
            <w:sz w:val="18"/>
            <w:szCs w:val="18"/>
          </w:rPr>
          <w:t>a</w:t>
        </w:r>
        <w:r w:rsidR="00985D01" w:rsidRPr="00DF46CC">
          <w:rPr>
            <w:rStyle w:val="Hyperlink"/>
            <w:rFonts w:ascii="Verdana" w:hAnsi="Verdana"/>
            <w:sz w:val="18"/>
            <w:szCs w:val="18"/>
          </w:rPr>
          <w:t>tion</w:t>
        </w:r>
      </w:hyperlink>
    </w:p>
    <w:p w14:paraId="4590D5B3" w14:textId="77777777" w:rsidR="00985D01" w:rsidRDefault="00985D01" w:rsidP="00985D01">
      <w:pPr>
        <w:ind w:right="-79"/>
        <w:jc w:val="both"/>
        <w:rPr>
          <w:rFonts w:ascii="Verdana" w:eastAsia="Malgun Gothic" w:hAnsi="Verdana" w:cs="Arial"/>
          <w:sz w:val="18"/>
          <w:szCs w:val="18"/>
        </w:rPr>
      </w:pPr>
    </w:p>
    <w:p w14:paraId="544221A8" w14:textId="77777777" w:rsidR="00985D01" w:rsidRDefault="00985D01" w:rsidP="00985D01">
      <w:pPr>
        <w:ind w:right="-79"/>
        <w:jc w:val="both"/>
        <w:rPr>
          <w:rFonts w:ascii="Verdana" w:eastAsia="Malgun Gothic" w:hAnsi="Verdana" w:cs="Arial"/>
          <w:i/>
          <w:sz w:val="18"/>
          <w:szCs w:val="18"/>
          <w:u w:val="single"/>
        </w:rPr>
      </w:pPr>
    </w:p>
    <w:p w14:paraId="60631EF3" w14:textId="77777777" w:rsidR="00985D01" w:rsidRDefault="00985D01" w:rsidP="00985D01">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55A731D5" w14:textId="77777777" w:rsidR="00985D01" w:rsidRPr="0017756A" w:rsidRDefault="00985D01" w:rsidP="00985D01">
      <w:pPr>
        <w:ind w:right="-79"/>
        <w:jc w:val="both"/>
        <w:rPr>
          <w:rFonts w:ascii="Verdana" w:eastAsia="Malgun Gothic" w:hAnsi="Verdana" w:cs="Arial"/>
          <w:sz w:val="18"/>
          <w:szCs w:val="18"/>
        </w:rPr>
      </w:pPr>
      <w:r>
        <w:rPr>
          <w:rFonts w:ascii="Verdana" w:eastAsia="Malgun Gothic" w:hAnsi="Verdana" w:cs="Arial"/>
          <w:sz w:val="18"/>
          <w:szCs w:val="18"/>
        </w:rPr>
        <w:t>Charalambos Charalambous</w:t>
      </w:r>
      <w:r w:rsidRPr="0017756A">
        <w:rPr>
          <w:rFonts w:ascii="Verdana" w:eastAsia="Malgun Gothic" w:hAnsi="Verdana" w:cs="Arial"/>
          <w:sz w:val="18"/>
          <w:szCs w:val="18"/>
        </w:rPr>
        <w:t xml:space="preserve">: </w:t>
      </w:r>
      <w:proofErr w:type="gramStart"/>
      <w:r>
        <w:rPr>
          <w:rFonts w:ascii="Verdana" w:eastAsia="Malgun Gothic" w:hAnsi="Verdana" w:cs="Arial"/>
          <w:sz w:val="18"/>
          <w:szCs w:val="18"/>
        </w:rPr>
        <w:t>Tel</w:t>
      </w:r>
      <w:r w:rsidRPr="0017756A">
        <w:rPr>
          <w:rFonts w:ascii="Verdana" w:eastAsia="Malgun Gothic" w:hAnsi="Verdana" w:cs="Arial"/>
          <w:sz w:val="18"/>
          <w:szCs w:val="18"/>
        </w:rPr>
        <w:t>:+</w:t>
      </w:r>
      <w:proofErr w:type="gramEnd"/>
      <w:r w:rsidRPr="0017756A">
        <w:rPr>
          <w:rFonts w:ascii="Verdana" w:eastAsia="Malgun Gothic" w:hAnsi="Verdana" w:cs="Arial"/>
          <w:sz w:val="18"/>
          <w:szCs w:val="18"/>
        </w:rPr>
        <w:t>35722602</w:t>
      </w:r>
      <w:r>
        <w:rPr>
          <w:rFonts w:ascii="Verdana" w:eastAsia="Malgun Gothic" w:hAnsi="Verdana" w:cs="Arial"/>
          <w:sz w:val="18"/>
          <w:szCs w:val="18"/>
        </w:rPr>
        <w:t>24</w:t>
      </w:r>
      <w:r w:rsidRPr="0017756A">
        <w:rPr>
          <w:rFonts w:ascii="Verdana" w:eastAsia="Malgun Gothic" w:hAnsi="Verdana" w:cs="Arial"/>
          <w:sz w:val="18"/>
          <w:szCs w:val="18"/>
        </w:rPr>
        <w:t xml:space="preserve">1, </w:t>
      </w:r>
      <w:r>
        <w:rPr>
          <w:rFonts w:ascii="Verdana" w:eastAsia="Malgun Gothic" w:hAnsi="Verdana" w:cs="Arial"/>
          <w:sz w:val="18"/>
          <w:szCs w:val="18"/>
        </w:rPr>
        <w:t>Email</w:t>
      </w:r>
      <w:r w:rsidRPr="0017756A">
        <w:rPr>
          <w:rFonts w:ascii="Verdana" w:eastAsia="Malgun Gothic" w:hAnsi="Verdana" w:cs="Arial"/>
          <w:sz w:val="18"/>
          <w:szCs w:val="18"/>
        </w:rPr>
        <w:t>:</w:t>
      </w:r>
      <w:r>
        <w:rPr>
          <w:rFonts w:ascii="Verdana" w:eastAsia="Malgun Gothic" w:hAnsi="Verdana" w:cs="Arial"/>
          <w:sz w:val="18"/>
          <w:szCs w:val="18"/>
        </w:rPr>
        <w:t xml:space="preserve"> </w:t>
      </w:r>
      <w:hyperlink r:id="rId13" w:history="1">
        <w:r w:rsidRPr="007B696F">
          <w:rPr>
            <w:rStyle w:val="Hyperlink"/>
            <w:rFonts w:ascii="Verdana" w:eastAsia="Malgun Gothic" w:hAnsi="Verdana" w:cs="Arial"/>
            <w:sz w:val="18"/>
            <w:szCs w:val="18"/>
          </w:rPr>
          <w:t>chcharalambous@cystat.mof.gov.cy</w:t>
        </w:r>
      </w:hyperlink>
    </w:p>
    <w:p w14:paraId="0A2FA541" w14:textId="77777777" w:rsidR="00985D01" w:rsidRPr="007B696F" w:rsidRDefault="00985D01" w:rsidP="00985D01">
      <w:pPr>
        <w:ind w:right="-79"/>
        <w:jc w:val="both"/>
        <w:rPr>
          <w:rFonts w:ascii="Verdana" w:eastAsia="Malgun Gothic" w:hAnsi="Verdana" w:cs="Arial"/>
          <w:sz w:val="18"/>
          <w:szCs w:val="18"/>
        </w:rPr>
      </w:pPr>
    </w:p>
    <w:p w14:paraId="663F5B87" w14:textId="50C44532" w:rsidR="00972CA0" w:rsidRPr="00972CA0" w:rsidRDefault="00463214" w:rsidP="00C26329">
      <w:pPr>
        <w:jc w:val="both"/>
        <w:rPr>
          <w:rFonts w:ascii="Verdana" w:eastAsia="Malgun Gothic" w:hAnsi="Verdana" w:cs="Arial"/>
          <w:sz w:val="18"/>
          <w:szCs w:val="18"/>
        </w:rPr>
      </w:pPr>
      <w:r w:rsidRPr="00985D01">
        <w:rPr>
          <w:rFonts w:ascii="Arial" w:hAnsi="Arial" w:cs="Arial"/>
          <w:sz w:val="18"/>
          <w:szCs w:val="18"/>
        </w:rPr>
        <w:tab/>
      </w:r>
    </w:p>
    <w:p w14:paraId="27A72E99" w14:textId="77777777" w:rsidR="00972CA0" w:rsidRPr="00C26329" w:rsidRDefault="00972CA0" w:rsidP="00072754">
      <w:pPr>
        <w:jc w:val="both"/>
        <w:rPr>
          <w:rFonts w:ascii="Verdana" w:eastAsia="Malgun Gothic" w:hAnsi="Verdana" w:cs="Arial"/>
          <w:sz w:val="18"/>
          <w:szCs w:val="18"/>
        </w:rPr>
      </w:pPr>
    </w:p>
    <w:p w14:paraId="5A69251E" w14:textId="77777777" w:rsidR="00C26329" w:rsidRPr="00C26329" w:rsidRDefault="00C26329" w:rsidP="00072754">
      <w:pPr>
        <w:jc w:val="both"/>
        <w:rPr>
          <w:rFonts w:ascii="Verdana" w:eastAsia="Malgun Gothic" w:hAnsi="Verdana" w:cs="Arial"/>
          <w:sz w:val="18"/>
          <w:szCs w:val="18"/>
        </w:rPr>
      </w:pPr>
    </w:p>
    <w:sectPr w:rsidR="00C26329" w:rsidRPr="00C26329" w:rsidSect="005938ED">
      <w:headerReference w:type="even" r:id="rId14"/>
      <w:headerReference w:type="default" r:id="rId15"/>
      <w:footerReference w:type="even" r:id="rId16"/>
      <w:footerReference w:type="default" r:id="rId17"/>
      <w:headerReference w:type="first" r:id="rId18"/>
      <w:footerReference w:type="first" r:id="rId19"/>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D678" w14:textId="77777777" w:rsidR="00077C43" w:rsidRDefault="00077C43" w:rsidP="00FB398F">
      <w:r>
        <w:separator/>
      </w:r>
    </w:p>
  </w:endnote>
  <w:endnote w:type="continuationSeparator" w:id="0">
    <w:p w14:paraId="198BF8E4" w14:textId="77777777" w:rsidR="00077C43" w:rsidRDefault="00077C4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7F2F" w14:textId="77777777" w:rsidR="00540668" w:rsidRDefault="005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077979">
      <w:rPr>
        <w:noProof/>
      </w:rPr>
      <w:t>5</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proofErr w:type="gramStart"/>
    <w:r w:rsidRPr="00122143">
      <w:rPr>
        <w:rFonts w:ascii="Arial" w:hAnsi="Arial" w:cs="Arial"/>
        <w:i/>
        <w:iCs/>
        <w:sz w:val="16"/>
        <w:szCs w:val="16"/>
      </w:rPr>
      <w:t>Karaoli</w:t>
    </w:r>
    <w:proofErr w:type="spellEnd"/>
    <w:r w:rsidRPr="00122143">
      <w:rPr>
        <w:rFonts w:ascii="Arial" w:hAnsi="Arial" w:cs="Arial"/>
        <w:i/>
        <w:iCs/>
        <w:sz w:val="16"/>
        <w:szCs w:val="16"/>
      </w:rPr>
      <w:t xml:space="preserve">  Str.</w:t>
    </w:r>
    <w:proofErr w:type="gramEnd"/>
    <w:r w:rsidRPr="00122143">
      <w:rPr>
        <w:rFonts w:ascii="Arial" w:hAnsi="Arial" w:cs="Arial"/>
        <w:i/>
        <w:iCs/>
        <w:sz w:val="16"/>
        <w:szCs w:val="16"/>
      </w:rPr>
      <w:t>, 1444 Nicosia, Cyprus</w:t>
    </w:r>
  </w:p>
  <w:p w14:paraId="5BFB5428" w14:textId="111B6790"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60256A" w:rsidRPr="00122143">
      <w:rPr>
        <w:rFonts w:ascii="Arial" w:hAnsi="Arial" w:cs="Arial"/>
        <w:i/>
        <w:iCs/>
        <w:sz w:val="16"/>
        <w:szCs w:val="16"/>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D204" w14:textId="77777777" w:rsidR="00077C43" w:rsidRDefault="00077C43" w:rsidP="00FB398F">
      <w:r>
        <w:separator/>
      </w:r>
    </w:p>
  </w:footnote>
  <w:footnote w:type="continuationSeparator" w:id="0">
    <w:p w14:paraId="51E8621F" w14:textId="77777777" w:rsidR="00077C43" w:rsidRDefault="00077C4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21CC" w14:textId="77777777" w:rsidR="00540668" w:rsidRDefault="005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lang w:val="el-GR" w:eastAsia="el-GR"/>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lang w:val="el-GR" w:eastAsia="el-GR"/>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lang w:val="el-GR" w:eastAsia="el-GR"/>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lang w:val="el-GR" w:eastAsia="el-GR"/>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2337869">
    <w:abstractNumId w:val="4"/>
  </w:num>
  <w:num w:numId="2" w16cid:durableId="1948539914">
    <w:abstractNumId w:val="1"/>
  </w:num>
  <w:num w:numId="3" w16cid:durableId="1923905703">
    <w:abstractNumId w:val="2"/>
  </w:num>
  <w:num w:numId="4" w16cid:durableId="1557667941">
    <w:abstractNumId w:val="3"/>
  </w:num>
  <w:num w:numId="5" w16cid:durableId="1092773324">
    <w:abstractNumId w:val="0"/>
  </w:num>
  <w:num w:numId="6" w16cid:durableId="1682657210">
    <w:abstractNumId w:val="5"/>
  </w:num>
  <w:num w:numId="7" w16cid:durableId="16419635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4F86"/>
    <w:rsid w:val="0000542E"/>
    <w:rsid w:val="00013E40"/>
    <w:rsid w:val="000161B1"/>
    <w:rsid w:val="00025A39"/>
    <w:rsid w:val="00027853"/>
    <w:rsid w:val="00030E18"/>
    <w:rsid w:val="00031D32"/>
    <w:rsid w:val="0003603D"/>
    <w:rsid w:val="00036FA9"/>
    <w:rsid w:val="00045088"/>
    <w:rsid w:val="00045A06"/>
    <w:rsid w:val="00050391"/>
    <w:rsid w:val="00055291"/>
    <w:rsid w:val="000563D3"/>
    <w:rsid w:val="00057E44"/>
    <w:rsid w:val="00061299"/>
    <w:rsid w:val="00070576"/>
    <w:rsid w:val="00072754"/>
    <w:rsid w:val="000752BB"/>
    <w:rsid w:val="00077979"/>
    <w:rsid w:val="00077C43"/>
    <w:rsid w:val="00081ADF"/>
    <w:rsid w:val="00084A02"/>
    <w:rsid w:val="00084BF7"/>
    <w:rsid w:val="000870E9"/>
    <w:rsid w:val="000932CF"/>
    <w:rsid w:val="00096ED8"/>
    <w:rsid w:val="000A1A88"/>
    <w:rsid w:val="000A2B5C"/>
    <w:rsid w:val="000A3601"/>
    <w:rsid w:val="000A6FA8"/>
    <w:rsid w:val="000B6F3B"/>
    <w:rsid w:val="000C4E72"/>
    <w:rsid w:val="000D1E7A"/>
    <w:rsid w:val="000E24B1"/>
    <w:rsid w:val="000E2735"/>
    <w:rsid w:val="000E32D6"/>
    <w:rsid w:val="000E57F2"/>
    <w:rsid w:val="000E72A7"/>
    <w:rsid w:val="000F1162"/>
    <w:rsid w:val="000F3467"/>
    <w:rsid w:val="000F38DE"/>
    <w:rsid w:val="000F5D6C"/>
    <w:rsid w:val="00106852"/>
    <w:rsid w:val="00110F9D"/>
    <w:rsid w:val="00114A67"/>
    <w:rsid w:val="00122143"/>
    <w:rsid w:val="001253B6"/>
    <w:rsid w:val="00127320"/>
    <w:rsid w:val="00127456"/>
    <w:rsid w:val="001312D8"/>
    <w:rsid w:val="0013137B"/>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A2018"/>
    <w:rsid w:val="001A3DD4"/>
    <w:rsid w:val="001B2C39"/>
    <w:rsid w:val="001B3675"/>
    <w:rsid w:val="001B54AB"/>
    <w:rsid w:val="001B5E10"/>
    <w:rsid w:val="001B6AB3"/>
    <w:rsid w:val="001B73D5"/>
    <w:rsid w:val="001C0681"/>
    <w:rsid w:val="001C14B9"/>
    <w:rsid w:val="001C62B3"/>
    <w:rsid w:val="001C7C8C"/>
    <w:rsid w:val="001D0D6A"/>
    <w:rsid w:val="001D20A4"/>
    <w:rsid w:val="001E00D1"/>
    <w:rsid w:val="001E0E58"/>
    <w:rsid w:val="001E14F3"/>
    <w:rsid w:val="001E15ED"/>
    <w:rsid w:val="001E61AA"/>
    <w:rsid w:val="001E7D09"/>
    <w:rsid w:val="0020309E"/>
    <w:rsid w:val="00205BA0"/>
    <w:rsid w:val="00210B58"/>
    <w:rsid w:val="00222423"/>
    <w:rsid w:val="00225B28"/>
    <w:rsid w:val="002313AC"/>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915C4"/>
    <w:rsid w:val="002A1D1C"/>
    <w:rsid w:val="002A4D64"/>
    <w:rsid w:val="002B6554"/>
    <w:rsid w:val="002C4EAE"/>
    <w:rsid w:val="002D05F0"/>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522BB"/>
    <w:rsid w:val="00352F6C"/>
    <w:rsid w:val="003556EA"/>
    <w:rsid w:val="00364377"/>
    <w:rsid w:val="00377ABB"/>
    <w:rsid w:val="003854F5"/>
    <w:rsid w:val="00386FC7"/>
    <w:rsid w:val="00390A32"/>
    <w:rsid w:val="00396C89"/>
    <w:rsid w:val="003A40F2"/>
    <w:rsid w:val="003A50D1"/>
    <w:rsid w:val="003B196D"/>
    <w:rsid w:val="003B2710"/>
    <w:rsid w:val="003B4608"/>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6FB1"/>
    <w:rsid w:val="0046078F"/>
    <w:rsid w:val="00463214"/>
    <w:rsid w:val="0046434D"/>
    <w:rsid w:val="004656FA"/>
    <w:rsid w:val="00471D77"/>
    <w:rsid w:val="00475587"/>
    <w:rsid w:val="00480BC2"/>
    <w:rsid w:val="004929C2"/>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17FB"/>
    <w:rsid w:val="005341C9"/>
    <w:rsid w:val="005369CA"/>
    <w:rsid w:val="00536DE9"/>
    <w:rsid w:val="00540668"/>
    <w:rsid w:val="00541E08"/>
    <w:rsid w:val="0055789A"/>
    <w:rsid w:val="005652D1"/>
    <w:rsid w:val="005660A0"/>
    <w:rsid w:val="00566A4F"/>
    <w:rsid w:val="00567D64"/>
    <w:rsid w:val="00572BC2"/>
    <w:rsid w:val="005938ED"/>
    <w:rsid w:val="0059478C"/>
    <w:rsid w:val="005978D4"/>
    <w:rsid w:val="005B2A67"/>
    <w:rsid w:val="005B3DCD"/>
    <w:rsid w:val="005B4AD4"/>
    <w:rsid w:val="005B5CC7"/>
    <w:rsid w:val="005C2798"/>
    <w:rsid w:val="005C36C3"/>
    <w:rsid w:val="005C56EE"/>
    <w:rsid w:val="005C5D4B"/>
    <w:rsid w:val="005D1714"/>
    <w:rsid w:val="005D2D39"/>
    <w:rsid w:val="005D7638"/>
    <w:rsid w:val="005F12F5"/>
    <w:rsid w:val="005F4B4F"/>
    <w:rsid w:val="005F7C7D"/>
    <w:rsid w:val="0060256A"/>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711B"/>
    <w:rsid w:val="00671785"/>
    <w:rsid w:val="00672BA9"/>
    <w:rsid w:val="00673005"/>
    <w:rsid w:val="0067470D"/>
    <w:rsid w:val="006804BE"/>
    <w:rsid w:val="0069008E"/>
    <w:rsid w:val="0069087E"/>
    <w:rsid w:val="00691191"/>
    <w:rsid w:val="006925C4"/>
    <w:rsid w:val="0069309C"/>
    <w:rsid w:val="006A02B7"/>
    <w:rsid w:val="006B46D5"/>
    <w:rsid w:val="006B46F4"/>
    <w:rsid w:val="006C7AF3"/>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2548A"/>
    <w:rsid w:val="007277A6"/>
    <w:rsid w:val="007437AB"/>
    <w:rsid w:val="0075346B"/>
    <w:rsid w:val="007534F8"/>
    <w:rsid w:val="007545AD"/>
    <w:rsid w:val="00763722"/>
    <w:rsid w:val="00764BC1"/>
    <w:rsid w:val="00770869"/>
    <w:rsid w:val="007738AA"/>
    <w:rsid w:val="00780A62"/>
    <w:rsid w:val="00783241"/>
    <w:rsid w:val="007838EC"/>
    <w:rsid w:val="00784BDC"/>
    <w:rsid w:val="00792F28"/>
    <w:rsid w:val="0079543F"/>
    <w:rsid w:val="00795880"/>
    <w:rsid w:val="007A4367"/>
    <w:rsid w:val="007B0867"/>
    <w:rsid w:val="007B1AC1"/>
    <w:rsid w:val="007B5A08"/>
    <w:rsid w:val="007B693D"/>
    <w:rsid w:val="007D0338"/>
    <w:rsid w:val="007E041B"/>
    <w:rsid w:val="007E199A"/>
    <w:rsid w:val="007E2415"/>
    <w:rsid w:val="007E39F3"/>
    <w:rsid w:val="007E68F4"/>
    <w:rsid w:val="007F31BA"/>
    <w:rsid w:val="007F4078"/>
    <w:rsid w:val="0080014B"/>
    <w:rsid w:val="00801793"/>
    <w:rsid w:val="00803642"/>
    <w:rsid w:val="00806EA2"/>
    <w:rsid w:val="00812A2B"/>
    <w:rsid w:val="00814A4C"/>
    <w:rsid w:val="00831AAB"/>
    <w:rsid w:val="0083574E"/>
    <w:rsid w:val="0083640C"/>
    <w:rsid w:val="0084157B"/>
    <w:rsid w:val="00842BFB"/>
    <w:rsid w:val="00846B85"/>
    <w:rsid w:val="00847DC3"/>
    <w:rsid w:val="00847F49"/>
    <w:rsid w:val="008535C5"/>
    <w:rsid w:val="00853765"/>
    <w:rsid w:val="0085516F"/>
    <w:rsid w:val="00861278"/>
    <w:rsid w:val="00867186"/>
    <w:rsid w:val="00870AF6"/>
    <w:rsid w:val="00881268"/>
    <w:rsid w:val="0088394A"/>
    <w:rsid w:val="008860BD"/>
    <w:rsid w:val="00887399"/>
    <w:rsid w:val="0088779E"/>
    <w:rsid w:val="008912AF"/>
    <w:rsid w:val="00892114"/>
    <w:rsid w:val="00892CB9"/>
    <w:rsid w:val="008935CB"/>
    <w:rsid w:val="008B0E7E"/>
    <w:rsid w:val="008B5FF0"/>
    <w:rsid w:val="008B65BD"/>
    <w:rsid w:val="008B7900"/>
    <w:rsid w:val="008C71BF"/>
    <w:rsid w:val="008C7FE0"/>
    <w:rsid w:val="008D5717"/>
    <w:rsid w:val="008E44A9"/>
    <w:rsid w:val="008E6B4D"/>
    <w:rsid w:val="008E6BFF"/>
    <w:rsid w:val="008F21AF"/>
    <w:rsid w:val="008F2400"/>
    <w:rsid w:val="008F61BA"/>
    <w:rsid w:val="008F6E3C"/>
    <w:rsid w:val="008F7C55"/>
    <w:rsid w:val="0090338C"/>
    <w:rsid w:val="00914A23"/>
    <w:rsid w:val="00930754"/>
    <w:rsid w:val="00931164"/>
    <w:rsid w:val="00934F68"/>
    <w:rsid w:val="009355AC"/>
    <w:rsid w:val="00935F38"/>
    <w:rsid w:val="00937586"/>
    <w:rsid w:val="00947889"/>
    <w:rsid w:val="0095405B"/>
    <w:rsid w:val="00960E98"/>
    <w:rsid w:val="00963A82"/>
    <w:rsid w:val="00972912"/>
    <w:rsid w:val="00972CA0"/>
    <w:rsid w:val="00976D1F"/>
    <w:rsid w:val="00981C81"/>
    <w:rsid w:val="00985D0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5D16"/>
    <w:rsid w:val="00A0659F"/>
    <w:rsid w:val="00A079BA"/>
    <w:rsid w:val="00A33875"/>
    <w:rsid w:val="00A360A1"/>
    <w:rsid w:val="00A402B3"/>
    <w:rsid w:val="00A544B7"/>
    <w:rsid w:val="00A618CF"/>
    <w:rsid w:val="00A62770"/>
    <w:rsid w:val="00A62EEB"/>
    <w:rsid w:val="00A660FF"/>
    <w:rsid w:val="00A6625A"/>
    <w:rsid w:val="00A66266"/>
    <w:rsid w:val="00A73395"/>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BB5"/>
    <w:rsid w:val="00B04AF4"/>
    <w:rsid w:val="00B05214"/>
    <w:rsid w:val="00B0736F"/>
    <w:rsid w:val="00B12479"/>
    <w:rsid w:val="00B30D97"/>
    <w:rsid w:val="00B31738"/>
    <w:rsid w:val="00B3181A"/>
    <w:rsid w:val="00B35A7C"/>
    <w:rsid w:val="00B450D1"/>
    <w:rsid w:val="00B53D47"/>
    <w:rsid w:val="00B54A25"/>
    <w:rsid w:val="00B618C3"/>
    <w:rsid w:val="00B63652"/>
    <w:rsid w:val="00B668B0"/>
    <w:rsid w:val="00B70F5C"/>
    <w:rsid w:val="00B71873"/>
    <w:rsid w:val="00B75AE5"/>
    <w:rsid w:val="00B800C0"/>
    <w:rsid w:val="00B8132B"/>
    <w:rsid w:val="00B84C5A"/>
    <w:rsid w:val="00B858F5"/>
    <w:rsid w:val="00B85ADA"/>
    <w:rsid w:val="00B93668"/>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F23BB"/>
    <w:rsid w:val="00BF33DD"/>
    <w:rsid w:val="00BF5755"/>
    <w:rsid w:val="00BF684B"/>
    <w:rsid w:val="00C016F3"/>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EF9"/>
    <w:rsid w:val="00C56BBF"/>
    <w:rsid w:val="00C572AA"/>
    <w:rsid w:val="00C57A9A"/>
    <w:rsid w:val="00C6016A"/>
    <w:rsid w:val="00C60B3F"/>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4262"/>
    <w:rsid w:val="00C976E1"/>
    <w:rsid w:val="00CA148E"/>
    <w:rsid w:val="00CA3A9A"/>
    <w:rsid w:val="00CB6BC1"/>
    <w:rsid w:val="00CB7021"/>
    <w:rsid w:val="00CD3294"/>
    <w:rsid w:val="00CD4524"/>
    <w:rsid w:val="00CD784D"/>
    <w:rsid w:val="00CF40F8"/>
    <w:rsid w:val="00D008D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843F4"/>
    <w:rsid w:val="00DC23CF"/>
    <w:rsid w:val="00DC6562"/>
    <w:rsid w:val="00DE130D"/>
    <w:rsid w:val="00DE24CF"/>
    <w:rsid w:val="00DE407C"/>
    <w:rsid w:val="00DE7C7D"/>
    <w:rsid w:val="00DF2992"/>
    <w:rsid w:val="00DF2D0C"/>
    <w:rsid w:val="00DF46CC"/>
    <w:rsid w:val="00E01B9D"/>
    <w:rsid w:val="00E04F5E"/>
    <w:rsid w:val="00E0522E"/>
    <w:rsid w:val="00E120F4"/>
    <w:rsid w:val="00E155F9"/>
    <w:rsid w:val="00E17172"/>
    <w:rsid w:val="00E3181C"/>
    <w:rsid w:val="00E3280A"/>
    <w:rsid w:val="00E372AF"/>
    <w:rsid w:val="00E37D68"/>
    <w:rsid w:val="00E40EAE"/>
    <w:rsid w:val="00E436AC"/>
    <w:rsid w:val="00E44FF8"/>
    <w:rsid w:val="00E5066A"/>
    <w:rsid w:val="00E52CF9"/>
    <w:rsid w:val="00E63F34"/>
    <w:rsid w:val="00E6715A"/>
    <w:rsid w:val="00E75DC9"/>
    <w:rsid w:val="00E81610"/>
    <w:rsid w:val="00E84910"/>
    <w:rsid w:val="00E85B28"/>
    <w:rsid w:val="00E91976"/>
    <w:rsid w:val="00E947A6"/>
    <w:rsid w:val="00E97FC7"/>
    <w:rsid w:val="00EA0690"/>
    <w:rsid w:val="00EA3956"/>
    <w:rsid w:val="00EA5571"/>
    <w:rsid w:val="00EC02A5"/>
    <w:rsid w:val="00EC176B"/>
    <w:rsid w:val="00EC33CD"/>
    <w:rsid w:val="00EC5BE5"/>
    <w:rsid w:val="00ED2650"/>
    <w:rsid w:val="00ED721A"/>
    <w:rsid w:val="00EE393D"/>
    <w:rsid w:val="00EF01CF"/>
    <w:rsid w:val="00EF6A66"/>
    <w:rsid w:val="00EF7AF9"/>
    <w:rsid w:val="00F01495"/>
    <w:rsid w:val="00F01EE6"/>
    <w:rsid w:val="00F10138"/>
    <w:rsid w:val="00F13F92"/>
    <w:rsid w:val="00F22ECA"/>
    <w:rsid w:val="00F240E8"/>
    <w:rsid w:val="00F244FA"/>
    <w:rsid w:val="00F3363A"/>
    <w:rsid w:val="00F366A2"/>
    <w:rsid w:val="00F44F43"/>
    <w:rsid w:val="00F450E1"/>
    <w:rsid w:val="00F50DF4"/>
    <w:rsid w:val="00F57AFE"/>
    <w:rsid w:val="00F6278E"/>
    <w:rsid w:val="00F63C41"/>
    <w:rsid w:val="00F63E96"/>
    <w:rsid w:val="00F701E3"/>
    <w:rsid w:val="00F71F8C"/>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docId w15:val="{6BF2BF01-E1EE-45A2-8AD4-4918266C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DF4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charalambous@cystat.mof.gov.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n/MethodologicalDetails?m=21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n/SubthemeStatistics?s=4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DF543-E629-443A-986D-7CCDA111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11191</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4</cp:revision>
  <cp:lastPrinted>2016-09-28T08:24:00Z</cp:lastPrinted>
  <dcterms:created xsi:type="dcterms:W3CDTF">2022-08-17T12:12:00Z</dcterms:created>
  <dcterms:modified xsi:type="dcterms:W3CDTF">2022-08-18T08:10:00Z</dcterms:modified>
</cp:coreProperties>
</file>