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78CF" w14:textId="77777777" w:rsidR="00D12F51" w:rsidRPr="001A2739" w:rsidRDefault="00D12F51" w:rsidP="00D12F51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 w:rsidRPr="001A2739">
        <w:rPr>
          <w:rFonts w:ascii="Verdana" w:hAnsi="Verdana" w:cs="Arial"/>
          <w:sz w:val="18"/>
          <w:szCs w:val="18"/>
        </w:rPr>
        <w:t>6 July</w:t>
      </w:r>
      <w:r w:rsidRPr="001A2739">
        <w:rPr>
          <w:rFonts w:ascii="Verdana" w:eastAsia="Malgun Gothic" w:hAnsi="Verdana" w:cs="Arial"/>
          <w:sz w:val="18"/>
          <w:szCs w:val="18"/>
        </w:rPr>
        <w:t>, 2022</w:t>
      </w:r>
    </w:p>
    <w:p w14:paraId="2CE47E62" w14:textId="77777777" w:rsidR="00D12F51" w:rsidRPr="00931164" w:rsidRDefault="00D12F51" w:rsidP="00D12F51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54D13FA1" w14:textId="77777777" w:rsidR="00D12F51" w:rsidRPr="00931164" w:rsidRDefault="00D12F51" w:rsidP="00D12F51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7A82EF02" w14:textId="77777777" w:rsidR="00D12F51" w:rsidRDefault="00D12F51" w:rsidP="00D12F51">
      <w:pPr>
        <w:rPr>
          <w:rFonts w:ascii="Verdana" w:eastAsia="Malgun Gothic" w:hAnsi="Verdana" w:cs="Arial"/>
        </w:rPr>
      </w:pPr>
    </w:p>
    <w:p w14:paraId="0C1812AC" w14:textId="77777777" w:rsidR="00D12F51" w:rsidRPr="0007190B" w:rsidRDefault="00D12F51" w:rsidP="009D650F">
      <w:pPr>
        <w:pStyle w:val="Heading6"/>
        <w:tabs>
          <w:tab w:val="clear" w:pos="6840"/>
        </w:tabs>
        <w:rPr>
          <w:rFonts w:ascii="Verdana" w:eastAsia="Malgun Gothic" w:hAnsi="Verdana" w:cs="Arial"/>
          <w:b w:val="0"/>
          <w:szCs w:val="22"/>
          <w:lang w:val="en-US"/>
        </w:rPr>
      </w:pPr>
      <w:r w:rsidRPr="00377ABB">
        <w:rPr>
          <w:rFonts w:ascii="Verdana" w:eastAsia="Malgun Gothic" w:hAnsi="Verdana" w:cs="Arial"/>
          <w:b w:val="0"/>
          <w:szCs w:val="22"/>
          <w:lang w:val="en-US"/>
        </w:rPr>
        <w:t>RESULTS OF THE SERVICES AND TRANSPORT SURVEY 20</w:t>
      </w:r>
      <w:r>
        <w:rPr>
          <w:rFonts w:ascii="Verdana" w:eastAsia="Malgun Gothic" w:hAnsi="Verdana" w:cs="Arial"/>
          <w:b w:val="0"/>
          <w:szCs w:val="22"/>
          <w:lang w:val="en-US"/>
        </w:rPr>
        <w:t>20</w:t>
      </w:r>
    </w:p>
    <w:p w14:paraId="1290F62D" w14:textId="77777777" w:rsidR="00D12F51" w:rsidRPr="00377ABB" w:rsidRDefault="00D12F51" w:rsidP="00D12F51">
      <w:pPr>
        <w:rPr>
          <w:rFonts w:ascii="Verdana" w:eastAsia="Malgun Gothic" w:hAnsi="Verdana" w:cs="Arial"/>
          <w:sz w:val="18"/>
          <w:szCs w:val="18"/>
        </w:rPr>
      </w:pPr>
    </w:p>
    <w:p w14:paraId="5E40DDD5" w14:textId="77777777" w:rsidR="00D12F51" w:rsidRPr="0007190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798B2B23" w14:textId="7CE6EB03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377ABB">
        <w:rPr>
          <w:rFonts w:ascii="Verdana" w:hAnsi="Verdana" w:cs="Arial"/>
          <w:sz w:val="18"/>
          <w:szCs w:val="18"/>
        </w:rPr>
        <w:t xml:space="preserve">According to the results of the Services and Transport Survey, the tertiary sector of the economy </w:t>
      </w:r>
      <w:r>
        <w:rPr>
          <w:rFonts w:ascii="Verdana" w:hAnsi="Verdana" w:cs="Arial"/>
          <w:sz w:val="18"/>
          <w:szCs w:val="18"/>
        </w:rPr>
        <w:t xml:space="preserve">presented a mixed </w:t>
      </w:r>
      <w:r w:rsidR="009D650F">
        <w:rPr>
          <w:rFonts w:ascii="Verdana" w:hAnsi="Verdana" w:cs="Arial"/>
          <w:sz w:val="18"/>
          <w:szCs w:val="18"/>
        </w:rPr>
        <w:t>picture in</w:t>
      </w:r>
      <w:r w:rsidRPr="00377ABB">
        <w:rPr>
          <w:rFonts w:ascii="Verdana" w:hAnsi="Verdana" w:cs="Arial"/>
          <w:sz w:val="18"/>
          <w:szCs w:val="18"/>
        </w:rPr>
        <w:t xml:space="preserve"> 20</w:t>
      </w:r>
      <w:r>
        <w:rPr>
          <w:rFonts w:ascii="Verdana" w:hAnsi="Verdana" w:cs="Arial"/>
          <w:sz w:val="18"/>
          <w:szCs w:val="18"/>
        </w:rPr>
        <w:t>20</w:t>
      </w:r>
      <w:r w:rsidRPr="00377AB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compared to 2019</w:t>
      </w:r>
      <w:r w:rsidR="009D650F">
        <w:rPr>
          <w:rFonts w:ascii="Verdana" w:hAnsi="Verdana" w:cs="Arial"/>
          <w:sz w:val="18"/>
          <w:szCs w:val="18"/>
        </w:rPr>
        <w:t>, with some sectors expanding and other shrinking.</w:t>
      </w:r>
    </w:p>
    <w:p w14:paraId="6B02DA18" w14:textId="77777777" w:rsidR="00D12F51" w:rsidRPr="00377AB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6775B8A3" w14:textId="6B9359C9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377ABB">
        <w:rPr>
          <w:rFonts w:ascii="Verdana" w:hAnsi="Verdana" w:cs="Arial"/>
          <w:sz w:val="18"/>
          <w:szCs w:val="18"/>
        </w:rPr>
        <w:t>In particular, productio</w:t>
      </w:r>
      <w:r>
        <w:rPr>
          <w:rFonts w:ascii="Verdana" w:hAnsi="Verdana" w:cs="Arial"/>
          <w:sz w:val="18"/>
          <w:szCs w:val="18"/>
        </w:rPr>
        <w:t>n value showed a decrease of 9,5</w:t>
      </w:r>
      <w:r w:rsidRPr="00377ABB">
        <w:rPr>
          <w:rFonts w:ascii="Verdana" w:hAnsi="Verdana" w:cs="Arial"/>
          <w:sz w:val="18"/>
          <w:szCs w:val="18"/>
        </w:rPr>
        <w:t>% in transpor</w:t>
      </w:r>
      <w:r>
        <w:rPr>
          <w:rFonts w:ascii="Verdana" w:hAnsi="Verdana" w:cs="Arial"/>
          <w:sz w:val="18"/>
          <w:szCs w:val="18"/>
        </w:rPr>
        <w:t>tation and storage (sector H), 53,9</w:t>
      </w:r>
      <w:r w:rsidRPr="00377ABB">
        <w:rPr>
          <w:rFonts w:ascii="Verdana" w:hAnsi="Verdana" w:cs="Arial"/>
          <w:sz w:val="18"/>
          <w:szCs w:val="18"/>
        </w:rPr>
        <w:t>% in accommodation and food s</w:t>
      </w:r>
      <w:r>
        <w:rPr>
          <w:rFonts w:ascii="Verdana" w:hAnsi="Verdana" w:cs="Arial"/>
          <w:sz w:val="18"/>
          <w:szCs w:val="18"/>
        </w:rPr>
        <w:t>ervice activities (sector I) and 10,2</w:t>
      </w:r>
      <w:r w:rsidRPr="00377ABB">
        <w:rPr>
          <w:rFonts w:ascii="Verdana" w:hAnsi="Verdana" w:cs="Arial"/>
          <w:sz w:val="18"/>
          <w:szCs w:val="18"/>
        </w:rPr>
        <w:t>%</w:t>
      </w:r>
      <w:r>
        <w:rPr>
          <w:rFonts w:ascii="Verdana" w:hAnsi="Verdana" w:cs="Arial"/>
          <w:sz w:val="18"/>
          <w:szCs w:val="18"/>
        </w:rPr>
        <w:t xml:space="preserve"> </w:t>
      </w:r>
      <w:r w:rsidRPr="00377ABB">
        <w:rPr>
          <w:rFonts w:ascii="Verdana" w:hAnsi="Verdana" w:cs="Arial"/>
          <w:sz w:val="18"/>
          <w:szCs w:val="18"/>
        </w:rPr>
        <w:t>in administrative and support service activities (sector N).</w:t>
      </w:r>
      <w:r>
        <w:rPr>
          <w:rFonts w:ascii="Verdana" w:hAnsi="Verdana" w:cs="Arial"/>
          <w:sz w:val="18"/>
          <w:szCs w:val="18"/>
        </w:rPr>
        <w:t xml:space="preserve"> On the contrary, an increase of 19,1% was displayed</w:t>
      </w:r>
      <w:r w:rsidRPr="00377ABB">
        <w:rPr>
          <w:rFonts w:ascii="Verdana" w:hAnsi="Verdana" w:cs="Arial"/>
          <w:sz w:val="18"/>
          <w:szCs w:val="18"/>
        </w:rPr>
        <w:t xml:space="preserve"> in information </w:t>
      </w:r>
      <w:r>
        <w:rPr>
          <w:rFonts w:ascii="Verdana" w:hAnsi="Verdana" w:cs="Arial"/>
          <w:sz w:val="18"/>
          <w:szCs w:val="18"/>
        </w:rPr>
        <w:t>and communication (sector J), 0,8</w:t>
      </w:r>
      <w:r w:rsidRPr="00377ABB">
        <w:rPr>
          <w:rFonts w:ascii="Verdana" w:hAnsi="Verdana" w:cs="Arial"/>
          <w:sz w:val="18"/>
          <w:szCs w:val="18"/>
        </w:rPr>
        <w:t>% in real es</w:t>
      </w:r>
      <w:r>
        <w:rPr>
          <w:rFonts w:ascii="Verdana" w:hAnsi="Verdana" w:cs="Arial"/>
          <w:sz w:val="18"/>
          <w:szCs w:val="18"/>
        </w:rPr>
        <w:t>tate activities (sector L) and 4,4</w:t>
      </w:r>
      <w:r w:rsidRPr="00377ABB">
        <w:rPr>
          <w:rFonts w:ascii="Verdana" w:hAnsi="Verdana" w:cs="Arial"/>
          <w:sz w:val="18"/>
          <w:szCs w:val="18"/>
        </w:rPr>
        <w:t>% in professional, scientific and techni</w:t>
      </w:r>
      <w:r>
        <w:rPr>
          <w:rFonts w:ascii="Verdana" w:hAnsi="Verdana" w:cs="Arial"/>
          <w:sz w:val="18"/>
          <w:szCs w:val="18"/>
        </w:rPr>
        <w:t>cal activities (sector M).</w:t>
      </w:r>
    </w:p>
    <w:p w14:paraId="2A39310A" w14:textId="77777777" w:rsidR="00D12F51" w:rsidRPr="00377AB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6F1B0EB8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</w:t>
      </w:r>
      <w:r w:rsidRPr="00377ABB">
        <w:rPr>
          <w:rFonts w:ascii="Verdana" w:hAnsi="Verdana" w:cs="Arial"/>
          <w:sz w:val="18"/>
          <w:szCs w:val="18"/>
        </w:rPr>
        <w:t>alue added at current prices r</w:t>
      </w:r>
      <w:r>
        <w:rPr>
          <w:rFonts w:ascii="Verdana" w:hAnsi="Verdana" w:cs="Arial"/>
          <w:sz w:val="18"/>
          <w:szCs w:val="18"/>
        </w:rPr>
        <w:t>ecorded a decrease of 27,0</w:t>
      </w:r>
      <w:r w:rsidRPr="00377ABB">
        <w:rPr>
          <w:rFonts w:ascii="Verdana" w:hAnsi="Verdana" w:cs="Arial"/>
          <w:sz w:val="18"/>
          <w:szCs w:val="18"/>
        </w:rPr>
        <w:t>% to €</w:t>
      </w:r>
      <w:r>
        <w:rPr>
          <w:rFonts w:ascii="Verdana" w:hAnsi="Verdana" w:cs="Arial"/>
          <w:sz w:val="18"/>
          <w:szCs w:val="18"/>
        </w:rPr>
        <w:t>653,4</w:t>
      </w:r>
      <w:r w:rsidRPr="00377ABB">
        <w:rPr>
          <w:rFonts w:ascii="Verdana" w:hAnsi="Verdana" w:cs="Arial"/>
          <w:sz w:val="18"/>
          <w:szCs w:val="18"/>
        </w:rPr>
        <w:t xml:space="preserve"> million in t</w:t>
      </w:r>
      <w:r>
        <w:rPr>
          <w:rFonts w:ascii="Verdana" w:hAnsi="Verdana" w:cs="Arial"/>
          <w:sz w:val="18"/>
          <w:szCs w:val="18"/>
        </w:rPr>
        <w:t>ransportation and storage, 71,1% to €380,9</w:t>
      </w:r>
      <w:r w:rsidRPr="00377ABB">
        <w:rPr>
          <w:rFonts w:ascii="Verdana" w:hAnsi="Verdana" w:cs="Arial"/>
          <w:sz w:val="18"/>
          <w:szCs w:val="18"/>
        </w:rPr>
        <w:t xml:space="preserve"> million in accommodation</w:t>
      </w:r>
      <w:r>
        <w:rPr>
          <w:rFonts w:ascii="Verdana" w:hAnsi="Verdana" w:cs="Arial"/>
          <w:sz w:val="18"/>
          <w:szCs w:val="18"/>
        </w:rPr>
        <w:t xml:space="preserve"> and food service activities, 4,8% to €126,1</w:t>
      </w:r>
      <w:r w:rsidRPr="00377ABB">
        <w:rPr>
          <w:rFonts w:ascii="Verdana" w:hAnsi="Verdana" w:cs="Arial"/>
          <w:sz w:val="18"/>
          <w:szCs w:val="18"/>
        </w:rPr>
        <w:t xml:space="preserve"> mill</w:t>
      </w:r>
      <w:r>
        <w:rPr>
          <w:rFonts w:ascii="Verdana" w:hAnsi="Verdana" w:cs="Arial"/>
          <w:sz w:val="18"/>
          <w:szCs w:val="18"/>
        </w:rPr>
        <w:t>ion in real estate activities and 13,3% to €394,3</w:t>
      </w:r>
      <w:r w:rsidRPr="00377ABB">
        <w:rPr>
          <w:rFonts w:ascii="Verdana" w:hAnsi="Verdana" w:cs="Arial"/>
          <w:sz w:val="18"/>
          <w:szCs w:val="18"/>
        </w:rPr>
        <w:t xml:space="preserve"> million in</w:t>
      </w:r>
      <w:r>
        <w:rPr>
          <w:rFonts w:ascii="Verdana" w:hAnsi="Verdana" w:cs="Arial"/>
          <w:sz w:val="18"/>
          <w:szCs w:val="18"/>
        </w:rPr>
        <w:t xml:space="preserve"> </w:t>
      </w:r>
      <w:r w:rsidRPr="00377ABB">
        <w:rPr>
          <w:rFonts w:ascii="Verdana" w:hAnsi="Verdana" w:cs="Arial"/>
          <w:sz w:val="18"/>
          <w:szCs w:val="18"/>
        </w:rPr>
        <w:t>administrative and support service activities</w:t>
      </w:r>
      <w:r>
        <w:rPr>
          <w:rFonts w:ascii="Verdana" w:hAnsi="Verdana" w:cs="Arial"/>
          <w:sz w:val="18"/>
          <w:szCs w:val="18"/>
        </w:rPr>
        <w:t>. An increase of 18,8% to €1.645,6</w:t>
      </w:r>
      <w:r w:rsidRPr="00377ABB">
        <w:rPr>
          <w:rFonts w:ascii="Verdana" w:hAnsi="Verdana" w:cs="Arial"/>
          <w:sz w:val="18"/>
          <w:szCs w:val="18"/>
        </w:rPr>
        <w:t xml:space="preserve"> million</w:t>
      </w:r>
      <w:r>
        <w:rPr>
          <w:rFonts w:ascii="Verdana" w:hAnsi="Verdana" w:cs="Arial"/>
          <w:sz w:val="18"/>
          <w:szCs w:val="18"/>
        </w:rPr>
        <w:t xml:space="preserve"> was observed</w:t>
      </w:r>
      <w:r w:rsidRPr="00377ABB">
        <w:rPr>
          <w:rFonts w:ascii="Verdana" w:hAnsi="Verdana" w:cs="Arial"/>
          <w:sz w:val="18"/>
          <w:szCs w:val="18"/>
        </w:rPr>
        <w:t xml:space="preserve"> in i</w:t>
      </w:r>
      <w:r>
        <w:rPr>
          <w:rFonts w:ascii="Verdana" w:hAnsi="Verdana" w:cs="Arial"/>
          <w:sz w:val="18"/>
          <w:szCs w:val="18"/>
        </w:rPr>
        <w:t>nformation and communication and 1,8% to €1.398,8</w:t>
      </w:r>
      <w:r w:rsidRPr="00377ABB">
        <w:rPr>
          <w:rFonts w:ascii="Verdana" w:hAnsi="Verdana" w:cs="Arial"/>
          <w:sz w:val="18"/>
          <w:szCs w:val="18"/>
        </w:rPr>
        <w:t xml:space="preserve"> million in</w:t>
      </w:r>
      <w:r w:rsidRPr="007D2DF9">
        <w:rPr>
          <w:rFonts w:ascii="Verdana" w:hAnsi="Verdana" w:cs="Arial"/>
          <w:sz w:val="18"/>
          <w:szCs w:val="18"/>
        </w:rPr>
        <w:t xml:space="preserve"> </w:t>
      </w:r>
      <w:r w:rsidRPr="00377ABB">
        <w:rPr>
          <w:rFonts w:ascii="Verdana" w:hAnsi="Verdana" w:cs="Arial"/>
          <w:sz w:val="18"/>
          <w:szCs w:val="18"/>
        </w:rPr>
        <w:t>professional, scientific</w:t>
      </w:r>
      <w:r>
        <w:rPr>
          <w:rFonts w:ascii="Verdana" w:hAnsi="Verdana" w:cs="Arial"/>
          <w:sz w:val="18"/>
          <w:szCs w:val="18"/>
        </w:rPr>
        <w:t xml:space="preserve"> and technical activities.</w:t>
      </w:r>
    </w:p>
    <w:p w14:paraId="7C108A9F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21A2F79D" w14:textId="0806986D" w:rsidR="00D12F51" w:rsidRPr="00377ABB" w:rsidRDefault="00D12F51" w:rsidP="00904EED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189A0C95" wp14:editId="2CD0C8D8">
            <wp:extent cx="6031865" cy="3648075"/>
            <wp:effectExtent l="0" t="0" r="698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03" cy="364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13A3" w14:textId="77777777" w:rsidR="00D12F51" w:rsidRDefault="00D12F51" w:rsidP="00D12F51">
      <w:pPr>
        <w:jc w:val="center"/>
        <w:rPr>
          <w:rFonts w:ascii="Verdana" w:eastAsia="Malgun Gothic" w:hAnsi="Verdana" w:cs="Arial"/>
          <w:noProof/>
          <w:sz w:val="18"/>
          <w:szCs w:val="18"/>
          <w:lang w:eastAsia="el-GR"/>
        </w:rPr>
      </w:pPr>
    </w:p>
    <w:p w14:paraId="5EB80045" w14:textId="77777777" w:rsidR="00D12F51" w:rsidRPr="005B0126" w:rsidRDefault="00D12F51" w:rsidP="00D12F5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53EF4FC6" w14:textId="4EF4F1CF" w:rsidR="00D12F51" w:rsidRPr="0065711B" w:rsidRDefault="009D650F" w:rsidP="00D12F51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E</w:t>
      </w:r>
      <w:r w:rsidR="00D12F51" w:rsidRPr="00377ABB">
        <w:rPr>
          <w:rFonts w:ascii="Verdana" w:eastAsia="Malgun Gothic" w:hAnsi="Verdana" w:cs="Arial"/>
          <w:sz w:val="18"/>
          <w:szCs w:val="18"/>
        </w:rPr>
        <w:t>mployment in trans</w:t>
      </w:r>
      <w:r w:rsidR="00D12F51">
        <w:rPr>
          <w:rFonts w:ascii="Verdana" w:eastAsia="Malgun Gothic" w:hAnsi="Verdana" w:cs="Arial"/>
          <w:sz w:val="18"/>
          <w:szCs w:val="18"/>
        </w:rPr>
        <w:t xml:space="preserve">portation and storage </w:t>
      </w:r>
      <w:r>
        <w:rPr>
          <w:rFonts w:ascii="Verdana" w:eastAsia="Malgun Gothic" w:hAnsi="Verdana" w:cs="Arial"/>
          <w:sz w:val="18"/>
          <w:szCs w:val="18"/>
        </w:rPr>
        <w:t>stood at</w:t>
      </w:r>
      <w:r w:rsidR="00D12F51">
        <w:rPr>
          <w:rFonts w:ascii="Verdana" w:eastAsia="Malgun Gothic" w:hAnsi="Verdana" w:cs="Arial"/>
          <w:sz w:val="18"/>
          <w:szCs w:val="18"/>
        </w:rPr>
        <w:t xml:space="preserve"> 16.402</w:t>
      </w:r>
      <w:r w:rsidR="00D12F51" w:rsidRPr="00377ABB">
        <w:rPr>
          <w:rFonts w:ascii="Verdana" w:eastAsia="Malgun Gothic" w:hAnsi="Verdana" w:cs="Arial"/>
          <w:sz w:val="18"/>
          <w:szCs w:val="18"/>
        </w:rPr>
        <w:t xml:space="preserve"> persons recordin</w:t>
      </w:r>
      <w:r w:rsidR="00D12F51">
        <w:rPr>
          <w:rFonts w:ascii="Verdana" w:eastAsia="Malgun Gothic" w:hAnsi="Verdana" w:cs="Arial"/>
          <w:sz w:val="18"/>
          <w:szCs w:val="18"/>
        </w:rPr>
        <w:t>g a decrease of 18,4</w:t>
      </w:r>
      <w:r w:rsidR="00D12F51" w:rsidRPr="00377ABB">
        <w:rPr>
          <w:rFonts w:ascii="Verdana" w:eastAsia="Malgun Gothic" w:hAnsi="Verdana" w:cs="Arial"/>
          <w:sz w:val="18"/>
          <w:szCs w:val="18"/>
        </w:rPr>
        <w:t>%, in accommodatio</w:t>
      </w:r>
      <w:r w:rsidR="00D12F51">
        <w:rPr>
          <w:rFonts w:ascii="Verdana" w:eastAsia="Malgun Gothic" w:hAnsi="Verdana" w:cs="Arial"/>
          <w:sz w:val="18"/>
          <w:szCs w:val="18"/>
        </w:rPr>
        <w:t>n and food service activities 36.099 (-29,0</w:t>
      </w:r>
      <w:r w:rsidR="00D12F51" w:rsidRPr="00377ABB">
        <w:rPr>
          <w:rFonts w:ascii="Verdana" w:eastAsia="Malgun Gothic" w:hAnsi="Verdana" w:cs="Arial"/>
          <w:sz w:val="18"/>
          <w:szCs w:val="18"/>
        </w:rPr>
        <w:t>%),</w:t>
      </w:r>
      <w:r w:rsidR="00D12F51">
        <w:rPr>
          <w:rFonts w:ascii="Verdana" w:eastAsia="Malgun Gothic" w:hAnsi="Verdana" w:cs="Arial"/>
          <w:sz w:val="18"/>
          <w:szCs w:val="18"/>
        </w:rPr>
        <w:t xml:space="preserve"> in real estate </w:t>
      </w:r>
      <w:r w:rsidR="00D12F51" w:rsidRPr="00865BD6">
        <w:rPr>
          <w:rFonts w:ascii="Verdana" w:eastAsia="Malgun Gothic" w:hAnsi="Verdana" w:cs="Arial"/>
          <w:sz w:val="18"/>
          <w:szCs w:val="18"/>
        </w:rPr>
        <w:t xml:space="preserve">activities 2.847 (-1,6%) and in administrative and support service activities 13.980 persons (-5,2%). </w:t>
      </w:r>
      <w:r>
        <w:rPr>
          <w:rFonts w:ascii="Verdana" w:eastAsia="Malgun Gothic" w:hAnsi="Verdana" w:cs="Arial"/>
          <w:sz w:val="18"/>
          <w:szCs w:val="18"/>
        </w:rPr>
        <w:t>The number of persons engaged</w:t>
      </w:r>
      <w:r w:rsidR="00D12F51" w:rsidRPr="00865BD6">
        <w:rPr>
          <w:rFonts w:ascii="Verdana" w:eastAsia="Malgun Gothic" w:hAnsi="Verdana" w:cs="Arial"/>
          <w:sz w:val="18"/>
          <w:szCs w:val="18"/>
        </w:rPr>
        <w:t xml:space="preserve"> in information and communication increased to 14.090 (+3,9%) and in professional, scientific and technical activities </w:t>
      </w:r>
      <w:r w:rsidR="00D12F51">
        <w:rPr>
          <w:rFonts w:ascii="Verdana" w:eastAsia="Malgun Gothic" w:hAnsi="Verdana" w:cs="Arial"/>
          <w:sz w:val="18"/>
          <w:szCs w:val="18"/>
        </w:rPr>
        <w:t xml:space="preserve">to </w:t>
      </w:r>
      <w:r w:rsidR="00D12F51" w:rsidRPr="00865BD6">
        <w:rPr>
          <w:rFonts w:ascii="Verdana" w:eastAsia="Malgun Gothic" w:hAnsi="Verdana" w:cs="Arial"/>
          <w:sz w:val="18"/>
          <w:szCs w:val="18"/>
        </w:rPr>
        <w:t>32.884</w:t>
      </w:r>
      <w:r w:rsidR="00D12F51">
        <w:rPr>
          <w:rFonts w:ascii="Verdana" w:eastAsia="Malgun Gothic" w:hAnsi="Verdana" w:cs="Arial"/>
          <w:sz w:val="18"/>
          <w:szCs w:val="18"/>
        </w:rPr>
        <w:t xml:space="preserve"> persons</w:t>
      </w:r>
      <w:r w:rsidR="00D12F51" w:rsidRPr="00865BD6">
        <w:rPr>
          <w:rFonts w:ascii="Verdana" w:eastAsia="Malgun Gothic" w:hAnsi="Verdana" w:cs="Arial"/>
          <w:sz w:val="18"/>
          <w:szCs w:val="18"/>
        </w:rPr>
        <w:t xml:space="preserve"> (+4,0%).</w:t>
      </w:r>
      <w:r w:rsidR="00D12F51" w:rsidRPr="00377ABB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ED450AC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27A5FC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221"/>
        <w:gridCol w:w="993"/>
        <w:gridCol w:w="906"/>
        <w:gridCol w:w="936"/>
        <w:gridCol w:w="867"/>
        <w:gridCol w:w="976"/>
        <w:gridCol w:w="827"/>
      </w:tblGrid>
      <w:tr w:rsidR="00D12F51" w:rsidRPr="00F57A23" w14:paraId="5F233021" w14:textId="77777777" w:rsidTr="00A75A2F">
        <w:trPr>
          <w:trHeight w:hRule="exact" w:val="227"/>
        </w:trPr>
        <w:tc>
          <w:tcPr>
            <w:tcW w:w="9582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61783AC" w14:textId="77777777" w:rsidR="00D12F51" w:rsidRPr="00F57A23" w:rsidRDefault="00D12F51" w:rsidP="00A75A2F">
            <w:pP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Table</w:t>
            </w:r>
          </w:p>
        </w:tc>
      </w:tr>
      <w:tr w:rsidR="00D12F51" w:rsidRPr="00F57A23" w14:paraId="4D90B065" w14:textId="77777777" w:rsidTr="00A75A2F">
        <w:trPr>
          <w:trHeight w:val="720"/>
        </w:trPr>
        <w:tc>
          <w:tcPr>
            <w:tcW w:w="856" w:type="dxa"/>
            <w:vMerge w:val="restart"/>
            <w:tcBorders>
              <w:top w:val="single" w:sz="4" w:space="0" w:color="365F91"/>
              <w:left w:val="nil"/>
              <w:right w:val="nil"/>
            </w:tcBorders>
            <w:shd w:val="clear" w:color="auto" w:fill="auto"/>
            <w:vAlign w:val="center"/>
          </w:tcPr>
          <w:p w14:paraId="63FA493D" w14:textId="77777777" w:rsidR="00D12F51" w:rsidRPr="00F57A23" w:rsidRDefault="00D12F51" w:rsidP="00A75A2F">
            <w:pPr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 w:rsidRPr="00F57A23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NACE</w:t>
            </w:r>
            <w:r w:rsidRPr="00F57A23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Rev</w:t>
            </w:r>
            <w:r w:rsidRPr="00F57A23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.</w:t>
            </w:r>
            <w:r w:rsidRPr="00F57A23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3221" w:type="dxa"/>
            <w:vMerge w:val="restart"/>
            <w:tcBorders>
              <w:top w:val="single" w:sz="4" w:space="0" w:color="365F91"/>
              <w:left w:val="nil"/>
              <w:right w:val="nil"/>
            </w:tcBorders>
            <w:shd w:val="clear" w:color="auto" w:fill="auto"/>
            <w:vAlign w:val="center"/>
          </w:tcPr>
          <w:p w14:paraId="13D88E8B" w14:textId="77777777" w:rsidR="00D12F51" w:rsidRPr="00F57A23" w:rsidRDefault="00D12F51" w:rsidP="00A75A2F">
            <w:pPr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 xml:space="preserve">Economic </w:t>
            </w:r>
            <w:proofErr w:type="spellStart"/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Activity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5E114C1" w14:textId="77777777" w:rsidR="00D12F51" w:rsidRPr="000F5D55" w:rsidRDefault="00D12F51" w:rsidP="00A75A2F">
            <w:pPr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</w:pPr>
            <w:proofErr w:type="spellStart"/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Production</w:t>
            </w:r>
            <w:proofErr w:type="spellEnd"/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Value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6E61B09" w14:textId="77777777" w:rsidR="00D12F51" w:rsidRPr="00E8604A" w:rsidRDefault="00D12F51" w:rsidP="00A75A2F">
            <w:pPr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</w:rPr>
            </w:pPr>
            <w:r w:rsidRPr="00E8604A">
              <w:rPr>
                <w:rFonts w:ascii="Verdana" w:hAnsi="Verdana" w:cs="Arial"/>
                <w:b/>
                <w:color w:val="365F91"/>
                <w:sz w:val="18"/>
                <w:szCs w:val="18"/>
              </w:rPr>
              <w:t xml:space="preserve">Value Added </w:t>
            </w:r>
            <w:r>
              <w:rPr>
                <w:rFonts w:ascii="Verdana" w:hAnsi="Verdana" w:cs="Arial"/>
                <w:b/>
                <w:color w:val="365F91"/>
                <w:sz w:val="18"/>
                <w:szCs w:val="18"/>
              </w:rPr>
              <w:t>at Current Prices</w:t>
            </w:r>
          </w:p>
        </w:tc>
        <w:tc>
          <w:tcPr>
            <w:tcW w:w="1803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4A809E6" w14:textId="77777777" w:rsidR="00D12F51" w:rsidRPr="000F5D55" w:rsidRDefault="00D12F51" w:rsidP="00A75A2F">
            <w:pPr>
              <w:jc w:val="center"/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</w:pPr>
            <w:proofErr w:type="spellStart"/>
            <w:r w:rsidRPr="00972CA0">
              <w:rPr>
                <w:rFonts w:ascii="Verdana" w:hAnsi="Verdana" w:cs="Arial"/>
                <w:b/>
                <w:color w:val="365F91"/>
                <w:sz w:val="18"/>
                <w:szCs w:val="18"/>
                <w:lang w:val="el-GR"/>
              </w:rPr>
              <w:t>Employment</w:t>
            </w:r>
            <w:proofErr w:type="spellEnd"/>
          </w:p>
        </w:tc>
      </w:tr>
      <w:tr w:rsidR="00D12F51" w:rsidRPr="00F57A23" w14:paraId="4E4A93B2" w14:textId="77777777" w:rsidTr="00A75A2F">
        <w:trPr>
          <w:trHeight w:val="431"/>
        </w:trPr>
        <w:tc>
          <w:tcPr>
            <w:tcW w:w="856" w:type="dxa"/>
            <w:vMerge/>
            <w:tcBorders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42CBE57D" w14:textId="77777777" w:rsidR="00D12F51" w:rsidRPr="00F57A23" w:rsidRDefault="00D12F51" w:rsidP="00A75A2F">
            <w:pPr>
              <w:jc w:val="both"/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365F91"/>
              <w:right w:val="nil"/>
            </w:tcBorders>
            <w:shd w:val="clear" w:color="auto" w:fill="auto"/>
          </w:tcPr>
          <w:p w14:paraId="232FBB3D" w14:textId="77777777" w:rsidR="00D12F51" w:rsidRPr="00F57A23" w:rsidRDefault="00D12F51" w:rsidP="00A75A2F">
            <w:pPr>
              <w:jc w:val="both"/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92EC9EE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€</w:t>
            </w:r>
            <w:proofErr w:type="spellStart"/>
            <w:r w:rsidRPr="00E759B0">
              <w:rPr>
                <w:rFonts w:ascii="Verdana" w:hAnsi="Verdana"/>
                <w:color w:val="365F91"/>
                <w:sz w:val="18"/>
                <w:szCs w:val="18"/>
              </w:rPr>
              <w:t>mn</w:t>
            </w:r>
            <w:proofErr w:type="spellEnd"/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365F91"/>
              <w:left w:val="nil"/>
              <w:bottom w:val="single" w:sz="4" w:space="0" w:color="365F91"/>
              <w:right w:val="double" w:sz="4" w:space="0" w:color="365F91"/>
            </w:tcBorders>
            <w:shd w:val="clear" w:color="auto" w:fill="auto"/>
            <w:vAlign w:val="center"/>
          </w:tcPr>
          <w:p w14:paraId="1305A733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%*</w:t>
            </w:r>
          </w:p>
        </w:tc>
        <w:tc>
          <w:tcPr>
            <w:tcW w:w="936" w:type="dxa"/>
            <w:tcBorders>
              <w:top w:val="single" w:sz="4" w:space="0" w:color="365F91"/>
              <w:left w:val="double" w:sz="4" w:space="0" w:color="365F91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AEC0D31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€</w:t>
            </w:r>
            <w:proofErr w:type="spellStart"/>
            <w:r w:rsidRPr="00E759B0">
              <w:rPr>
                <w:rFonts w:ascii="Verdana" w:hAnsi="Verdana"/>
                <w:color w:val="365F91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867" w:type="dxa"/>
            <w:tcBorders>
              <w:top w:val="single" w:sz="4" w:space="0" w:color="365F91"/>
              <w:left w:val="nil"/>
              <w:bottom w:val="single" w:sz="4" w:space="0" w:color="365F91"/>
              <w:right w:val="double" w:sz="4" w:space="0" w:color="365F91"/>
            </w:tcBorders>
            <w:shd w:val="clear" w:color="auto" w:fill="auto"/>
            <w:vAlign w:val="center"/>
          </w:tcPr>
          <w:p w14:paraId="2CC2FD73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%*</w:t>
            </w:r>
          </w:p>
        </w:tc>
        <w:tc>
          <w:tcPr>
            <w:tcW w:w="976" w:type="dxa"/>
            <w:tcBorders>
              <w:top w:val="single" w:sz="4" w:space="0" w:color="365F91"/>
              <w:left w:val="double" w:sz="4" w:space="0" w:color="365F91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F81E6CA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</w:rPr>
              <w:t>Number</w:t>
            </w:r>
          </w:p>
        </w:tc>
        <w:tc>
          <w:tcPr>
            <w:tcW w:w="82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57FAE32" w14:textId="77777777" w:rsidR="00D12F51" w:rsidRPr="00E759B0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E759B0"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%*</w:t>
            </w:r>
          </w:p>
        </w:tc>
      </w:tr>
      <w:tr w:rsidR="00D12F51" w:rsidRPr="00F57A23" w14:paraId="25E202C3" w14:textId="77777777" w:rsidTr="00A75A2F">
        <w:trPr>
          <w:trHeight w:val="578"/>
        </w:trPr>
        <w:tc>
          <w:tcPr>
            <w:tcW w:w="856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0435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2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385A" w14:textId="77777777" w:rsidR="00D12F51" w:rsidRPr="009F0B47" w:rsidRDefault="00D12F51" w:rsidP="00A75A2F">
            <w:pPr>
              <w:rPr>
                <w:rFonts w:ascii="Verdana" w:hAnsi="Verdana"/>
                <w:color w:val="365F91"/>
                <w:sz w:val="18"/>
                <w:szCs w:val="18"/>
              </w:rPr>
            </w:pPr>
            <w:r w:rsidRPr="009F0B47">
              <w:rPr>
                <w:rFonts w:ascii="Verdana" w:hAnsi="Verdana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993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D9908" w14:textId="77777777" w:rsidR="00D12F51" w:rsidRPr="00E97B26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.071,6</w:t>
            </w:r>
          </w:p>
        </w:tc>
        <w:tc>
          <w:tcPr>
            <w:tcW w:w="906" w:type="dxa"/>
            <w:tcBorders>
              <w:top w:val="single" w:sz="4" w:space="0" w:color="365F91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5AB4948E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-9,5</w:t>
            </w:r>
          </w:p>
        </w:tc>
        <w:tc>
          <w:tcPr>
            <w:tcW w:w="936" w:type="dxa"/>
            <w:tcBorders>
              <w:top w:val="single" w:sz="4" w:space="0" w:color="365F91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5CB404D2" w14:textId="77777777" w:rsidR="00D12F51" w:rsidRPr="00E97B26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 xml:space="preserve">   653,4</w:t>
            </w:r>
          </w:p>
        </w:tc>
        <w:tc>
          <w:tcPr>
            <w:tcW w:w="867" w:type="dxa"/>
            <w:tcBorders>
              <w:top w:val="single" w:sz="4" w:space="0" w:color="365F91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0129C216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-27,0</w:t>
            </w:r>
          </w:p>
        </w:tc>
        <w:tc>
          <w:tcPr>
            <w:tcW w:w="976" w:type="dxa"/>
            <w:tcBorders>
              <w:top w:val="single" w:sz="4" w:space="0" w:color="365F91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3A0778A5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16</w:t>
            </w:r>
            <w:r>
              <w:rPr>
                <w:rFonts w:ascii="Verdana" w:hAnsi="Verdana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402</w:t>
            </w:r>
          </w:p>
        </w:tc>
        <w:tc>
          <w:tcPr>
            <w:tcW w:w="827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23B0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-18,4</w:t>
            </w:r>
          </w:p>
        </w:tc>
      </w:tr>
      <w:tr w:rsidR="00D12F51" w:rsidRPr="00F57A23" w14:paraId="35E4A2C7" w14:textId="77777777" w:rsidTr="00A75A2F">
        <w:trPr>
          <w:trHeight w:val="57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0B4ED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9C9E1" w14:textId="77777777" w:rsidR="00D12F51" w:rsidRPr="009F0B47" w:rsidRDefault="00D12F51" w:rsidP="00A75A2F">
            <w:pPr>
              <w:rPr>
                <w:rFonts w:ascii="Verdana" w:hAnsi="Verdana"/>
                <w:color w:val="365F91"/>
                <w:sz w:val="18"/>
                <w:szCs w:val="18"/>
              </w:rPr>
            </w:pPr>
            <w:r w:rsidRPr="009F0B47">
              <w:rPr>
                <w:rFonts w:ascii="Verdana" w:hAnsi="Verdana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29826" w14:textId="77777777" w:rsidR="00D12F51" w:rsidRPr="00E97B26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1.206,2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50D3DAB9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-53,9</w:t>
            </w:r>
          </w:p>
        </w:tc>
        <w:tc>
          <w:tcPr>
            <w:tcW w:w="93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6A7ABADB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380,9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015F40A0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-71,1</w:t>
            </w:r>
          </w:p>
        </w:tc>
        <w:tc>
          <w:tcPr>
            <w:tcW w:w="97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3E3EDE2A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36.099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DD943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-29,0</w:t>
            </w:r>
          </w:p>
        </w:tc>
      </w:tr>
      <w:tr w:rsidR="00D12F51" w:rsidRPr="00F57A23" w14:paraId="75066C3C" w14:textId="77777777" w:rsidTr="00A75A2F">
        <w:trPr>
          <w:trHeight w:val="57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5720E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3AAF" w14:textId="77777777" w:rsidR="00D12F51" w:rsidRPr="009F0B47" w:rsidRDefault="00D12F51" w:rsidP="00A75A2F">
            <w:pPr>
              <w:rPr>
                <w:rFonts w:ascii="Verdana" w:hAnsi="Verdana"/>
                <w:color w:val="365F91"/>
                <w:sz w:val="18"/>
                <w:szCs w:val="18"/>
              </w:rPr>
            </w:pPr>
            <w:r w:rsidRPr="009F0B47">
              <w:rPr>
                <w:rFonts w:ascii="Verdana" w:hAnsi="Verdana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1CE0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5.543,1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757573EB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19,1</w:t>
            </w:r>
          </w:p>
        </w:tc>
        <w:tc>
          <w:tcPr>
            <w:tcW w:w="93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35ED0791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1.645,6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6148268E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18,8</w:t>
            </w:r>
          </w:p>
        </w:tc>
        <w:tc>
          <w:tcPr>
            <w:tcW w:w="97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27FC1078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14.090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A13E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3,9</w:t>
            </w:r>
          </w:p>
        </w:tc>
      </w:tr>
      <w:tr w:rsidR="00D12F51" w:rsidRPr="00F57A23" w14:paraId="6DD4576C" w14:textId="77777777" w:rsidTr="00A75A2F">
        <w:trPr>
          <w:trHeight w:val="57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33A27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AA37C" w14:textId="77777777" w:rsidR="00D12F51" w:rsidRPr="00AC427B" w:rsidRDefault="00D12F51" w:rsidP="00A75A2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ECA88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210,4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7A9C67E5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0,8</w:t>
            </w:r>
          </w:p>
        </w:tc>
        <w:tc>
          <w:tcPr>
            <w:tcW w:w="93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5D4AA7A3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126,1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140E0457" w14:textId="77777777" w:rsidR="00D12F51" w:rsidRPr="00E77155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-4,8</w:t>
            </w:r>
          </w:p>
        </w:tc>
        <w:tc>
          <w:tcPr>
            <w:tcW w:w="97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78C93533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2.847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ADD30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-1,6</w:t>
            </w:r>
          </w:p>
        </w:tc>
      </w:tr>
      <w:tr w:rsidR="00D12F51" w:rsidRPr="00F57A23" w14:paraId="6637EF0D" w14:textId="77777777" w:rsidTr="00A75A2F">
        <w:trPr>
          <w:trHeight w:val="57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B409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98307" w14:textId="77777777" w:rsidR="00D12F51" w:rsidRPr="00AC427B" w:rsidRDefault="00D12F51" w:rsidP="00A75A2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8181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2.560,8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2359032A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4,4</w:t>
            </w:r>
          </w:p>
        </w:tc>
        <w:tc>
          <w:tcPr>
            <w:tcW w:w="93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28DB18CF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1.398,8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double" w:sz="4" w:space="0" w:color="365F91"/>
            </w:tcBorders>
            <w:shd w:val="clear" w:color="auto" w:fill="auto"/>
            <w:vAlign w:val="center"/>
          </w:tcPr>
          <w:p w14:paraId="785379AA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1,8</w:t>
            </w:r>
          </w:p>
        </w:tc>
        <w:tc>
          <w:tcPr>
            <w:tcW w:w="976" w:type="dxa"/>
            <w:tcBorders>
              <w:top w:val="nil"/>
              <w:left w:val="double" w:sz="4" w:space="0" w:color="365F91"/>
              <w:bottom w:val="nil"/>
              <w:right w:val="nil"/>
            </w:tcBorders>
            <w:shd w:val="clear" w:color="auto" w:fill="auto"/>
            <w:vAlign w:val="center"/>
          </w:tcPr>
          <w:p w14:paraId="356F5F00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32</w:t>
            </w:r>
            <w:r>
              <w:rPr>
                <w:rFonts w:ascii="Verdana" w:hAnsi="Verdana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884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60BD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4,0</w:t>
            </w:r>
          </w:p>
        </w:tc>
      </w:tr>
      <w:tr w:rsidR="00D12F51" w:rsidRPr="00F57A23" w14:paraId="325046EB" w14:textId="77777777" w:rsidTr="00A75A2F">
        <w:trPr>
          <w:trHeight w:val="578"/>
        </w:trPr>
        <w:tc>
          <w:tcPr>
            <w:tcW w:w="856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ADAAF00" w14:textId="77777777" w:rsidR="00D12F51" w:rsidRPr="00F57A23" w:rsidRDefault="00D12F51" w:rsidP="00A75A2F">
            <w:pPr>
              <w:jc w:val="center"/>
              <w:rPr>
                <w:rFonts w:ascii="Verdana" w:hAnsi="Verdana"/>
                <w:color w:val="365F91"/>
                <w:sz w:val="18"/>
                <w:szCs w:val="18"/>
                <w:lang w:val="el-GR"/>
              </w:rPr>
            </w:pPr>
            <w:r w:rsidRPr="00F57A23">
              <w:rPr>
                <w:rFonts w:ascii="Verdana" w:hAnsi="Verdana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2784E59" w14:textId="77777777" w:rsidR="00D12F51" w:rsidRPr="00AC427B" w:rsidRDefault="00D12F51" w:rsidP="00A75A2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C625A69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665,1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365F91"/>
              <w:right w:val="double" w:sz="4" w:space="0" w:color="365F91"/>
            </w:tcBorders>
            <w:shd w:val="clear" w:color="auto" w:fill="auto"/>
            <w:vAlign w:val="center"/>
          </w:tcPr>
          <w:p w14:paraId="4433632F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-10,2</w:t>
            </w:r>
          </w:p>
        </w:tc>
        <w:tc>
          <w:tcPr>
            <w:tcW w:w="936" w:type="dxa"/>
            <w:tcBorders>
              <w:top w:val="nil"/>
              <w:left w:val="double" w:sz="4" w:space="0" w:color="365F91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270E848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394,3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365F91"/>
              <w:right w:val="double" w:sz="4" w:space="0" w:color="365F91"/>
            </w:tcBorders>
            <w:shd w:val="clear" w:color="auto" w:fill="auto"/>
            <w:vAlign w:val="center"/>
          </w:tcPr>
          <w:p w14:paraId="408BBC57" w14:textId="77777777" w:rsidR="00D12F51" w:rsidRPr="0058152A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-13,3</w:t>
            </w:r>
          </w:p>
        </w:tc>
        <w:tc>
          <w:tcPr>
            <w:tcW w:w="976" w:type="dxa"/>
            <w:tcBorders>
              <w:top w:val="nil"/>
              <w:left w:val="double" w:sz="4" w:space="0" w:color="365F91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BC53990" w14:textId="77777777" w:rsidR="00D12F51" w:rsidRPr="0058152A" w:rsidRDefault="00D12F51" w:rsidP="00A75A2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/>
                <w:color w:val="365F91"/>
                <w:sz w:val="18"/>
                <w:szCs w:val="18"/>
                <w:lang w:val="el-GR"/>
              </w:rPr>
              <w:t>13.980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83E1FA1" w14:textId="77777777" w:rsidR="00D12F51" w:rsidRPr="00121BF0" w:rsidRDefault="00D12F51" w:rsidP="00A75A2F">
            <w:pPr>
              <w:ind w:right="113"/>
              <w:jc w:val="right"/>
              <w:rPr>
                <w:rFonts w:ascii="Verdana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Arial"/>
                <w:color w:val="365F91"/>
                <w:sz w:val="18"/>
                <w:szCs w:val="18"/>
                <w:lang w:val="el-GR"/>
              </w:rPr>
              <w:t>-5,2</w:t>
            </w:r>
          </w:p>
        </w:tc>
      </w:tr>
    </w:tbl>
    <w:p w14:paraId="4CBD80A2" w14:textId="77777777" w:rsidR="00D12F51" w:rsidRDefault="00D12F51" w:rsidP="00D12F51">
      <w:pPr>
        <w:jc w:val="both"/>
        <w:rPr>
          <w:rFonts w:ascii="Verdana" w:hAnsi="Verdana" w:cs="Arial"/>
          <w:b/>
          <w:i/>
          <w:color w:val="365F91"/>
          <w:sz w:val="16"/>
          <w:szCs w:val="16"/>
        </w:rPr>
      </w:pPr>
      <w:r w:rsidRPr="00972CA0">
        <w:rPr>
          <w:rFonts w:ascii="Verdana" w:hAnsi="Verdana" w:cs="Arial"/>
          <w:b/>
          <w:i/>
          <w:color w:val="365F91"/>
          <w:sz w:val="16"/>
          <w:szCs w:val="16"/>
        </w:rPr>
        <w:t xml:space="preserve">* </w:t>
      </w:r>
      <w:r>
        <w:rPr>
          <w:rFonts w:ascii="Verdana" w:hAnsi="Verdana" w:cs="Arial"/>
          <w:b/>
          <w:i/>
          <w:color w:val="365F91"/>
          <w:sz w:val="16"/>
          <w:szCs w:val="16"/>
        </w:rPr>
        <w:t>Annual</w:t>
      </w:r>
      <w:r w:rsidRPr="00972CA0">
        <w:rPr>
          <w:rFonts w:ascii="Verdana" w:hAnsi="Verdana" w:cs="Arial"/>
          <w:b/>
          <w:i/>
          <w:color w:val="365F91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color w:val="365F91"/>
          <w:sz w:val="16"/>
          <w:szCs w:val="16"/>
        </w:rPr>
        <w:t>percentage</w:t>
      </w:r>
      <w:r w:rsidRPr="00972CA0">
        <w:rPr>
          <w:rFonts w:ascii="Verdana" w:hAnsi="Verdana" w:cs="Arial"/>
          <w:b/>
          <w:i/>
          <w:color w:val="365F91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color w:val="365F91"/>
          <w:sz w:val="16"/>
          <w:szCs w:val="16"/>
        </w:rPr>
        <w:t>change</w:t>
      </w:r>
      <w:r w:rsidRPr="00972CA0">
        <w:rPr>
          <w:rFonts w:ascii="Verdana" w:hAnsi="Verdana" w:cs="Arial"/>
          <w:b/>
          <w:i/>
          <w:color w:val="365F91"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color w:val="365F91"/>
          <w:sz w:val="16"/>
          <w:szCs w:val="16"/>
        </w:rPr>
        <w:t>of 2020 compared to 2019.</w:t>
      </w:r>
    </w:p>
    <w:p w14:paraId="1CFCA9D6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b/>
          <w:i/>
          <w:color w:val="365F91"/>
          <w:sz w:val="16"/>
          <w:szCs w:val="16"/>
        </w:rPr>
        <w:t xml:space="preserve">   </w:t>
      </w:r>
    </w:p>
    <w:p w14:paraId="240C2832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6EDB83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E7DFCC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815939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48A2F4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A05885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70E1CC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3933622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90AD2F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50E793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D0C3D9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F646AD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25BF3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8E51EB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E979A4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EC572D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947F1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FA9C64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28C147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98B83DB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4E31D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DAD14F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79C931F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C4FAC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D5A180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172FC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C4EBF7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9D21F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2D0CA0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4A0E65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17225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A8D41C9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21C896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18F30A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30AA96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90D222C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E4B81E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83157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A09934B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39BED3" w14:textId="60B5D238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4EA0AF" w14:textId="77777777" w:rsidR="001A2739" w:rsidRDefault="001A2739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5A611E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4CAC24" w14:textId="77777777" w:rsidR="00D12F51" w:rsidRPr="00972CA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BECF" w14:textId="77777777" w:rsidR="00D12F51" w:rsidRPr="000B6F3B" w:rsidRDefault="00D12F51" w:rsidP="00D12F51">
      <w:pPr>
        <w:jc w:val="center"/>
        <w:rPr>
          <w:rFonts w:ascii="Verdana" w:hAnsi="Verdana" w:cs="Arial"/>
          <w:b/>
          <w:u w:val="single"/>
        </w:rPr>
      </w:pPr>
      <w:r w:rsidRPr="000B6F3B">
        <w:rPr>
          <w:rFonts w:ascii="Verdana" w:hAnsi="Verdana" w:cs="Arial"/>
          <w:b/>
          <w:u w:val="single"/>
        </w:rPr>
        <w:lastRenderedPageBreak/>
        <w:t>METHODOLOGICAL INFORMATION</w:t>
      </w:r>
    </w:p>
    <w:p w14:paraId="0EC91452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531D50D9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26B3847A" w14:textId="77777777" w:rsidR="00D12F51" w:rsidRPr="000B6F3B" w:rsidRDefault="00D12F51" w:rsidP="00D12F51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B6F3B">
        <w:rPr>
          <w:rFonts w:ascii="Verdana" w:hAnsi="Verdana" w:cs="Arial"/>
          <w:b/>
          <w:sz w:val="18"/>
          <w:szCs w:val="18"/>
          <w:u w:val="single"/>
        </w:rPr>
        <w:t>Definitions</w:t>
      </w:r>
    </w:p>
    <w:p w14:paraId="4FEE0886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79C9CC1A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b/>
          <w:sz w:val="18"/>
          <w:szCs w:val="18"/>
        </w:rPr>
        <w:t xml:space="preserve">Employment </w:t>
      </w:r>
      <w:r w:rsidRPr="000B6F3B">
        <w:rPr>
          <w:rFonts w:ascii="Verdana" w:hAnsi="Verdana" w:cs="Arial"/>
          <w:sz w:val="18"/>
          <w:szCs w:val="18"/>
        </w:rPr>
        <w:t>– The average number of all persons employed during the yea</w:t>
      </w:r>
      <w:r>
        <w:rPr>
          <w:rFonts w:ascii="Verdana" w:hAnsi="Verdana" w:cs="Arial"/>
          <w:sz w:val="18"/>
          <w:szCs w:val="18"/>
        </w:rPr>
        <w:t>r, in full time equivalent terms</w:t>
      </w:r>
      <w:r w:rsidRPr="000B6F3B">
        <w:rPr>
          <w:rFonts w:ascii="Verdana" w:hAnsi="Verdana" w:cs="Arial"/>
          <w:sz w:val="18"/>
          <w:szCs w:val="18"/>
        </w:rPr>
        <w:t>.</w:t>
      </w:r>
    </w:p>
    <w:p w14:paraId="4DA7EFF7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3EADAD93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b/>
          <w:sz w:val="18"/>
          <w:szCs w:val="18"/>
        </w:rPr>
        <w:t>Production value</w:t>
      </w:r>
      <w:r w:rsidRPr="000B6F3B">
        <w:rPr>
          <w:rFonts w:ascii="Verdana" w:hAnsi="Verdana" w:cs="Arial"/>
          <w:sz w:val="18"/>
          <w:szCs w:val="18"/>
        </w:rPr>
        <w:t xml:space="preserve"> –</w:t>
      </w:r>
      <w:r w:rsidRPr="000B6F3B">
        <w:rPr>
          <w:rFonts w:ascii="Verdana" w:hAnsi="Verdana" w:cs="Arial"/>
          <w:b/>
          <w:sz w:val="18"/>
          <w:szCs w:val="18"/>
        </w:rPr>
        <w:t xml:space="preserve"> </w:t>
      </w:r>
      <w:r w:rsidRPr="000B6F3B">
        <w:rPr>
          <w:rFonts w:ascii="Verdana" w:hAnsi="Verdana" w:cs="Arial"/>
          <w:sz w:val="18"/>
          <w:szCs w:val="18"/>
        </w:rPr>
        <w:t>The value of services produced, net receipts from the sale of goods sold in the same condition as purchased and other income.</w:t>
      </w:r>
    </w:p>
    <w:p w14:paraId="27E8A7E3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237D6DE2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b/>
          <w:sz w:val="18"/>
          <w:szCs w:val="18"/>
        </w:rPr>
        <w:t>Value added</w:t>
      </w:r>
      <w:r w:rsidRPr="000B6F3B">
        <w:rPr>
          <w:rFonts w:ascii="Verdana" w:hAnsi="Verdana" w:cs="Arial"/>
          <w:sz w:val="18"/>
          <w:szCs w:val="18"/>
        </w:rPr>
        <w:t xml:space="preserve"> </w:t>
      </w:r>
      <w:r w:rsidRPr="00E8604A">
        <w:rPr>
          <w:rFonts w:ascii="Verdana" w:hAnsi="Verdana" w:cs="Arial"/>
          <w:b/>
          <w:sz w:val="18"/>
          <w:szCs w:val="18"/>
        </w:rPr>
        <w:t>at current prices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0B6F3B">
        <w:rPr>
          <w:rFonts w:ascii="Verdana" w:hAnsi="Verdana" w:cs="Arial"/>
          <w:sz w:val="18"/>
          <w:szCs w:val="18"/>
        </w:rPr>
        <w:t>– Derived by deducting from the production value the production expenses as well as the administrative expenses and rents paid for buildings and machinery.</w:t>
      </w:r>
    </w:p>
    <w:p w14:paraId="1DED3658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304A8D22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37152FE9" w14:textId="77777777" w:rsidR="00D12F51" w:rsidRPr="000B6F3B" w:rsidRDefault="00D12F51" w:rsidP="00D12F51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0B6F3B">
        <w:rPr>
          <w:rFonts w:ascii="Verdana" w:hAnsi="Verdana" w:cs="Arial"/>
          <w:b/>
          <w:sz w:val="18"/>
          <w:szCs w:val="18"/>
          <w:u w:val="single"/>
        </w:rPr>
        <w:t>Coverage and collection of data</w:t>
      </w:r>
    </w:p>
    <w:p w14:paraId="42DBE053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0839B276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sz w:val="18"/>
          <w:szCs w:val="18"/>
        </w:rPr>
        <w:t>The Services and Transport Survey is carried out on an annual basis and covers enterprises with the main activity falling under sections H (Transportation and storage), I (Accommodation and food service activities), J (Information and communication), L (Real estate activities), M (Professional, scientific and technical activities) and N (Administrative and support service activities) of the classification system of economic activities NACE Rev. 2 of the European Union.</w:t>
      </w:r>
    </w:p>
    <w:p w14:paraId="28801855" w14:textId="77777777" w:rsidR="00D12F51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553248F3" w14:textId="028476AF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  <w:r w:rsidRPr="000B6F3B">
        <w:rPr>
          <w:rFonts w:ascii="Verdana" w:hAnsi="Verdana" w:cs="Arial"/>
          <w:sz w:val="18"/>
          <w:szCs w:val="18"/>
        </w:rPr>
        <w:t>The Survey for 20</w:t>
      </w:r>
      <w:r>
        <w:rPr>
          <w:rFonts w:ascii="Verdana" w:hAnsi="Verdana" w:cs="Arial"/>
          <w:sz w:val="18"/>
          <w:szCs w:val="18"/>
        </w:rPr>
        <w:t>20</w:t>
      </w:r>
      <w:r w:rsidRPr="000B6F3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covered a sample of around 2.610</w:t>
      </w:r>
      <w:r w:rsidRPr="000B6F3B">
        <w:rPr>
          <w:rFonts w:ascii="Verdana" w:hAnsi="Verdana" w:cs="Arial"/>
          <w:sz w:val="18"/>
          <w:szCs w:val="18"/>
        </w:rPr>
        <w:t xml:space="preserve"> enterprises. The collection of data by the Statistical Service was done with the use of a special questionnaire.</w:t>
      </w:r>
    </w:p>
    <w:p w14:paraId="0525647A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068C59C4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1DA4676C" w14:textId="77777777" w:rsidR="00D12F51" w:rsidRPr="000B6F3B" w:rsidRDefault="00D12F51" w:rsidP="00D12F51">
      <w:pPr>
        <w:jc w:val="both"/>
        <w:rPr>
          <w:rFonts w:ascii="Verdana" w:hAnsi="Verdana" w:cs="Arial"/>
          <w:sz w:val="18"/>
          <w:szCs w:val="18"/>
        </w:rPr>
      </w:pPr>
    </w:p>
    <w:p w14:paraId="472067B6" w14:textId="77777777" w:rsidR="00D12F51" w:rsidRPr="000B6F3B" w:rsidRDefault="00D12F51" w:rsidP="00D12F51">
      <w:pPr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 w:rsidRPr="000B6F3B">
        <w:rPr>
          <w:rFonts w:ascii="Verdana" w:hAnsi="Verdana" w:cs="Arial"/>
          <w:b/>
          <w:i/>
          <w:sz w:val="18"/>
          <w:szCs w:val="18"/>
        </w:rPr>
        <w:t>For more information:</w:t>
      </w:r>
    </w:p>
    <w:p w14:paraId="413783EA" w14:textId="3205CFA8" w:rsidR="00D12F51" w:rsidRDefault="00D12F51" w:rsidP="00D12F51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 xml:space="preserve">CYSTAT Portal, subtheme </w:t>
      </w:r>
      <w:hyperlink r:id="rId9" w:history="1">
        <w:r w:rsidRPr="005A2429">
          <w:rPr>
            <w:rStyle w:val="Hyperlink"/>
            <w:rFonts w:ascii="Verdana" w:eastAsia="Malgun Gothic" w:hAnsi="Verdana" w:cs="Arial"/>
            <w:sz w:val="18"/>
            <w:szCs w:val="18"/>
          </w:rPr>
          <w:t>Ser</w:t>
        </w:r>
        <w:r w:rsidRPr="005A2429">
          <w:rPr>
            <w:rStyle w:val="Hyperlink"/>
            <w:rFonts w:ascii="Verdana" w:eastAsia="Malgun Gothic" w:hAnsi="Verdana" w:cs="Arial"/>
            <w:sz w:val="18"/>
            <w:szCs w:val="18"/>
          </w:rPr>
          <w:t>v</w:t>
        </w:r>
        <w:r w:rsidRPr="005A2429">
          <w:rPr>
            <w:rStyle w:val="Hyperlink"/>
            <w:rFonts w:ascii="Verdana" w:eastAsia="Malgun Gothic" w:hAnsi="Verdana" w:cs="Arial"/>
            <w:sz w:val="18"/>
            <w:szCs w:val="18"/>
          </w:rPr>
          <w:t>ices</w:t>
        </w:r>
      </w:hyperlink>
      <w:r w:rsidRPr="006253F7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DB6C514" w14:textId="163307EC" w:rsidR="00AF5D4F" w:rsidRDefault="0064335A" w:rsidP="00AF5D4F">
      <w:pPr>
        <w:jc w:val="both"/>
        <w:rPr>
          <w:rFonts w:ascii="Verdana" w:eastAsia="Malgun Gothic" w:hAnsi="Verdana" w:cs="Arial"/>
          <w:bCs/>
          <w:sz w:val="18"/>
          <w:szCs w:val="18"/>
        </w:rPr>
      </w:pPr>
      <w:hyperlink r:id="rId10" w:history="1">
        <w:r w:rsidR="00AF5D4F" w:rsidRPr="00AF5D4F">
          <w:rPr>
            <w:rStyle w:val="Hyperlink"/>
            <w:rFonts w:ascii="Verdana" w:hAnsi="Verdana"/>
            <w:sz w:val="18"/>
            <w:szCs w:val="18"/>
          </w:rPr>
          <w:t>Predefined Ta</w:t>
        </w:r>
        <w:r w:rsidR="00AF5D4F" w:rsidRPr="00AF5D4F">
          <w:rPr>
            <w:rStyle w:val="Hyperlink"/>
            <w:rFonts w:ascii="Verdana" w:hAnsi="Verdana"/>
            <w:sz w:val="18"/>
            <w:szCs w:val="18"/>
          </w:rPr>
          <w:t>b</w:t>
        </w:r>
        <w:r w:rsidR="00AF5D4F" w:rsidRPr="00AF5D4F">
          <w:rPr>
            <w:rStyle w:val="Hyperlink"/>
            <w:rFonts w:ascii="Verdana" w:hAnsi="Verdana"/>
            <w:sz w:val="18"/>
            <w:szCs w:val="18"/>
          </w:rPr>
          <w:t>les</w:t>
        </w:r>
      </w:hyperlink>
      <w:r w:rsidR="00AF5D4F">
        <w:rPr>
          <w:rFonts w:ascii="Verdana" w:hAnsi="Verdana"/>
          <w:sz w:val="18"/>
          <w:szCs w:val="18"/>
        </w:rPr>
        <w:t xml:space="preserve"> (Excel)</w:t>
      </w:r>
    </w:p>
    <w:p w14:paraId="25969ADB" w14:textId="0369EAC6" w:rsidR="001A2739" w:rsidRDefault="001A2739" w:rsidP="001A2739">
      <w:pPr>
        <w:jc w:val="both"/>
        <w:rPr>
          <w:rFonts w:ascii="Verdana" w:hAnsi="Verdana"/>
          <w:sz w:val="18"/>
          <w:szCs w:val="18"/>
        </w:rPr>
      </w:pPr>
      <w:hyperlink r:id="rId11" w:tooltip="Methodological Information" w:history="1">
        <w:r w:rsidRPr="001A2739">
          <w:rPr>
            <w:rStyle w:val="Hyperlink"/>
            <w:rFonts w:ascii="Verdana" w:hAnsi="Verdana"/>
            <w:sz w:val="18"/>
            <w:szCs w:val="18"/>
          </w:rPr>
          <w:t>Methodological Infor</w:t>
        </w:r>
        <w:r w:rsidRPr="001A2739">
          <w:rPr>
            <w:rStyle w:val="Hyperlink"/>
            <w:rFonts w:ascii="Verdana" w:hAnsi="Verdana"/>
            <w:sz w:val="18"/>
            <w:szCs w:val="18"/>
          </w:rPr>
          <w:t>m</w:t>
        </w:r>
        <w:r w:rsidRPr="001A2739">
          <w:rPr>
            <w:rStyle w:val="Hyperlink"/>
            <w:rFonts w:ascii="Verdana" w:hAnsi="Verdana"/>
            <w:sz w:val="18"/>
            <w:szCs w:val="18"/>
          </w:rPr>
          <w:t>ation</w:t>
        </w:r>
      </w:hyperlink>
    </w:p>
    <w:p w14:paraId="09CC76D6" w14:textId="77777777" w:rsidR="00D12F51" w:rsidRDefault="00D12F51" w:rsidP="00D12F51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3F7A685" w14:textId="77777777" w:rsidR="00D12F51" w:rsidRDefault="00D12F51" w:rsidP="00D12F51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4EBBE753" w14:textId="77777777" w:rsidR="00D12F51" w:rsidRPr="000B6F3B" w:rsidRDefault="00D12F51" w:rsidP="00D12F51">
      <w:pPr>
        <w:contextualSpacing/>
        <w:jc w:val="both"/>
        <w:rPr>
          <w:rFonts w:ascii="Verdana" w:hAnsi="Verdana"/>
          <w:sz w:val="18"/>
          <w:szCs w:val="18"/>
        </w:rPr>
      </w:pPr>
      <w:r w:rsidRPr="000B6F3B">
        <w:rPr>
          <w:rFonts w:ascii="Verdana" w:hAnsi="Verdana" w:cs="Arial"/>
          <w:sz w:val="18"/>
          <w:szCs w:val="18"/>
        </w:rPr>
        <w:t>Margarita Georgiou: Tel:</w:t>
      </w:r>
      <w:r w:rsidRPr="000B6F3B">
        <w:rPr>
          <w:rFonts w:ascii="Verdana" w:hAnsi="Verdana" w:cs="Arial"/>
          <w:color w:val="000000"/>
          <w:sz w:val="18"/>
          <w:szCs w:val="18"/>
        </w:rPr>
        <w:t xml:space="preserve"> +35722602217, Email: </w:t>
      </w:r>
      <w:hyperlink r:id="rId12" w:history="1">
        <w:r w:rsidRPr="000B6F3B">
          <w:rPr>
            <w:rFonts w:ascii="Verdana" w:hAnsi="Verdana" w:cs="Arial"/>
            <w:color w:val="0000FF"/>
            <w:sz w:val="18"/>
            <w:szCs w:val="18"/>
            <w:u w:val="single"/>
          </w:rPr>
          <w:t>mgeorgiou@cystat.mof.gov.cy</w:t>
        </w:r>
      </w:hyperlink>
    </w:p>
    <w:p w14:paraId="19A63F09" w14:textId="77777777" w:rsidR="00D12F51" w:rsidRPr="000B6F3B" w:rsidRDefault="00D12F51" w:rsidP="00D12F51">
      <w:pPr>
        <w:contextualSpacing/>
        <w:jc w:val="both"/>
        <w:rPr>
          <w:rFonts w:ascii="Arial" w:hAnsi="Arial" w:cs="Arial"/>
          <w:sz w:val="20"/>
          <w:szCs w:val="20"/>
        </w:rPr>
      </w:pPr>
      <w:r w:rsidRPr="000B6F3B">
        <w:rPr>
          <w:rFonts w:ascii="Verdana" w:hAnsi="Verdana"/>
          <w:sz w:val="18"/>
          <w:szCs w:val="18"/>
        </w:rPr>
        <w:t xml:space="preserve">Kalomyra Frangou: </w:t>
      </w:r>
      <w:r w:rsidRPr="000B6F3B">
        <w:rPr>
          <w:rFonts w:ascii="Verdana" w:hAnsi="Verdana" w:cs="Arial"/>
          <w:color w:val="000000"/>
          <w:sz w:val="18"/>
          <w:szCs w:val="18"/>
        </w:rPr>
        <w:t xml:space="preserve">Tel: +35722602220, Email: </w:t>
      </w:r>
      <w:hyperlink r:id="rId13" w:history="1">
        <w:r w:rsidRPr="000B6F3B">
          <w:rPr>
            <w:rFonts w:ascii="Verdana" w:hAnsi="Verdana" w:cs="Arial"/>
            <w:color w:val="0000FF"/>
            <w:sz w:val="18"/>
            <w:szCs w:val="18"/>
            <w:u w:val="single"/>
          </w:rPr>
          <w:t>kfrangou@cystat.mof.gov.cy</w:t>
        </w:r>
      </w:hyperlink>
    </w:p>
    <w:p w14:paraId="19CCF49E" w14:textId="77777777" w:rsidR="00D12F51" w:rsidRPr="008B5FF0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D11BA6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F1EAFBA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487F82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5091B2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F2099F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467D5D5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E830147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D4E3C6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C32FABE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ACA46BB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084993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1FB7DD8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17A175" w14:textId="77777777" w:rsidR="00D12F51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D99E51C" w14:textId="77777777" w:rsidR="00D12F51" w:rsidRPr="00377ABB" w:rsidRDefault="00D12F51" w:rsidP="00D12F51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F75AAF" w14:textId="77777777" w:rsidR="00D12F51" w:rsidRPr="00B66257" w:rsidRDefault="00D12F51" w:rsidP="00D12F51">
      <w:pPr>
        <w:rPr>
          <w:rFonts w:ascii="Arial" w:hAnsi="Arial" w:cs="Arial"/>
          <w:color w:val="FF0000"/>
          <w:sz w:val="20"/>
          <w:szCs w:val="20"/>
        </w:rPr>
      </w:pPr>
    </w:p>
    <w:p w14:paraId="77EE8272" w14:textId="77777777" w:rsidR="007437AB" w:rsidRPr="00D12F51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663F5B87" w14:textId="5FFBC9C2" w:rsidR="00972CA0" w:rsidRPr="00972CA0" w:rsidRDefault="00463214" w:rsidP="00C26329">
      <w:pPr>
        <w:jc w:val="both"/>
        <w:rPr>
          <w:rFonts w:ascii="Verdana" w:eastAsia="Malgun Gothic" w:hAnsi="Verdana" w:cs="Arial"/>
          <w:sz w:val="18"/>
          <w:szCs w:val="18"/>
        </w:rPr>
      </w:pPr>
      <w:r w:rsidRPr="00D12F51">
        <w:rPr>
          <w:rFonts w:ascii="Arial" w:hAnsi="Arial" w:cs="Arial"/>
          <w:sz w:val="20"/>
          <w:szCs w:val="20"/>
        </w:rPr>
        <w:tab/>
      </w:r>
      <w:r w:rsidRPr="00D12F51">
        <w:rPr>
          <w:rFonts w:ascii="Arial" w:hAnsi="Arial" w:cs="Arial"/>
          <w:sz w:val="18"/>
          <w:szCs w:val="18"/>
        </w:rPr>
        <w:tab/>
      </w:r>
    </w:p>
    <w:p w14:paraId="27A72E99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37447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680B9B0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2D84DB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4E7F67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F89882" w14:textId="77777777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77F316" w14:textId="72B59298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55B7" w14:textId="77777777" w:rsidR="0064335A" w:rsidRDefault="0064335A" w:rsidP="00FB398F">
      <w:r>
        <w:separator/>
      </w:r>
    </w:p>
  </w:endnote>
  <w:endnote w:type="continuationSeparator" w:id="0">
    <w:p w14:paraId="1F9A84A7" w14:textId="77777777" w:rsidR="0064335A" w:rsidRDefault="0064335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F2F" w14:textId="77777777" w:rsidR="00540668" w:rsidRDefault="00540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77777777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proofErr w:type="gram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 Str.</w:t>
    </w:r>
    <w:proofErr w:type="gramEnd"/>
    <w:r w:rsidRPr="00122143">
      <w:rPr>
        <w:rFonts w:ascii="Arial" w:hAnsi="Arial" w:cs="Arial"/>
        <w:i/>
        <w:iCs/>
        <w:sz w:val="16"/>
        <w:szCs w:val="16"/>
      </w:rPr>
      <w:t>, 1444 Nicosia, Cyprus</w:t>
    </w:r>
  </w:p>
  <w:p w14:paraId="5BFB5428" w14:textId="111B6790" w:rsidR="0060256A" w:rsidRPr="00122143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Tel.:  22 602129, </w:t>
    </w:r>
    <w:r w:rsidR="0060256A" w:rsidRPr="00122143">
      <w:rPr>
        <w:rFonts w:ascii="Arial" w:hAnsi="Arial" w:cs="Arial"/>
        <w:i/>
        <w:iCs/>
        <w:sz w:val="16"/>
        <w:szCs w:val="16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65D2" w14:textId="77777777" w:rsidR="0064335A" w:rsidRDefault="0064335A" w:rsidP="00FB398F">
      <w:r>
        <w:separator/>
      </w:r>
    </w:p>
  </w:footnote>
  <w:footnote w:type="continuationSeparator" w:id="0">
    <w:p w14:paraId="2DB684AD" w14:textId="77777777" w:rsidR="0064335A" w:rsidRDefault="0064335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21CC" w14:textId="77777777" w:rsidR="00540668" w:rsidRDefault="00540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7777777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364377" w:rsidRPr="007C1520">
      <w:rPr>
        <w:rFonts w:ascii="Arial" w:hAnsi="Arial" w:cs="Arial"/>
        <w:b/>
        <w:bCs/>
        <w:sz w:val="20"/>
        <w:szCs w:val="20"/>
        <w:lang w:val="en-US"/>
      </w:rPr>
      <w:t>MINISTRY OF FINANCE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174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6F3B"/>
    <w:rsid w:val="000C4E72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0C90"/>
    <w:rsid w:val="00106852"/>
    <w:rsid w:val="00110F9D"/>
    <w:rsid w:val="00114A67"/>
    <w:rsid w:val="00122143"/>
    <w:rsid w:val="001253B6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39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522BB"/>
    <w:rsid w:val="00352F6C"/>
    <w:rsid w:val="00353175"/>
    <w:rsid w:val="003556EA"/>
    <w:rsid w:val="00364377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22F5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9C2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A4F"/>
    <w:rsid w:val="00567D64"/>
    <w:rsid w:val="00572BC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335A"/>
    <w:rsid w:val="00644507"/>
    <w:rsid w:val="00646880"/>
    <w:rsid w:val="00647D2A"/>
    <w:rsid w:val="006537BB"/>
    <w:rsid w:val="0065711B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B0867"/>
    <w:rsid w:val="007B1AC1"/>
    <w:rsid w:val="007B5A08"/>
    <w:rsid w:val="007B693D"/>
    <w:rsid w:val="007D0338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04EED"/>
    <w:rsid w:val="00914A2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3A82"/>
    <w:rsid w:val="00972912"/>
    <w:rsid w:val="00972CA0"/>
    <w:rsid w:val="00976D1F"/>
    <w:rsid w:val="00981C81"/>
    <w:rsid w:val="00985128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650F"/>
    <w:rsid w:val="009D79D2"/>
    <w:rsid w:val="009E247C"/>
    <w:rsid w:val="009E31B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544B7"/>
    <w:rsid w:val="00A618CF"/>
    <w:rsid w:val="00A62770"/>
    <w:rsid w:val="00A62EEB"/>
    <w:rsid w:val="00A660FF"/>
    <w:rsid w:val="00A6625A"/>
    <w:rsid w:val="00A66266"/>
    <w:rsid w:val="00A73395"/>
    <w:rsid w:val="00A77311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292F"/>
    <w:rsid w:val="00AC5E9A"/>
    <w:rsid w:val="00AC704B"/>
    <w:rsid w:val="00AD553E"/>
    <w:rsid w:val="00AD5848"/>
    <w:rsid w:val="00AE5ADA"/>
    <w:rsid w:val="00AF5D4F"/>
    <w:rsid w:val="00AF6145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5A7C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2F51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22F4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74ADF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frangou@cystat.mof.gov.c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georgiou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1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ystat.gov.cy/en/KeyFiguresList?s=5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17</cp:revision>
  <cp:lastPrinted>2022-07-06T08:19:00Z</cp:lastPrinted>
  <dcterms:created xsi:type="dcterms:W3CDTF">2022-06-09T08:02:00Z</dcterms:created>
  <dcterms:modified xsi:type="dcterms:W3CDTF">2022-07-06T08:20:00Z</dcterms:modified>
</cp:coreProperties>
</file>