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7D56" w14:textId="77777777" w:rsidR="00E217F0" w:rsidRDefault="00E217F0" w:rsidP="00645125">
      <w:pPr>
        <w:jc w:val="right"/>
        <w:rPr>
          <w:rFonts w:ascii="Verdana" w:hAnsi="Verdana" w:cs="Arial"/>
          <w:color w:val="000000"/>
          <w:sz w:val="18"/>
          <w:szCs w:val="18"/>
          <w:lang w:val="el-GR"/>
        </w:rPr>
      </w:pPr>
    </w:p>
    <w:p w14:paraId="270AF4E7" w14:textId="1798754B" w:rsidR="00645125" w:rsidRPr="00645125" w:rsidRDefault="00AB7F4E" w:rsidP="00645125">
      <w:pPr>
        <w:jc w:val="right"/>
        <w:rPr>
          <w:rFonts w:ascii="Verdana" w:eastAsia="Malgun Gothic" w:hAnsi="Verdana" w:cs="Arial"/>
          <w:color w:val="000000"/>
          <w:sz w:val="18"/>
          <w:szCs w:val="18"/>
          <w:lang w:val="el-GR"/>
        </w:rPr>
      </w:pPr>
      <w:r>
        <w:rPr>
          <w:rFonts w:ascii="Verdana" w:hAnsi="Verdana" w:cs="Arial"/>
          <w:color w:val="000000"/>
          <w:sz w:val="18"/>
          <w:szCs w:val="18"/>
          <w:lang w:val="el-GR"/>
        </w:rPr>
        <w:t>1</w:t>
      </w:r>
      <w:r w:rsidR="008E7F84" w:rsidRPr="001974D5">
        <w:rPr>
          <w:rFonts w:ascii="Verdana" w:hAnsi="Verdana" w:cs="Arial"/>
          <w:color w:val="000000"/>
          <w:sz w:val="18"/>
          <w:szCs w:val="18"/>
          <w:lang w:val="el-GR"/>
        </w:rPr>
        <w:t>1</w:t>
      </w:r>
      <w:r w:rsidR="00645125" w:rsidRPr="00467439">
        <w:rPr>
          <w:rFonts w:ascii="Verdana" w:hAnsi="Verdana" w:cs="Arial"/>
          <w:color w:val="000000"/>
          <w:sz w:val="18"/>
          <w:szCs w:val="18"/>
          <w:lang w:val="el-GR"/>
        </w:rPr>
        <w:t xml:space="preserve"> Ιουλίου, 202</w:t>
      </w:r>
      <w:r>
        <w:rPr>
          <w:rFonts w:ascii="Verdana" w:hAnsi="Verdana" w:cs="Arial"/>
          <w:color w:val="000000"/>
          <w:sz w:val="18"/>
          <w:szCs w:val="18"/>
          <w:lang w:val="el-GR"/>
        </w:rPr>
        <w:t>3</w:t>
      </w:r>
    </w:p>
    <w:p w14:paraId="6A61F9E3" w14:textId="77777777" w:rsidR="00645125" w:rsidRPr="00915B05" w:rsidRDefault="00645125" w:rsidP="00645125">
      <w:pPr>
        <w:spacing w:line="276" w:lineRule="auto"/>
        <w:ind w:left="6480" w:firstLine="720"/>
        <w:rPr>
          <w:rFonts w:ascii="Verdana" w:hAnsi="Verdana" w:cs="Arial"/>
          <w:sz w:val="18"/>
          <w:szCs w:val="18"/>
          <w:lang w:val="el-GR"/>
        </w:rPr>
      </w:pPr>
    </w:p>
    <w:p w14:paraId="4BBC6D9A" w14:textId="77777777" w:rsidR="00645125" w:rsidRPr="00915B05" w:rsidRDefault="00645125" w:rsidP="00645125">
      <w:pPr>
        <w:spacing w:line="276" w:lineRule="auto"/>
        <w:jc w:val="center"/>
        <w:rPr>
          <w:rFonts w:ascii="Verdana" w:hAnsi="Verdana" w:cs="Arial"/>
          <w:b/>
          <w:sz w:val="24"/>
          <w:szCs w:val="24"/>
          <w:lang w:val="el-GR"/>
        </w:rPr>
      </w:pPr>
      <w:r w:rsidRPr="00915B05">
        <w:rPr>
          <w:rFonts w:ascii="Verdana" w:hAnsi="Verdana" w:cs="Arial"/>
          <w:b/>
          <w:sz w:val="24"/>
          <w:szCs w:val="24"/>
          <w:lang w:val="el-GR"/>
        </w:rPr>
        <w:t>ΔΕΛΤΙΟ ΤΥΠΟΥ</w:t>
      </w:r>
    </w:p>
    <w:p w14:paraId="16C59B9E" w14:textId="77777777" w:rsidR="00645125" w:rsidRDefault="00645125" w:rsidP="00645125">
      <w:pPr>
        <w:spacing w:line="276" w:lineRule="auto"/>
        <w:rPr>
          <w:rFonts w:ascii="Verdana" w:hAnsi="Verdana" w:cs="Arial"/>
          <w:bCs/>
          <w:sz w:val="18"/>
          <w:szCs w:val="18"/>
          <w:lang w:val="el-GR"/>
        </w:rPr>
      </w:pPr>
    </w:p>
    <w:p w14:paraId="03CCFBEE" w14:textId="77777777" w:rsidR="00E217F0" w:rsidRPr="00E217F0" w:rsidRDefault="00E217F0" w:rsidP="00645125">
      <w:pPr>
        <w:spacing w:line="276" w:lineRule="auto"/>
        <w:rPr>
          <w:rFonts w:ascii="Verdana" w:hAnsi="Verdana" w:cs="Arial"/>
          <w:bCs/>
          <w:sz w:val="18"/>
          <w:szCs w:val="18"/>
          <w:lang w:val="el-GR"/>
        </w:rPr>
      </w:pPr>
    </w:p>
    <w:p w14:paraId="35EFBABD" w14:textId="77E004F1" w:rsidR="00645125" w:rsidRPr="006260B8" w:rsidRDefault="00645125" w:rsidP="002E7399">
      <w:pPr>
        <w:spacing w:line="276" w:lineRule="auto"/>
        <w:rPr>
          <w:rFonts w:ascii="Verdana" w:hAnsi="Verdana" w:cs="Arial"/>
          <w:u w:val="single"/>
          <w:lang w:val="el-GR"/>
        </w:rPr>
      </w:pPr>
      <w:r w:rsidRPr="00915B05">
        <w:rPr>
          <w:rFonts w:ascii="Verdana" w:hAnsi="Verdana" w:cs="Arial"/>
          <w:u w:val="single"/>
          <w:lang w:val="el-GR"/>
        </w:rPr>
        <w:t>ΑΠΟΤΕΛΕΣΜΑΤΑ ΤΗΣ ΕΡΕΥΝΑΣ ΥΠΗΡΕΣΙΩΝ ΚΑΙ ΜΕΤΑΦΟΡΩΝ 20</w:t>
      </w:r>
      <w:r>
        <w:rPr>
          <w:rFonts w:ascii="Verdana" w:hAnsi="Verdana" w:cs="Arial"/>
          <w:u w:val="single"/>
          <w:lang w:val="el-GR"/>
        </w:rPr>
        <w:t>2</w:t>
      </w:r>
      <w:r w:rsidR="006260B8" w:rsidRPr="006260B8">
        <w:rPr>
          <w:rFonts w:ascii="Verdana" w:hAnsi="Verdana" w:cs="Arial"/>
          <w:u w:val="single"/>
          <w:lang w:val="el-GR"/>
        </w:rPr>
        <w:t>1</w:t>
      </w:r>
    </w:p>
    <w:p w14:paraId="48DBC34B" w14:textId="77777777" w:rsidR="00645125" w:rsidRDefault="00645125" w:rsidP="002E7399">
      <w:pPr>
        <w:jc w:val="center"/>
        <w:rPr>
          <w:rFonts w:ascii="Verdana" w:hAnsi="Verdana" w:cs="Arial"/>
          <w:sz w:val="18"/>
          <w:szCs w:val="18"/>
          <w:lang w:val="el-GR"/>
        </w:rPr>
      </w:pPr>
    </w:p>
    <w:p w14:paraId="38028462" w14:textId="1625B3B0" w:rsidR="002E7399" w:rsidRPr="00042B55" w:rsidRDefault="002E7399" w:rsidP="002E7399">
      <w:pPr>
        <w:jc w:val="center"/>
        <w:rPr>
          <w:rFonts w:ascii="Verdana" w:hAnsi="Verdana" w:cs="Arial"/>
          <w:b/>
          <w:bCs/>
          <w:lang w:val="el-GR"/>
        </w:rPr>
      </w:pPr>
      <w:r w:rsidRPr="00042B55">
        <w:rPr>
          <w:rFonts w:ascii="Verdana" w:hAnsi="Verdana" w:cs="Arial"/>
          <w:b/>
          <w:bCs/>
          <w:lang w:val="el-GR"/>
        </w:rPr>
        <w:t>Άνοδος σε όλους τους τομείς οικονομικής δραστηριότητας</w:t>
      </w:r>
    </w:p>
    <w:p w14:paraId="0A8AEA10" w14:textId="77777777" w:rsidR="002E7399" w:rsidRPr="00915B05" w:rsidRDefault="002E7399" w:rsidP="002E7399">
      <w:pPr>
        <w:jc w:val="center"/>
        <w:rPr>
          <w:rFonts w:ascii="Verdana" w:hAnsi="Verdana" w:cs="Arial"/>
          <w:sz w:val="18"/>
          <w:szCs w:val="18"/>
          <w:u w:val="single"/>
          <w:lang w:val="el-GR"/>
        </w:rPr>
      </w:pPr>
    </w:p>
    <w:p w14:paraId="31DFFDE5" w14:textId="32243D1D" w:rsidR="00645125" w:rsidRPr="000A67A2" w:rsidRDefault="00645125" w:rsidP="00645125">
      <w:pPr>
        <w:jc w:val="both"/>
        <w:rPr>
          <w:rFonts w:ascii="Verdana" w:hAnsi="Verdana" w:cs="Arial"/>
          <w:color w:val="000000"/>
          <w:sz w:val="18"/>
          <w:szCs w:val="18"/>
          <w:lang w:val="el-GR"/>
        </w:rPr>
      </w:pPr>
      <w:r w:rsidRPr="000A67A2">
        <w:rPr>
          <w:rFonts w:ascii="Verdana" w:hAnsi="Verdana" w:cs="Arial"/>
          <w:color w:val="000000"/>
          <w:sz w:val="18"/>
          <w:szCs w:val="18"/>
          <w:lang w:val="el-GR"/>
        </w:rPr>
        <w:t>Σύμφωνα με τ</w:t>
      </w:r>
      <w:r w:rsidR="00136394" w:rsidRPr="000A67A2">
        <w:rPr>
          <w:rFonts w:ascii="Verdana" w:hAnsi="Verdana" w:cs="Arial"/>
          <w:color w:val="000000"/>
          <w:sz w:val="18"/>
          <w:szCs w:val="18"/>
          <w:lang w:val="el-GR"/>
        </w:rPr>
        <w:t xml:space="preserve">α </w:t>
      </w:r>
      <w:r w:rsidRPr="000A67A2">
        <w:rPr>
          <w:rFonts w:ascii="Verdana" w:hAnsi="Verdana" w:cs="Arial"/>
          <w:color w:val="000000"/>
          <w:sz w:val="18"/>
          <w:szCs w:val="18"/>
          <w:lang w:val="el-GR"/>
        </w:rPr>
        <w:t xml:space="preserve">αποτελέσματα της Έρευνας Υπηρεσιών και Μεταφορών, </w:t>
      </w:r>
      <w:r w:rsidRPr="000A67A2">
        <w:rPr>
          <w:rFonts w:ascii="Verdana" w:hAnsi="Verdana" w:cs="Arial"/>
          <w:sz w:val="18"/>
          <w:szCs w:val="18"/>
          <w:lang w:val="el-GR"/>
        </w:rPr>
        <w:t xml:space="preserve">ο τριτογενής τομέας της οικονομίας </w:t>
      </w:r>
      <w:r w:rsidR="00AB7F4E" w:rsidRPr="000A67A2">
        <w:rPr>
          <w:rFonts w:ascii="Verdana" w:hAnsi="Verdana" w:cs="Arial"/>
          <w:sz w:val="18"/>
          <w:szCs w:val="18"/>
          <w:lang w:val="el-GR"/>
        </w:rPr>
        <w:t>κατέγραψε θετική πορεία</w:t>
      </w:r>
      <w:r w:rsidR="00DF3B23" w:rsidRPr="000A67A2">
        <w:rPr>
          <w:rFonts w:ascii="Verdana" w:hAnsi="Verdana" w:cs="Arial"/>
          <w:color w:val="000000"/>
          <w:sz w:val="18"/>
          <w:szCs w:val="18"/>
          <w:lang w:val="el-GR"/>
        </w:rPr>
        <w:t xml:space="preserve"> το</w:t>
      </w:r>
      <w:r w:rsidRPr="000A67A2">
        <w:rPr>
          <w:rFonts w:ascii="Verdana" w:hAnsi="Verdana" w:cs="Arial"/>
          <w:color w:val="000000"/>
          <w:sz w:val="18"/>
          <w:szCs w:val="18"/>
          <w:lang w:val="el-GR"/>
        </w:rPr>
        <w:t xml:space="preserve"> 202</w:t>
      </w:r>
      <w:r w:rsidR="00AB7F4E" w:rsidRPr="000A67A2">
        <w:rPr>
          <w:rFonts w:ascii="Verdana" w:hAnsi="Verdana" w:cs="Arial"/>
          <w:color w:val="000000"/>
          <w:sz w:val="18"/>
          <w:szCs w:val="18"/>
          <w:lang w:val="el-GR"/>
        </w:rPr>
        <w:t>1</w:t>
      </w:r>
      <w:r w:rsidRPr="000A67A2">
        <w:rPr>
          <w:rFonts w:ascii="Verdana" w:hAnsi="Verdana" w:cs="Arial"/>
          <w:color w:val="000000"/>
          <w:sz w:val="18"/>
          <w:szCs w:val="18"/>
          <w:lang w:val="el-GR"/>
        </w:rPr>
        <w:t xml:space="preserve"> σε σχέση με το 20</w:t>
      </w:r>
      <w:r w:rsidR="00AB7F4E" w:rsidRPr="000A67A2">
        <w:rPr>
          <w:rFonts w:ascii="Verdana" w:hAnsi="Verdana" w:cs="Arial"/>
          <w:color w:val="000000"/>
          <w:sz w:val="18"/>
          <w:szCs w:val="18"/>
          <w:lang w:val="el-GR"/>
        </w:rPr>
        <w:t>20</w:t>
      </w:r>
      <w:r w:rsidR="00DF3B23" w:rsidRPr="000A67A2">
        <w:rPr>
          <w:rFonts w:ascii="Verdana" w:hAnsi="Verdana" w:cs="Arial"/>
          <w:color w:val="000000"/>
          <w:sz w:val="18"/>
          <w:szCs w:val="18"/>
          <w:lang w:val="el-GR"/>
        </w:rPr>
        <w:t>.</w:t>
      </w:r>
    </w:p>
    <w:p w14:paraId="3D4893EB" w14:textId="77777777" w:rsidR="0052231C" w:rsidRPr="000A67A2" w:rsidRDefault="0052231C" w:rsidP="00136394">
      <w:pPr>
        <w:jc w:val="both"/>
        <w:rPr>
          <w:rFonts w:ascii="Verdana" w:hAnsi="Verdana"/>
          <w:noProof/>
          <w:sz w:val="18"/>
          <w:szCs w:val="18"/>
          <w:lang w:val="el-GR"/>
        </w:rPr>
      </w:pPr>
    </w:p>
    <w:p w14:paraId="01BDF13C" w14:textId="6FC87574" w:rsidR="00136394" w:rsidRPr="000A67A2" w:rsidRDefault="00136394" w:rsidP="00136394">
      <w:pPr>
        <w:jc w:val="both"/>
        <w:rPr>
          <w:rFonts w:ascii="Verdana" w:eastAsia="Times New Roman" w:hAnsi="Verdana" w:cs="Calibri"/>
          <w:sz w:val="18"/>
          <w:szCs w:val="18"/>
          <w:lang w:val="el-GR" w:eastAsia="en-CY"/>
        </w:rPr>
      </w:pPr>
      <w:r w:rsidRPr="000A67A2">
        <w:rPr>
          <w:rFonts w:ascii="Verdana" w:hAnsi="Verdana" w:cs="Arial"/>
          <w:color w:val="000000"/>
          <w:sz w:val="18"/>
          <w:szCs w:val="18"/>
          <w:lang w:val="el-GR"/>
        </w:rPr>
        <w:t xml:space="preserve">Συγκεκριμένα, </w:t>
      </w:r>
      <w:r w:rsidRPr="000A67A2">
        <w:rPr>
          <w:rFonts w:ascii="Verdana" w:hAnsi="Verdana" w:cs="Arial"/>
          <w:sz w:val="18"/>
          <w:szCs w:val="18"/>
          <w:lang w:val="el-GR"/>
        </w:rPr>
        <w:t>η αξία παραγωγής το 2021 παρουσίασε αύξηση 20,5% στις μεταφορές και αποθήκευση (τομέας Η), 74,9% στις δραστηριότητες υπηρεσιών παροχής καταλύματος και εστίασης (τομέας Ι), 34,8% στην ενημέρωση και επικοινωνία (τομέας J), 2</w:t>
      </w:r>
      <w:r w:rsidR="008D7BC1" w:rsidRPr="000A67A2">
        <w:rPr>
          <w:rFonts w:ascii="Verdana" w:hAnsi="Verdana" w:cs="Arial"/>
          <w:sz w:val="18"/>
          <w:szCs w:val="18"/>
          <w:lang w:val="el-GR"/>
        </w:rPr>
        <w:t>4</w:t>
      </w:r>
      <w:r w:rsidRPr="000A67A2">
        <w:rPr>
          <w:rFonts w:ascii="Verdana" w:hAnsi="Verdana" w:cs="Arial"/>
          <w:sz w:val="18"/>
          <w:szCs w:val="18"/>
          <w:lang w:val="el-GR"/>
        </w:rPr>
        <w:t xml:space="preserve">,8% στη διαχείριση ακίνητης περιουσίας (τομέας </w:t>
      </w:r>
      <w:r w:rsidRPr="000A67A2">
        <w:rPr>
          <w:rFonts w:ascii="Verdana" w:hAnsi="Verdana" w:cs="Arial"/>
          <w:sz w:val="18"/>
          <w:szCs w:val="18"/>
        </w:rPr>
        <w:t>L</w:t>
      </w:r>
      <w:r w:rsidRPr="000A67A2">
        <w:rPr>
          <w:rFonts w:ascii="Verdana" w:hAnsi="Verdana" w:cs="Arial"/>
          <w:sz w:val="18"/>
          <w:szCs w:val="18"/>
          <w:lang w:val="el-GR"/>
        </w:rPr>
        <w:t>) , 20,7% στις επαγγελματικές, επιστημονικές και τεχνικές δραστηριότητες (τομέας Μ), 35,1% στις διοικητικές και υποστηρικτικές δραστηριότητες (τομέας Ν)</w:t>
      </w:r>
      <w:r w:rsidR="00775DCB" w:rsidRPr="000A67A2">
        <w:rPr>
          <w:rFonts w:ascii="Verdana" w:hAnsi="Verdana" w:cs="Arial"/>
          <w:sz w:val="18"/>
          <w:szCs w:val="18"/>
          <w:lang w:val="el-GR"/>
        </w:rPr>
        <w:t>,</w:t>
      </w:r>
      <w:r w:rsidRPr="000A67A2">
        <w:rPr>
          <w:rFonts w:ascii="Verdana" w:hAnsi="Verdana" w:cs="Arial"/>
          <w:sz w:val="18"/>
          <w:szCs w:val="18"/>
          <w:lang w:val="el-GR"/>
        </w:rPr>
        <w:t xml:space="preserve"> 7,2% στην εκπαίδευση (τομέας </w:t>
      </w:r>
      <w:r w:rsidRPr="000A67A2">
        <w:rPr>
          <w:rFonts w:ascii="Verdana" w:hAnsi="Verdana" w:cs="Arial"/>
          <w:sz w:val="18"/>
          <w:szCs w:val="18"/>
        </w:rPr>
        <w:t>P</w:t>
      </w:r>
      <w:r w:rsidRPr="000A67A2">
        <w:rPr>
          <w:rFonts w:ascii="Verdana" w:hAnsi="Verdana" w:cs="Arial"/>
          <w:sz w:val="18"/>
          <w:szCs w:val="18"/>
          <w:lang w:val="el-GR"/>
        </w:rPr>
        <w:t xml:space="preserve">), 20,2% στις </w:t>
      </w:r>
      <w:r w:rsidRPr="000A67A2">
        <w:rPr>
          <w:rFonts w:ascii="Verdana" w:eastAsia="Times New Roman" w:hAnsi="Verdana" w:cs="Calibri"/>
          <w:sz w:val="18"/>
          <w:szCs w:val="18"/>
          <w:lang w:val="el-GR" w:eastAsia="en-CY"/>
        </w:rPr>
        <w:t>δραστηριότητες σχετικές με την ανθρώπινη υγεία και την κοινωνική μέριμνα</w:t>
      </w:r>
      <w:r w:rsidR="00815936" w:rsidRPr="000A67A2">
        <w:rPr>
          <w:rFonts w:ascii="Verdana" w:hAnsi="Verdana" w:cs="Arial"/>
          <w:sz w:val="18"/>
          <w:szCs w:val="18"/>
          <w:lang w:val="el-GR"/>
        </w:rPr>
        <w:t xml:space="preserve"> </w:t>
      </w:r>
      <w:r w:rsidRPr="000A67A2">
        <w:rPr>
          <w:rFonts w:ascii="Verdana" w:hAnsi="Verdana" w:cs="Arial"/>
          <w:sz w:val="18"/>
          <w:szCs w:val="18"/>
          <w:lang w:val="el-GR"/>
        </w:rPr>
        <w:t xml:space="preserve">(τομέας </w:t>
      </w:r>
      <w:r w:rsidRPr="000A67A2">
        <w:rPr>
          <w:rFonts w:ascii="Verdana" w:hAnsi="Verdana" w:cs="Arial"/>
          <w:sz w:val="18"/>
          <w:szCs w:val="18"/>
        </w:rPr>
        <w:t>Q</w:t>
      </w:r>
      <w:r w:rsidRPr="000A67A2">
        <w:rPr>
          <w:rFonts w:ascii="Verdana" w:hAnsi="Verdana" w:cs="Arial"/>
          <w:sz w:val="18"/>
          <w:szCs w:val="18"/>
          <w:lang w:val="el-GR"/>
        </w:rPr>
        <w:t xml:space="preserve">), 24,8% στις </w:t>
      </w:r>
      <w:r w:rsidRPr="000A67A2">
        <w:rPr>
          <w:rFonts w:ascii="Verdana" w:eastAsia="Times New Roman" w:hAnsi="Verdana" w:cs="Calibri"/>
          <w:sz w:val="18"/>
          <w:szCs w:val="18"/>
          <w:lang w:val="el-GR" w:eastAsia="en-CY"/>
        </w:rPr>
        <w:t>τέχνες, διασκέδαση και ψυχαγωγία</w:t>
      </w:r>
      <w:r w:rsidRPr="000A67A2">
        <w:rPr>
          <w:rFonts w:ascii="Verdana" w:hAnsi="Verdana" w:cs="Arial"/>
          <w:sz w:val="18"/>
          <w:szCs w:val="18"/>
          <w:lang w:val="el-GR"/>
        </w:rPr>
        <w:t xml:space="preserve"> (τομέας </w:t>
      </w:r>
      <w:r w:rsidRPr="000A67A2">
        <w:rPr>
          <w:rFonts w:ascii="Verdana" w:hAnsi="Verdana" w:cs="Arial"/>
          <w:sz w:val="18"/>
          <w:szCs w:val="18"/>
        </w:rPr>
        <w:t>R</w:t>
      </w:r>
      <w:r w:rsidRPr="000A67A2">
        <w:rPr>
          <w:rFonts w:ascii="Verdana" w:hAnsi="Verdana" w:cs="Arial"/>
          <w:sz w:val="18"/>
          <w:szCs w:val="18"/>
          <w:lang w:val="el-GR"/>
        </w:rPr>
        <w:t xml:space="preserve">) και 19,6% στις </w:t>
      </w:r>
      <w:r w:rsidRPr="000A67A2">
        <w:rPr>
          <w:rFonts w:ascii="Verdana" w:eastAsia="Times New Roman" w:hAnsi="Verdana" w:cs="Calibri"/>
          <w:sz w:val="18"/>
          <w:szCs w:val="18"/>
          <w:lang w:val="el-GR" w:eastAsia="en-CY"/>
        </w:rPr>
        <w:t xml:space="preserve">άλλες δραστηριότητες παροχής υπηρεσιών (τομέας </w:t>
      </w:r>
      <w:r w:rsidRPr="000A67A2">
        <w:rPr>
          <w:rFonts w:ascii="Verdana" w:eastAsia="Times New Roman" w:hAnsi="Verdana" w:cs="Calibri"/>
          <w:sz w:val="18"/>
          <w:szCs w:val="18"/>
          <w:lang w:eastAsia="en-CY"/>
        </w:rPr>
        <w:t>S</w:t>
      </w:r>
      <w:r w:rsidRPr="000A67A2">
        <w:rPr>
          <w:rFonts w:ascii="Verdana" w:eastAsia="Times New Roman" w:hAnsi="Verdana" w:cs="Calibri"/>
          <w:sz w:val="18"/>
          <w:szCs w:val="18"/>
          <w:lang w:val="el-GR" w:eastAsia="en-CY"/>
        </w:rPr>
        <w:t>).</w:t>
      </w:r>
    </w:p>
    <w:p w14:paraId="7DB47343" w14:textId="77777777" w:rsidR="004422D0" w:rsidRPr="000A67A2" w:rsidRDefault="004422D0" w:rsidP="00136394">
      <w:pPr>
        <w:jc w:val="both"/>
        <w:rPr>
          <w:rFonts w:ascii="Verdana" w:hAnsi="Verdana" w:cs="Arial"/>
          <w:sz w:val="18"/>
          <w:szCs w:val="18"/>
          <w:lang w:val="el-GR"/>
        </w:rPr>
      </w:pPr>
    </w:p>
    <w:p w14:paraId="51F25D9E" w14:textId="77777777" w:rsidR="00C548E0" w:rsidRPr="000A67A2" w:rsidRDefault="00C548E0" w:rsidP="00DF7615">
      <w:pPr>
        <w:rPr>
          <w:rFonts w:ascii="Verdana" w:hAnsi="Verdana"/>
          <w:noProof/>
          <w:sz w:val="18"/>
          <w:szCs w:val="18"/>
          <w:lang w:val="el-GR"/>
        </w:rPr>
      </w:pPr>
    </w:p>
    <w:p w14:paraId="1D921E38" w14:textId="42B43A64" w:rsidR="002B58DD" w:rsidRPr="000A67A2" w:rsidRDefault="002D721F" w:rsidP="00E217F0">
      <w:pPr>
        <w:jc w:val="center"/>
        <w:rPr>
          <w:rFonts w:ascii="Verdana" w:hAnsi="Verdana"/>
          <w:noProof/>
          <w:sz w:val="18"/>
          <w:szCs w:val="18"/>
          <w:lang w:val="el-GR"/>
        </w:rPr>
      </w:pPr>
      <w:r>
        <w:rPr>
          <w:noProof/>
        </w:rPr>
        <w:drawing>
          <wp:inline distT="0" distB="0" distL="0" distR="0" wp14:anchorId="1FF159BB" wp14:editId="20CDD335">
            <wp:extent cx="6076950" cy="4572000"/>
            <wp:effectExtent l="0" t="0" r="0" b="0"/>
            <wp:docPr id="69297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72000"/>
                    </a:xfrm>
                    <a:prstGeom prst="rect">
                      <a:avLst/>
                    </a:prstGeom>
                    <a:noFill/>
                    <a:ln>
                      <a:noFill/>
                    </a:ln>
                  </pic:spPr>
                </pic:pic>
              </a:graphicData>
            </a:graphic>
          </wp:inline>
        </w:drawing>
      </w:r>
    </w:p>
    <w:p w14:paraId="1CEFC6BF" w14:textId="4185457C" w:rsidR="000A67A2" w:rsidRDefault="000A67A2">
      <w:pPr>
        <w:rPr>
          <w:rFonts w:ascii="Verdana" w:hAnsi="Verdana"/>
          <w:noProof/>
          <w:sz w:val="18"/>
          <w:szCs w:val="18"/>
          <w:lang w:val="el-GR"/>
        </w:rPr>
      </w:pPr>
      <w:r>
        <w:rPr>
          <w:rFonts w:ascii="Verdana" w:hAnsi="Verdana"/>
          <w:noProof/>
          <w:sz w:val="18"/>
          <w:szCs w:val="18"/>
          <w:lang w:val="el-GR"/>
        </w:rPr>
        <w:br w:type="page"/>
      </w:r>
    </w:p>
    <w:p w14:paraId="30C77612" w14:textId="77777777" w:rsidR="00DF7615" w:rsidRPr="000A67A2" w:rsidRDefault="00DF7615" w:rsidP="000A67A2">
      <w:pPr>
        <w:rPr>
          <w:rFonts w:ascii="Verdana" w:hAnsi="Verdana"/>
          <w:noProof/>
          <w:sz w:val="18"/>
          <w:szCs w:val="18"/>
          <w:lang w:val="el-GR"/>
        </w:rPr>
      </w:pPr>
    </w:p>
    <w:p w14:paraId="616228D1" w14:textId="4AF615AD" w:rsidR="003D1520" w:rsidRPr="000A67A2" w:rsidRDefault="003D1520" w:rsidP="003D1520">
      <w:pPr>
        <w:contextualSpacing/>
        <w:jc w:val="both"/>
        <w:rPr>
          <w:rFonts w:ascii="Verdana" w:eastAsia="Times New Roman" w:hAnsi="Verdana" w:cs="Calibri"/>
          <w:sz w:val="18"/>
          <w:szCs w:val="18"/>
          <w:lang w:val="el-GR" w:eastAsia="en-CY"/>
        </w:rPr>
      </w:pPr>
      <w:r w:rsidRPr="000A67A2">
        <w:rPr>
          <w:rFonts w:ascii="Verdana" w:hAnsi="Verdana" w:cs="Arial"/>
          <w:sz w:val="18"/>
          <w:szCs w:val="18"/>
          <w:lang w:val="el-GR"/>
        </w:rPr>
        <w:t>Όσο</w:t>
      </w:r>
      <w:r w:rsidR="002E7399" w:rsidRPr="000A67A2">
        <w:rPr>
          <w:rFonts w:ascii="Verdana" w:hAnsi="Verdana" w:cs="Arial"/>
          <w:sz w:val="18"/>
          <w:szCs w:val="18"/>
          <w:lang w:val="el-GR"/>
        </w:rPr>
        <w:t>ν</w:t>
      </w:r>
      <w:r w:rsidRPr="000A67A2">
        <w:rPr>
          <w:rFonts w:ascii="Verdana" w:hAnsi="Verdana" w:cs="Arial"/>
          <w:sz w:val="18"/>
          <w:szCs w:val="18"/>
          <w:lang w:val="el-GR"/>
        </w:rPr>
        <w:t xml:space="preserve"> αφορά στην προστιθέμενη αξία σε τρέχουσες τιμές, αυξήσεις σημειώθηκαν σε όλους τους τομείς. Η πιο αξιοσημείωτη </w:t>
      </w:r>
      <w:r w:rsidR="002E7399" w:rsidRPr="000A67A2">
        <w:rPr>
          <w:rFonts w:ascii="Verdana" w:hAnsi="Verdana" w:cs="Arial"/>
          <w:sz w:val="18"/>
          <w:szCs w:val="18"/>
          <w:lang w:val="el-GR"/>
        </w:rPr>
        <w:t>άνοδος</w:t>
      </w:r>
      <w:r w:rsidRPr="000A67A2">
        <w:rPr>
          <w:rFonts w:ascii="Verdana" w:hAnsi="Verdana" w:cs="Arial"/>
          <w:sz w:val="18"/>
          <w:szCs w:val="18"/>
          <w:lang w:val="el-GR"/>
        </w:rPr>
        <w:t xml:space="preserve"> </w:t>
      </w:r>
      <w:r w:rsidR="002E7399" w:rsidRPr="000A67A2">
        <w:rPr>
          <w:rFonts w:ascii="Verdana" w:hAnsi="Verdana" w:cs="Arial"/>
          <w:sz w:val="18"/>
          <w:szCs w:val="18"/>
          <w:lang w:val="el-GR"/>
        </w:rPr>
        <w:t>(</w:t>
      </w:r>
      <w:r w:rsidRPr="000A67A2">
        <w:rPr>
          <w:rFonts w:ascii="Verdana" w:hAnsi="Verdana" w:cs="Arial"/>
          <w:sz w:val="18"/>
          <w:szCs w:val="18"/>
          <w:lang w:val="el-GR"/>
        </w:rPr>
        <w:t>147,8%</w:t>
      </w:r>
      <w:r w:rsidR="002E7399" w:rsidRPr="000A67A2">
        <w:rPr>
          <w:rFonts w:ascii="Verdana" w:hAnsi="Verdana" w:cs="Arial"/>
          <w:sz w:val="18"/>
          <w:szCs w:val="18"/>
          <w:lang w:val="el-GR"/>
        </w:rPr>
        <w:t>)</w:t>
      </w:r>
      <w:r w:rsidRPr="000A67A2">
        <w:rPr>
          <w:rFonts w:ascii="Verdana" w:hAnsi="Verdana" w:cs="Arial"/>
          <w:sz w:val="18"/>
          <w:szCs w:val="18"/>
          <w:lang w:val="el-GR"/>
        </w:rPr>
        <w:t xml:space="preserve"> καταγράφηκε στις δραστηριότητες υπηρεσιών παροχής καταλύματος και εστίασης, φτάνοντας στα €943,8 εκατομμύρια. </w:t>
      </w:r>
      <w:r w:rsidR="002E7399" w:rsidRPr="000A67A2">
        <w:rPr>
          <w:rFonts w:ascii="Verdana" w:hAnsi="Verdana" w:cs="Arial"/>
          <w:sz w:val="18"/>
          <w:szCs w:val="18"/>
          <w:lang w:val="el-GR"/>
        </w:rPr>
        <w:t>Μεγάλες</w:t>
      </w:r>
      <w:r w:rsidRPr="000A67A2">
        <w:rPr>
          <w:rFonts w:ascii="Verdana" w:hAnsi="Verdana" w:cs="Arial"/>
          <w:sz w:val="18"/>
          <w:szCs w:val="18"/>
          <w:lang w:val="el-GR"/>
        </w:rPr>
        <w:t xml:space="preserve"> επίσης αυξήσεις σημειώθηκαν στις </w:t>
      </w:r>
      <w:r w:rsidRPr="000A67A2">
        <w:rPr>
          <w:rFonts w:ascii="Verdana" w:eastAsia="Times New Roman" w:hAnsi="Verdana" w:cs="Calibri"/>
          <w:sz w:val="18"/>
          <w:szCs w:val="18"/>
          <w:lang w:val="el-GR" w:eastAsia="en-CY"/>
        </w:rPr>
        <w:t xml:space="preserve">τέχνες, διασκέδαση και ψυχαγωγία </w:t>
      </w:r>
      <w:r w:rsidR="002E7399" w:rsidRPr="000A67A2">
        <w:rPr>
          <w:rFonts w:ascii="Verdana" w:eastAsia="Times New Roman" w:hAnsi="Verdana" w:cs="Calibri"/>
          <w:sz w:val="18"/>
          <w:szCs w:val="18"/>
          <w:lang w:val="el-GR" w:eastAsia="en-CY"/>
        </w:rPr>
        <w:t>(</w:t>
      </w:r>
      <w:r w:rsidRPr="000A67A2">
        <w:rPr>
          <w:rFonts w:ascii="Verdana" w:eastAsia="Times New Roman" w:hAnsi="Verdana" w:cs="Calibri"/>
          <w:sz w:val="18"/>
          <w:szCs w:val="18"/>
          <w:lang w:val="el-GR" w:eastAsia="en-CY"/>
        </w:rPr>
        <w:t>40,5%</w:t>
      </w:r>
      <w:r w:rsidR="002E7399" w:rsidRPr="000A67A2">
        <w:rPr>
          <w:rFonts w:ascii="Verdana" w:eastAsia="Times New Roman" w:hAnsi="Verdana" w:cs="Calibri"/>
          <w:sz w:val="18"/>
          <w:szCs w:val="18"/>
          <w:lang w:val="el-GR" w:eastAsia="en-CY"/>
        </w:rPr>
        <w:t>)</w:t>
      </w:r>
      <w:r w:rsidRPr="000A67A2">
        <w:rPr>
          <w:rFonts w:ascii="Verdana" w:eastAsia="Times New Roman" w:hAnsi="Verdana" w:cs="Calibri"/>
          <w:sz w:val="18"/>
          <w:szCs w:val="18"/>
          <w:lang w:val="el-GR" w:eastAsia="en-CY"/>
        </w:rPr>
        <w:t xml:space="preserve"> </w:t>
      </w:r>
      <w:r w:rsidRPr="000A67A2">
        <w:rPr>
          <w:rFonts w:ascii="Verdana" w:hAnsi="Verdana" w:cs="Arial"/>
          <w:sz w:val="18"/>
          <w:szCs w:val="18"/>
          <w:lang w:val="el-GR"/>
        </w:rPr>
        <w:t xml:space="preserve">στα €215,7 εκατομμύρια, στις διοικητικές και υποστηρικτικές δραστηριότητες </w:t>
      </w:r>
      <w:r w:rsidR="002E7399" w:rsidRPr="000A67A2">
        <w:rPr>
          <w:rFonts w:ascii="Verdana" w:hAnsi="Verdana" w:cs="Arial"/>
          <w:sz w:val="18"/>
          <w:szCs w:val="18"/>
          <w:lang w:val="el-GR"/>
        </w:rPr>
        <w:t>(</w:t>
      </w:r>
      <w:r w:rsidRPr="000A67A2">
        <w:rPr>
          <w:rFonts w:ascii="Verdana" w:hAnsi="Verdana" w:cs="Arial"/>
          <w:sz w:val="18"/>
          <w:szCs w:val="18"/>
          <w:lang w:val="el-GR"/>
        </w:rPr>
        <w:t>29,0%</w:t>
      </w:r>
      <w:r w:rsidR="002E7399" w:rsidRPr="000A67A2">
        <w:rPr>
          <w:rFonts w:ascii="Verdana" w:hAnsi="Verdana" w:cs="Arial"/>
          <w:sz w:val="18"/>
          <w:szCs w:val="18"/>
          <w:lang w:val="el-GR"/>
        </w:rPr>
        <w:t>)</w:t>
      </w:r>
      <w:r w:rsidRPr="000A67A2">
        <w:rPr>
          <w:rFonts w:ascii="Verdana" w:hAnsi="Verdana" w:cs="Arial"/>
          <w:sz w:val="18"/>
          <w:szCs w:val="18"/>
          <w:lang w:val="el-GR"/>
        </w:rPr>
        <w:t xml:space="preserve"> στα €508,5 εκατομμύρια, στη διαχείριση ακίνητης περιουσίας </w:t>
      </w:r>
      <w:r w:rsidR="002E7399" w:rsidRPr="000A67A2">
        <w:rPr>
          <w:rFonts w:ascii="Verdana" w:hAnsi="Verdana" w:cs="Arial"/>
          <w:sz w:val="18"/>
          <w:szCs w:val="18"/>
          <w:lang w:val="el-GR"/>
        </w:rPr>
        <w:t>(</w:t>
      </w:r>
      <w:r w:rsidRPr="000A67A2">
        <w:rPr>
          <w:rFonts w:ascii="Verdana" w:hAnsi="Verdana" w:cs="Arial"/>
          <w:sz w:val="18"/>
          <w:szCs w:val="18"/>
          <w:lang w:val="el-GR"/>
        </w:rPr>
        <w:t>28,1%</w:t>
      </w:r>
      <w:r w:rsidR="002E7399" w:rsidRPr="000A67A2">
        <w:rPr>
          <w:rFonts w:ascii="Verdana" w:hAnsi="Verdana" w:cs="Arial"/>
          <w:sz w:val="18"/>
          <w:szCs w:val="18"/>
          <w:lang w:val="el-GR"/>
        </w:rPr>
        <w:t>)</w:t>
      </w:r>
      <w:r w:rsidRPr="000A67A2">
        <w:rPr>
          <w:rFonts w:ascii="Verdana" w:hAnsi="Verdana" w:cs="Arial"/>
          <w:sz w:val="18"/>
          <w:szCs w:val="18"/>
          <w:lang w:val="el-GR"/>
        </w:rPr>
        <w:t xml:space="preserve"> στα €161,5 εκατομμύρια, στις μεταφορές και αποθήκευση </w:t>
      </w:r>
      <w:r w:rsidR="002E7399" w:rsidRPr="000A67A2">
        <w:rPr>
          <w:rFonts w:ascii="Verdana" w:hAnsi="Verdana" w:cs="Arial"/>
          <w:sz w:val="18"/>
          <w:szCs w:val="18"/>
          <w:lang w:val="el-GR"/>
        </w:rPr>
        <w:t>(</w:t>
      </w:r>
      <w:r w:rsidRPr="000A67A2">
        <w:rPr>
          <w:rFonts w:ascii="Verdana" w:hAnsi="Verdana" w:cs="Arial"/>
          <w:sz w:val="18"/>
          <w:szCs w:val="18"/>
          <w:lang w:val="el-GR"/>
        </w:rPr>
        <w:t>24,2%</w:t>
      </w:r>
      <w:r w:rsidR="002E7399" w:rsidRPr="000A67A2">
        <w:rPr>
          <w:rFonts w:ascii="Verdana" w:hAnsi="Verdana" w:cs="Arial"/>
          <w:sz w:val="18"/>
          <w:szCs w:val="18"/>
          <w:lang w:val="el-GR"/>
        </w:rPr>
        <w:t>)</w:t>
      </w:r>
      <w:r w:rsidRPr="000A67A2">
        <w:rPr>
          <w:rFonts w:ascii="Verdana" w:hAnsi="Verdana" w:cs="Arial"/>
          <w:sz w:val="18"/>
          <w:szCs w:val="18"/>
          <w:lang w:val="el-GR"/>
        </w:rPr>
        <w:t xml:space="preserve"> στα €811,6 εκατομμύρια και στην ενημέρωση και επικοινωνία </w:t>
      </w:r>
      <w:r w:rsidR="002E7399" w:rsidRPr="000A67A2">
        <w:rPr>
          <w:rFonts w:ascii="Verdana" w:hAnsi="Verdana" w:cs="Arial"/>
          <w:sz w:val="18"/>
          <w:szCs w:val="18"/>
          <w:lang w:val="el-GR"/>
        </w:rPr>
        <w:t>(</w:t>
      </w:r>
      <w:r w:rsidRPr="000A67A2">
        <w:rPr>
          <w:rFonts w:ascii="Verdana" w:hAnsi="Verdana" w:cs="Arial"/>
          <w:sz w:val="18"/>
          <w:szCs w:val="18"/>
          <w:lang w:val="el-GR"/>
        </w:rPr>
        <w:t>21,4%</w:t>
      </w:r>
      <w:r w:rsidR="002E7399" w:rsidRPr="000A67A2">
        <w:rPr>
          <w:rFonts w:ascii="Verdana" w:hAnsi="Verdana" w:cs="Arial"/>
          <w:sz w:val="18"/>
          <w:szCs w:val="18"/>
          <w:lang w:val="el-GR"/>
        </w:rPr>
        <w:t>)</w:t>
      </w:r>
      <w:r w:rsidRPr="000A67A2">
        <w:rPr>
          <w:rFonts w:ascii="Verdana" w:hAnsi="Verdana" w:cs="Arial"/>
          <w:sz w:val="18"/>
          <w:szCs w:val="18"/>
          <w:lang w:val="el-GR"/>
        </w:rPr>
        <w:t xml:space="preserve"> στα €1.997,9 εκατομμύρια.</w:t>
      </w:r>
    </w:p>
    <w:p w14:paraId="5BDE92FA" w14:textId="77777777" w:rsidR="00F367AF" w:rsidRPr="000A67A2" w:rsidRDefault="00F367AF" w:rsidP="00645125">
      <w:pPr>
        <w:jc w:val="both"/>
        <w:rPr>
          <w:rFonts w:ascii="Verdana" w:hAnsi="Verdana" w:cs="Arial"/>
          <w:sz w:val="18"/>
          <w:szCs w:val="18"/>
          <w:lang w:val="el-GR"/>
        </w:rPr>
      </w:pPr>
    </w:p>
    <w:p w14:paraId="406C4EBA" w14:textId="2C2AD08C" w:rsidR="00F367AF" w:rsidRPr="000A67A2" w:rsidRDefault="00F367AF" w:rsidP="00F367AF">
      <w:pPr>
        <w:jc w:val="both"/>
        <w:rPr>
          <w:rFonts w:ascii="Verdana" w:eastAsia="Times New Roman" w:hAnsi="Verdana" w:cs="Calibri"/>
          <w:sz w:val="18"/>
          <w:szCs w:val="18"/>
          <w:lang w:val="el-GR" w:eastAsia="en-CY"/>
        </w:rPr>
      </w:pPr>
      <w:r w:rsidRPr="000A67A2">
        <w:rPr>
          <w:rFonts w:ascii="Verdana" w:hAnsi="Verdana" w:cs="Arial"/>
          <w:sz w:val="18"/>
          <w:szCs w:val="18"/>
          <w:lang w:val="el-GR"/>
        </w:rPr>
        <w:t xml:space="preserve">Το 2021 ο αριθμός των απασχολούμενων ατόμων </w:t>
      </w:r>
      <w:r w:rsidR="003D1520" w:rsidRPr="000A67A2">
        <w:rPr>
          <w:rFonts w:ascii="Verdana" w:hAnsi="Verdana" w:cs="Arial"/>
          <w:sz w:val="18"/>
          <w:szCs w:val="18"/>
          <w:lang w:val="el-GR"/>
        </w:rPr>
        <w:t>αυξήθηκε</w:t>
      </w:r>
      <w:r w:rsidRPr="000A67A2">
        <w:rPr>
          <w:rFonts w:ascii="Verdana" w:hAnsi="Verdana" w:cs="Arial"/>
          <w:sz w:val="18"/>
          <w:szCs w:val="18"/>
          <w:lang w:val="el-GR"/>
        </w:rPr>
        <w:t xml:space="preserve"> σε όλους τους τομείς</w:t>
      </w:r>
      <w:r w:rsidR="003D1520" w:rsidRPr="000A67A2">
        <w:rPr>
          <w:rFonts w:ascii="Verdana" w:hAnsi="Verdana" w:cs="Arial"/>
          <w:sz w:val="18"/>
          <w:szCs w:val="18"/>
          <w:lang w:val="el-GR"/>
        </w:rPr>
        <w:t xml:space="preserve"> </w:t>
      </w:r>
      <w:r w:rsidR="002E7399" w:rsidRPr="000A67A2">
        <w:rPr>
          <w:rFonts w:ascii="Verdana" w:hAnsi="Verdana" w:cs="Arial"/>
          <w:sz w:val="18"/>
          <w:szCs w:val="18"/>
          <w:lang w:val="el-GR"/>
        </w:rPr>
        <w:t>δραστηριότητας</w:t>
      </w:r>
      <w:r w:rsidRPr="000A67A2">
        <w:rPr>
          <w:rFonts w:ascii="Verdana" w:hAnsi="Verdana" w:cs="Arial"/>
          <w:sz w:val="18"/>
          <w:szCs w:val="18"/>
          <w:lang w:val="el-GR"/>
        </w:rPr>
        <w:t xml:space="preserve">. </w:t>
      </w:r>
      <w:r w:rsidR="003D1520" w:rsidRPr="000A67A2">
        <w:rPr>
          <w:rFonts w:ascii="Verdana" w:hAnsi="Verdana" w:cs="Arial"/>
          <w:sz w:val="18"/>
          <w:szCs w:val="18"/>
          <w:lang w:val="el-GR"/>
        </w:rPr>
        <w:t xml:space="preserve">Η μεγαλύτερη απασχόληση καταγράφεται στις δραστηριότητες υπηρεσιών παροχής καταλύματος και εστίασης με 45.835 άτομα, στις επαγγελματικές, επιστημονικές και τεχνικές δραστηριότητες με 35.381 άτομα,  στις μεταφορές και αποθήκευση με 18.196 άτομα, στην ενημέρωση και επικοινωνία με 16.382 άτομα και στις διοικητικές και υποστηρικτικές δραστηριότητες με 16.347 άτομα. </w:t>
      </w:r>
    </w:p>
    <w:p w14:paraId="1313F2FB" w14:textId="77777777" w:rsidR="00F367AF" w:rsidRDefault="00F367AF" w:rsidP="00645125">
      <w:pPr>
        <w:jc w:val="both"/>
        <w:rPr>
          <w:rFonts w:ascii="Verdana" w:hAnsi="Verdana" w:cs="Arial"/>
          <w:sz w:val="18"/>
          <w:szCs w:val="18"/>
          <w:lang w:val="el-GR"/>
        </w:rPr>
      </w:pPr>
    </w:p>
    <w:tbl>
      <w:tblPr>
        <w:tblW w:w="9803" w:type="dxa"/>
        <w:jc w:val="center"/>
        <w:tblLook w:val="04A0" w:firstRow="1" w:lastRow="0" w:firstColumn="1" w:lastColumn="0" w:noHBand="0" w:noVBand="1"/>
      </w:tblPr>
      <w:tblGrid>
        <w:gridCol w:w="1019"/>
        <w:gridCol w:w="1955"/>
        <w:gridCol w:w="947"/>
        <w:gridCol w:w="866"/>
        <w:gridCol w:w="278"/>
        <w:gridCol w:w="278"/>
        <w:gridCol w:w="1019"/>
        <w:gridCol w:w="970"/>
        <w:gridCol w:w="294"/>
        <w:gridCol w:w="286"/>
        <w:gridCol w:w="1025"/>
        <w:gridCol w:w="866"/>
      </w:tblGrid>
      <w:tr w:rsidR="00013519" w:rsidRPr="006E600D" w14:paraId="433B379B" w14:textId="77777777" w:rsidTr="008D25C9">
        <w:trPr>
          <w:trHeight w:hRule="exact" w:val="315"/>
          <w:jc w:val="center"/>
        </w:trPr>
        <w:tc>
          <w:tcPr>
            <w:tcW w:w="1020" w:type="dxa"/>
            <w:tcBorders>
              <w:top w:val="nil"/>
              <w:left w:val="nil"/>
              <w:bottom w:val="single" w:sz="8" w:space="0" w:color="365F91"/>
              <w:right w:val="nil"/>
            </w:tcBorders>
            <w:shd w:val="clear" w:color="auto" w:fill="auto"/>
            <w:vAlign w:val="center"/>
            <w:hideMark/>
          </w:tcPr>
          <w:p w14:paraId="0B9CE409" w14:textId="77777777" w:rsidR="006E600D" w:rsidRPr="006E600D" w:rsidRDefault="006E600D" w:rsidP="006E600D">
            <w:pPr>
              <w:rPr>
                <w:rFonts w:ascii="Verdana" w:eastAsia="Times New Roman" w:hAnsi="Verdana" w:cs="Calibri"/>
                <w:b/>
                <w:bCs/>
                <w:color w:val="365F91"/>
                <w:sz w:val="18"/>
                <w:szCs w:val="18"/>
                <w:lang w:val="en-CY" w:eastAsia="en-CY" w:bidi="he-IL"/>
              </w:rPr>
            </w:pPr>
            <w:bookmarkStart w:id="0" w:name="RANGE!B3"/>
            <w:bookmarkStart w:id="1" w:name="_Hlk139890097"/>
            <w:r w:rsidRPr="006E600D">
              <w:rPr>
                <w:rFonts w:ascii="Verdana" w:eastAsia="Times New Roman" w:hAnsi="Verdana" w:cs="Calibri"/>
                <w:b/>
                <w:bCs/>
                <w:color w:val="365F91"/>
                <w:sz w:val="18"/>
                <w:szCs w:val="18"/>
                <w:lang w:val="el-GR" w:eastAsia="en-CY" w:bidi="he-IL"/>
              </w:rPr>
              <w:t>Πίνακας</w:t>
            </w:r>
            <w:bookmarkEnd w:id="0"/>
          </w:p>
        </w:tc>
        <w:tc>
          <w:tcPr>
            <w:tcW w:w="1959" w:type="dxa"/>
            <w:tcBorders>
              <w:top w:val="nil"/>
              <w:left w:val="nil"/>
              <w:bottom w:val="single" w:sz="8" w:space="0" w:color="365F91"/>
              <w:right w:val="nil"/>
            </w:tcBorders>
            <w:shd w:val="clear" w:color="auto" w:fill="auto"/>
            <w:vAlign w:val="center"/>
            <w:hideMark/>
          </w:tcPr>
          <w:p w14:paraId="1CE4E95D"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950" w:type="dxa"/>
            <w:tcBorders>
              <w:top w:val="nil"/>
              <w:left w:val="nil"/>
              <w:bottom w:val="single" w:sz="8" w:space="0" w:color="365F91"/>
              <w:right w:val="nil"/>
            </w:tcBorders>
            <w:shd w:val="clear" w:color="auto" w:fill="auto"/>
            <w:vAlign w:val="center"/>
            <w:hideMark/>
          </w:tcPr>
          <w:p w14:paraId="14D96230"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870" w:type="dxa"/>
            <w:tcBorders>
              <w:top w:val="nil"/>
              <w:left w:val="nil"/>
              <w:bottom w:val="single" w:sz="8" w:space="0" w:color="365F91"/>
              <w:right w:val="nil"/>
            </w:tcBorders>
            <w:shd w:val="clear" w:color="auto" w:fill="auto"/>
            <w:vAlign w:val="center"/>
            <w:hideMark/>
          </w:tcPr>
          <w:p w14:paraId="72989743"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nil"/>
              <w:bottom w:val="single" w:sz="8" w:space="0" w:color="365F91"/>
              <w:right w:val="nil"/>
            </w:tcBorders>
            <w:shd w:val="clear" w:color="auto" w:fill="auto"/>
            <w:vAlign w:val="center"/>
            <w:hideMark/>
          </w:tcPr>
          <w:p w14:paraId="62EFDEA6"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nil"/>
              <w:bottom w:val="single" w:sz="8" w:space="0" w:color="365F91"/>
              <w:right w:val="nil"/>
            </w:tcBorders>
            <w:shd w:val="clear" w:color="auto" w:fill="auto"/>
            <w:vAlign w:val="center"/>
            <w:hideMark/>
          </w:tcPr>
          <w:p w14:paraId="273D6325"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1023" w:type="dxa"/>
            <w:tcBorders>
              <w:top w:val="nil"/>
              <w:left w:val="nil"/>
              <w:bottom w:val="single" w:sz="8" w:space="0" w:color="365F91"/>
              <w:right w:val="nil"/>
            </w:tcBorders>
            <w:shd w:val="clear" w:color="auto" w:fill="auto"/>
            <w:vAlign w:val="center"/>
            <w:hideMark/>
          </w:tcPr>
          <w:p w14:paraId="791137F0"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974" w:type="dxa"/>
            <w:tcBorders>
              <w:top w:val="nil"/>
              <w:left w:val="nil"/>
              <w:bottom w:val="single" w:sz="8" w:space="0" w:color="365F91"/>
              <w:right w:val="nil"/>
            </w:tcBorders>
            <w:shd w:val="clear" w:color="auto" w:fill="auto"/>
            <w:vAlign w:val="center"/>
            <w:hideMark/>
          </w:tcPr>
          <w:p w14:paraId="249BE68E"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nil"/>
              <w:bottom w:val="single" w:sz="8" w:space="0" w:color="365F91"/>
              <w:right w:val="nil"/>
            </w:tcBorders>
            <w:shd w:val="clear" w:color="auto" w:fill="auto"/>
            <w:vAlign w:val="center"/>
            <w:hideMark/>
          </w:tcPr>
          <w:p w14:paraId="0BE88C83"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nil"/>
              <w:bottom w:val="single" w:sz="8" w:space="0" w:color="365F91"/>
              <w:right w:val="nil"/>
            </w:tcBorders>
            <w:shd w:val="clear" w:color="auto" w:fill="auto"/>
            <w:vAlign w:val="center"/>
            <w:hideMark/>
          </w:tcPr>
          <w:p w14:paraId="73633688"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1025" w:type="dxa"/>
            <w:tcBorders>
              <w:top w:val="nil"/>
              <w:left w:val="nil"/>
              <w:bottom w:val="single" w:sz="8" w:space="0" w:color="365F91"/>
              <w:right w:val="nil"/>
            </w:tcBorders>
            <w:shd w:val="clear" w:color="auto" w:fill="auto"/>
            <w:vAlign w:val="center"/>
            <w:hideMark/>
          </w:tcPr>
          <w:p w14:paraId="40300168"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870" w:type="dxa"/>
            <w:tcBorders>
              <w:top w:val="nil"/>
              <w:left w:val="nil"/>
              <w:bottom w:val="single" w:sz="8" w:space="0" w:color="365F91"/>
              <w:right w:val="nil"/>
            </w:tcBorders>
            <w:shd w:val="clear" w:color="auto" w:fill="auto"/>
            <w:vAlign w:val="center"/>
            <w:hideMark/>
          </w:tcPr>
          <w:p w14:paraId="0CB2D251"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r>
      <w:tr w:rsidR="00013519" w:rsidRPr="006E600D" w14:paraId="200D6772" w14:textId="77777777" w:rsidTr="008D25C9">
        <w:trPr>
          <w:trHeight w:val="675"/>
          <w:jc w:val="center"/>
        </w:trPr>
        <w:tc>
          <w:tcPr>
            <w:tcW w:w="1020" w:type="dxa"/>
            <w:vMerge w:val="restart"/>
            <w:tcBorders>
              <w:top w:val="nil"/>
              <w:left w:val="nil"/>
              <w:bottom w:val="single" w:sz="8" w:space="0" w:color="365F91"/>
              <w:right w:val="nil"/>
            </w:tcBorders>
            <w:shd w:val="clear" w:color="auto" w:fill="auto"/>
            <w:vAlign w:val="center"/>
            <w:hideMark/>
          </w:tcPr>
          <w:p w14:paraId="51D10867"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eastAsia="en-CY" w:bidi="he-IL"/>
              </w:rPr>
              <w:t xml:space="preserve">NACE </w:t>
            </w:r>
            <w:r w:rsidRPr="006E600D">
              <w:rPr>
                <w:rFonts w:ascii="Verdana" w:eastAsia="Times New Roman" w:hAnsi="Verdana" w:cs="Calibri"/>
                <w:b/>
                <w:bCs/>
                <w:color w:val="365F91"/>
                <w:sz w:val="18"/>
                <w:szCs w:val="18"/>
                <w:lang w:eastAsia="en-CY" w:bidi="he-IL"/>
              </w:rPr>
              <w:br/>
              <w:t>Avαθ.2</w:t>
            </w:r>
          </w:p>
        </w:tc>
        <w:tc>
          <w:tcPr>
            <w:tcW w:w="1959" w:type="dxa"/>
            <w:vMerge w:val="restart"/>
            <w:tcBorders>
              <w:top w:val="nil"/>
              <w:left w:val="nil"/>
              <w:bottom w:val="single" w:sz="8" w:space="0" w:color="365F91"/>
              <w:right w:val="nil"/>
            </w:tcBorders>
            <w:shd w:val="clear" w:color="auto" w:fill="auto"/>
            <w:vAlign w:val="center"/>
            <w:hideMark/>
          </w:tcPr>
          <w:p w14:paraId="5B3C421D"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 xml:space="preserve">Οικονομική </w:t>
            </w:r>
            <w:r w:rsidRPr="006E600D">
              <w:rPr>
                <w:rFonts w:ascii="Verdana" w:eastAsia="Times New Roman" w:hAnsi="Verdana" w:cs="Calibri"/>
                <w:b/>
                <w:bCs/>
                <w:color w:val="365F91"/>
                <w:sz w:val="18"/>
                <w:szCs w:val="18"/>
                <w:lang w:val="el-GR" w:eastAsia="en-CY" w:bidi="he-IL"/>
              </w:rPr>
              <w:br/>
              <w:t>Δραστηριότητα</w:t>
            </w:r>
          </w:p>
        </w:tc>
        <w:tc>
          <w:tcPr>
            <w:tcW w:w="1820" w:type="dxa"/>
            <w:gridSpan w:val="2"/>
            <w:tcBorders>
              <w:top w:val="single" w:sz="8" w:space="0" w:color="365F91"/>
              <w:left w:val="nil"/>
              <w:bottom w:val="single" w:sz="8" w:space="0" w:color="365F91"/>
              <w:right w:val="nil"/>
            </w:tcBorders>
            <w:shd w:val="clear" w:color="auto" w:fill="auto"/>
            <w:vAlign w:val="center"/>
            <w:hideMark/>
          </w:tcPr>
          <w:p w14:paraId="31C1458D"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Αξία Παραγωγής</w:t>
            </w:r>
          </w:p>
        </w:tc>
        <w:tc>
          <w:tcPr>
            <w:tcW w:w="278" w:type="dxa"/>
            <w:tcBorders>
              <w:top w:val="nil"/>
              <w:left w:val="nil"/>
              <w:bottom w:val="nil"/>
              <w:right w:val="nil"/>
            </w:tcBorders>
            <w:shd w:val="clear" w:color="auto" w:fill="auto"/>
            <w:tcMar>
              <w:left w:w="0" w:type="dxa"/>
              <w:right w:w="0" w:type="dxa"/>
            </w:tcMar>
            <w:vAlign w:val="center"/>
            <w:hideMark/>
          </w:tcPr>
          <w:p w14:paraId="5E960518"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3C4E3F83"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1997" w:type="dxa"/>
            <w:gridSpan w:val="2"/>
            <w:tcBorders>
              <w:top w:val="single" w:sz="8" w:space="0" w:color="365F91"/>
              <w:left w:val="nil"/>
              <w:bottom w:val="single" w:sz="8" w:space="0" w:color="365F91"/>
              <w:right w:val="nil"/>
            </w:tcBorders>
            <w:shd w:val="clear" w:color="auto" w:fill="auto"/>
            <w:tcMar>
              <w:left w:w="0" w:type="dxa"/>
              <w:right w:w="0" w:type="dxa"/>
            </w:tcMar>
            <w:vAlign w:val="center"/>
            <w:hideMark/>
          </w:tcPr>
          <w:p w14:paraId="20E75D9B" w14:textId="06A084C6" w:rsidR="006E600D" w:rsidRPr="006E600D" w:rsidRDefault="006E600D" w:rsidP="006E600D">
            <w:pPr>
              <w:jc w:val="cente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 xml:space="preserve">Προστιθέμενη Αξία σε Τρέχουσες </w:t>
            </w:r>
            <w:r>
              <w:rPr>
                <w:rFonts w:ascii="Verdana" w:eastAsia="Times New Roman" w:hAnsi="Verdana" w:cs="Calibri"/>
                <w:b/>
                <w:bCs/>
                <w:color w:val="365F91"/>
                <w:sz w:val="18"/>
                <w:szCs w:val="18"/>
                <w:lang w:val="el-GR" w:eastAsia="en-CY" w:bidi="he-IL"/>
              </w:rPr>
              <w:t>Τ</w:t>
            </w:r>
            <w:r w:rsidRPr="006E600D">
              <w:rPr>
                <w:rFonts w:ascii="Verdana" w:eastAsia="Times New Roman" w:hAnsi="Verdana" w:cs="Calibri"/>
                <w:b/>
                <w:bCs/>
                <w:color w:val="365F91"/>
                <w:sz w:val="18"/>
                <w:szCs w:val="18"/>
                <w:lang w:val="el-GR" w:eastAsia="en-CY" w:bidi="he-IL"/>
              </w:rPr>
              <w:t>ιμές</w:t>
            </w:r>
          </w:p>
        </w:tc>
        <w:tc>
          <w:tcPr>
            <w:tcW w:w="278" w:type="dxa"/>
            <w:tcBorders>
              <w:top w:val="nil"/>
              <w:left w:val="nil"/>
              <w:bottom w:val="nil"/>
              <w:right w:val="nil"/>
            </w:tcBorders>
            <w:shd w:val="clear" w:color="auto" w:fill="auto"/>
            <w:noWrap/>
            <w:tcMar>
              <w:left w:w="0" w:type="dxa"/>
              <w:right w:w="0" w:type="dxa"/>
            </w:tcMar>
            <w:vAlign w:val="center"/>
            <w:hideMark/>
          </w:tcPr>
          <w:p w14:paraId="66FED50E"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59405A71" w14:textId="77777777" w:rsidR="006E600D" w:rsidRPr="006E600D" w:rsidRDefault="006E600D" w:rsidP="006E600D">
            <w:pP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1895" w:type="dxa"/>
            <w:gridSpan w:val="2"/>
            <w:tcBorders>
              <w:top w:val="single" w:sz="8" w:space="0" w:color="365F91"/>
              <w:left w:val="nil"/>
              <w:bottom w:val="single" w:sz="8" w:space="0" w:color="365F91"/>
              <w:right w:val="nil"/>
            </w:tcBorders>
            <w:shd w:val="clear" w:color="auto" w:fill="auto"/>
            <w:vAlign w:val="center"/>
            <w:hideMark/>
          </w:tcPr>
          <w:p w14:paraId="14DA9185"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Απασχόληση</w:t>
            </w:r>
          </w:p>
        </w:tc>
      </w:tr>
      <w:tr w:rsidR="00013519" w:rsidRPr="006E600D" w14:paraId="1233B992" w14:textId="77777777" w:rsidTr="008D25C9">
        <w:trPr>
          <w:trHeight w:val="315"/>
          <w:jc w:val="center"/>
        </w:trPr>
        <w:tc>
          <w:tcPr>
            <w:tcW w:w="1020" w:type="dxa"/>
            <w:vMerge/>
            <w:tcBorders>
              <w:top w:val="nil"/>
              <w:left w:val="nil"/>
              <w:bottom w:val="single" w:sz="8" w:space="0" w:color="365F91"/>
              <w:right w:val="nil"/>
            </w:tcBorders>
            <w:vAlign w:val="center"/>
            <w:hideMark/>
          </w:tcPr>
          <w:p w14:paraId="3D4648DF" w14:textId="77777777" w:rsidR="006E600D" w:rsidRPr="006E600D" w:rsidRDefault="006E600D" w:rsidP="006E600D">
            <w:pPr>
              <w:rPr>
                <w:rFonts w:ascii="Verdana" w:eastAsia="Times New Roman" w:hAnsi="Verdana" w:cs="Calibri"/>
                <w:b/>
                <w:bCs/>
                <w:color w:val="365F91"/>
                <w:sz w:val="18"/>
                <w:szCs w:val="18"/>
                <w:lang w:val="en-CY" w:eastAsia="en-CY" w:bidi="he-IL"/>
              </w:rPr>
            </w:pPr>
          </w:p>
        </w:tc>
        <w:tc>
          <w:tcPr>
            <w:tcW w:w="1959" w:type="dxa"/>
            <w:vMerge/>
            <w:tcBorders>
              <w:top w:val="nil"/>
              <w:left w:val="nil"/>
              <w:bottom w:val="single" w:sz="8" w:space="0" w:color="365F91"/>
              <w:right w:val="nil"/>
            </w:tcBorders>
            <w:vAlign w:val="center"/>
            <w:hideMark/>
          </w:tcPr>
          <w:p w14:paraId="4C665F4A" w14:textId="77777777" w:rsidR="006E600D" w:rsidRPr="006E600D" w:rsidRDefault="006E600D" w:rsidP="006E600D">
            <w:pPr>
              <w:rPr>
                <w:rFonts w:ascii="Verdana" w:eastAsia="Times New Roman" w:hAnsi="Verdana" w:cs="Calibri"/>
                <w:b/>
                <w:bCs/>
                <w:color w:val="365F91"/>
                <w:sz w:val="18"/>
                <w:szCs w:val="18"/>
                <w:lang w:val="en-CY" w:eastAsia="en-CY" w:bidi="he-IL"/>
              </w:rPr>
            </w:pPr>
          </w:p>
        </w:tc>
        <w:tc>
          <w:tcPr>
            <w:tcW w:w="950" w:type="dxa"/>
            <w:tcBorders>
              <w:top w:val="nil"/>
              <w:left w:val="nil"/>
              <w:bottom w:val="single" w:sz="8" w:space="0" w:color="365F91"/>
              <w:right w:val="nil"/>
            </w:tcBorders>
            <w:shd w:val="clear" w:color="auto" w:fill="auto"/>
            <w:vAlign w:val="center"/>
            <w:hideMark/>
          </w:tcPr>
          <w:p w14:paraId="0E627047" w14:textId="77777777" w:rsidR="006E600D" w:rsidRPr="006E600D" w:rsidRDefault="006E600D" w:rsidP="00013519">
            <w:pPr>
              <w:jc w:val="right"/>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 xml:space="preserve">€εκ. </w:t>
            </w:r>
          </w:p>
        </w:tc>
        <w:tc>
          <w:tcPr>
            <w:tcW w:w="870" w:type="dxa"/>
            <w:tcBorders>
              <w:top w:val="nil"/>
              <w:left w:val="nil"/>
              <w:bottom w:val="single" w:sz="8" w:space="0" w:color="365F91"/>
              <w:right w:val="nil"/>
            </w:tcBorders>
            <w:shd w:val="clear" w:color="auto" w:fill="auto"/>
            <w:vAlign w:val="center"/>
            <w:hideMark/>
          </w:tcPr>
          <w:p w14:paraId="717A17D3" w14:textId="77777777" w:rsidR="006E600D" w:rsidRPr="006E600D" w:rsidRDefault="006E600D" w:rsidP="00013519">
            <w:pPr>
              <w:jc w:val="right"/>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l-GR" w:eastAsia="en-CY" w:bidi="he-IL"/>
              </w:rPr>
              <w:t>%*</w:t>
            </w:r>
          </w:p>
        </w:tc>
        <w:tc>
          <w:tcPr>
            <w:tcW w:w="278" w:type="dxa"/>
            <w:tcBorders>
              <w:top w:val="nil"/>
              <w:left w:val="nil"/>
              <w:bottom w:val="nil"/>
              <w:right w:val="nil"/>
            </w:tcBorders>
            <w:shd w:val="clear" w:color="auto" w:fill="auto"/>
            <w:tcMar>
              <w:left w:w="0" w:type="dxa"/>
              <w:right w:w="0" w:type="dxa"/>
            </w:tcMar>
            <w:vAlign w:val="center"/>
            <w:hideMark/>
          </w:tcPr>
          <w:p w14:paraId="73F0F728"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7E469CF5" w14:textId="6345302F" w:rsidR="006E600D" w:rsidRPr="006E600D" w:rsidRDefault="006E600D" w:rsidP="006E600D">
            <w:pPr>
              <w:jc w:val="center"/>
              <w:rPr>
                <w:rFonts w:ascii="Verdana" w:eastAsia="Times New Roman" w:hAnsi="Verdana" w:cs="Calibri"/>
                <w:b/>
                <w:bCs/>
                <w:color w:val="365F91"/>
                <w:sz w:val="18"/>
                <w:szCs w:val="18"/>
                <w:lang w:val="en-CY" w:eastAsia="en-CY" w:bidi="he-IL"/>
              </w:rPr>
            </w:pPr>
          </w:p>
        </w:tc>
        <w:tc>
          <w:tcPr>
            <w:tcW w:w="1023" w:type="dxa"/>
            <w:tcBorders>
              <w:top w:val="nil"/>
              <w:left w:val="nil"/>
              <w:bottom w:val="single" w:sz="8" w:space="0" w:color="365F91"/>
              <w:right w:val="nil"/>
            </w:tcBorders>
            <w:shd w:val="clear" w:color="auto" w:fill="auto"/>
            <w:vAlign w:val="center"/>
            <w:hideMark/>
          </w:tcPr>
          <w:p w14:paraId="760064B4" w14:textId="77777777" w:rsidR="006E600D" w:rsidRPr="006E600D" w:rsidRDefault="006E600D" w:rsidP="00013519">
            <w:pPr>
              <w:jc w:val="right"/>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xml:space="preserve"> €</w:t>
            </w:r>
            <w:proofErr w:type="spellStart"/>
            <w:r w:rsidRPr="006E600D">
              <w:rPr>
                <w:rFonts w:ascii="Verdana" w:eastAsia="Times New Roman" w:hAnsi="Verdana" w:cs="Calibri"/>
                <w:b/>
                <w:bCs/>
                <w:color w:val="365F91"/>
                <w:sz w:val="18"/>
                <w:szCs w:val="18"/>
                <w:lang w:val="en-CY" w:eastAsia="en-CY" w:bidi="he-IL"/>
              </w:rPr>
              <w:t>εκ</w:t>
            </w:r>
            <w:proofErr w:type="spellEnd"/>
            <w:r w:rsidRPr="006E600D">
              <w:rPr>
                <w:rFonts w:ascii="Verdana" w:eastAsia="Times New Roman" w:hAnsi="Verdana" w:cs="Calibri"/>
                <w:b/>
                <w:bCs/>
                <w:color w:val="365F91"/>
                <w:sz w:val="18"/>
                <w:szCs w:val="18"/>
                <w:lang w:val="en-CY" w:eastAsia="en-CY" w:bidi="he-IL"/>
              </w:rPr>
              <w:t>.</w:t>
            </w:r>
          </w:p>
        </w:tc>
        <w:tc>
          <w:tcPr>
            <w:tcW w:w="974" w:type="dxa"/>
            <w:tcBorders>
              <w:top w:val="nil"/>
              <w:left w:val="nil"/>
              <w:bottom w:val="single" w:sz="8" w:space="0" w:color="365F91"/>
              <w:right w:val="nil"/>
            </w:tcBorders>
            <w:shd w:val="clear" w:color="auto" w:fill="auto"/>
            <w:vAlign w:val="center"/>
            <w:hideMark/>
          </w:tcPr>
          <w:p w14:paraId="0824376B" w14:textId="686E8C51" w:rsidR="006E600D" w:rsidRPr="006E600D" w:rsidRDefault="006E600D" w:rsidP="00013519">
            <w:pPr>
              <w:jc w:val="right"/>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eastAsia="en-CY" w:bidi="he-IL"/>
              </w:rPr>
              <w:t>%*</w:t>
            </w:r>
          </w:p>
        </w:tc>
        <w:tc>
          <w:tcPr>
            <w:tcW w:w="278" w:type="dxa"/>
            <w:tcBorders>
              <w:top w:val="nil"/>
              <w:left w:val="nil"/>
              <w:bottom w:val="nil"/>
              <w:right w:val="nil"/>
            </w:tcBorders>
            <w:shd w:val="clear" w:color="auto" w:fill="auto"/>
            <w:noWrap/>
            <w:tcMar>
              <w:left w:w="0" w:type="dxa"/>
              <w:right w:w="0" w:type="dxa"/>
            </w:tcMar>
            <w:vAlign w:val="center"/>
            <w:hideMark/>
          </w:tcPr>
          <w:p w14:paraId="706EB83E"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629F2173" w14:textId="77777777" w:rsidR="006E600D" w:rsidRPr="006E600D" w:rsidRDefault="006E600D" w:rsidP="006E600D">
            <w:pPr>
              <w:jc w:val="center"/>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val="en-CY" w:eastAsia="en-CY" w:bidi="he-IL"/>
              </w:rPr>
              <w:t> </w:t>
            </w:r>
          </w:p>
        </w:tc>
        <w:tc>
          <w:tcPr>
            <w:tcW w:w="1025" w:type="dxa"/>
            <w:tcBorders>
              <w:top w:val="nil"/>
              <w:left w:val="nil"/>
              <w:bottom w:val="single" w:sz="8" w:space="0" w:color="365F91"/>
              <w:right w:val="nil"/>
            </w:tcBorders>
            <w:shd w:val="clear" w:color="auto" w:fill="auto"/>
            <w:vAlign w:val="center"/>
            <w:hideMark/>
          </w:tcPr>
          <w:p w14:paraId="0DD32D98" w14:textId="77777777" w:rsidR="006E600D" w:rsidRPr="006E600D" w:rsidRDefault="006E600D" w:rsidP="00013519">
            <w:pPr>
              <w:jc w:val="right"/>
              <w:rPr>
                <w:rFonts w:ascii="Verdana" w:eastAsia="Times New Roman" w:hAnsi="Verdana" w:cs="Calibri"/>
                <w:b/>
                <w:bCs/>
                <w:color w:val="365F91"/>
                <w:sz w:val="18"/>
                <w:szCs w:val="18"/>
                <w:lang w:val="en-CY" w:eastAsia="en-CY" w:bidi="he-IL"/>
              </w:rPr>
            </w:pPr>
            <w:proofErr w:type="spellStart"/>
            <w:r w:rsidRPr="006E600D">
              <w:rPr>
                <w:rFonts w:ascii="Verdana" w:eastAsia="Times New Roman" w:hAnsi="Verdana" w:cs="Calibri"/>
                <w:b/>
                <w:bCs/>
                <w:color w:val="365F91"/>
                <w:sz w:val="18"/>
                <w:szCs w:val="18"/>
                <w:lang w:eastAsia="en-CY" w:bidi="he-IL"/>
              </w:rPr>
              <w:t>Αριθμός</w:t>
            </w:r>
            <w:proofErr w:type="spellEnd"/>
          </w:p>
        </w:tc>
        <w:tc>
          <w:tcPr>
            <w:tcW w:w="870" w:type="dxa"/>
            <w:tcBorders>
              <w:top w:val="nil"/>
              <w:left w:val="nil"/>
              <w:bottom w:val="single" w:sz="8" w:space="0" w:color="365F91"/>
              <w:right w:val="nil"/>
            </w:tcBorders>
            <w:shd w:val="clear" w:color="auto" w:fill="auto"/>
            <w:vAlign w:val="center"/>
            <w:hideMark/>
          </w:tcPr>
          <w:p w14:paraId="7988DA83" w14:textId="3DB92F9C" w:rsidR="006E600D" w:rsidRPr="006E600D" w:rsidRDefault="006E600D" w:rsidP="00013519">
            <w:pPr>
              <w:jc w:val="right"/>
              <w:rPr>
                <w:rFonts w:ascii="Verdana" w:eastAsia="Times New Roman" w:hAnsi="Verdana" w:cs="Calibri"/>
                <w:b/>
                <w:bCs/>
                <w:color w:val="365F91"/>
                <w:sz w:val="18"/>
                <w:szCs w:val="18"/>
                <w:lang w:val="en-CY" w:eastAsia="en-CY" w:bidi="he-IL"/>
              </w:rPr>
            </w:pPr>
            <w:r w:rsidRPr="006E600D">
              <w:rPr>
                <w:rFonts w:ascii="Verdana" w:eastAsia="Times New Roman" w:hAnsi="Verdana" w:cs="Calibri"/>
                <w:b/>
                <w:bCs/>
                <w:color w:val="365F91"/>
                <w:sz w:val="18"/>
                <w:szCs w:val="18"/>
                <w:lang w:eastAsia="en-CY" w:bidi="he-IL"/>
              </w:rPr>
              <w:t>%*</w:t>
            </w:r>
          </w:p>
        </w:tc>
      </w:tr>
      <w:tr w:rsidR="00013519" w:rsidRPr="006E600D" w14:paraId="6085822C" w14:textId="77777777" w:rsidTr="008D25C9">
        <w:trPr>
          <w:trHeight w:val="680"/>
          <w:jc w:val="center"/>
        </w:trPr>
        <w:tc>
          <w:tcPr>
            <w:tcW w:w="1020" w:type="dxa"/>
            <w:tcBorders>
              <w:top w:val="nil"/>
              <w:left w:val="nil"/>
              <w:bottom w:val="nil"/>
              <w:right w:val="nil"/>
            </w:tcBorders>
            <w:shd w:val="clear" w:color="auto" w:fill="auto"/>
            <w:vAlign w:val="center"/>
            <w:hideMark/>
          </w:tcPr>
          <w:p w14:paraId="6562D1C1" w14:textId="77777777" w:rsidR="006E600D" w:rsidRPr="006E600D" w:rsidRDefault="006E600D" w:rsidP="006E600D">
            <w:pPr>
              <w:jc w:val="center"/>
              <w:rPr>
                <w:rFonts w:ascii="Verdana" w:eastAsia="Times New Roman" w:hAnsi="Verdana" w:cs="Calibri"/>
                <w:color w:val="365F91"/>
                <w:sz w:val="18"/>
                <w:szCs w:val="18"/>
                <w:lang w:val="en-CY" w:eastAsia="en-CY" w:bidi="he-IL"/>
              </w:rPr>
            </w:pPr>
            <w:bookmarkStart w:id="2" w:name="RANGE!B6"/>
            <w:r w:rsidRPr="006E600D">
              <w:rPr>
                <w:rFonts w:ascii="Verdana" w:eastAsia="Times New Roman" w:hAnsi="Verdana" w:cs="Calibri"/>
                <w:color w:val="365F91"/>
                <w:sz w:val="18"/>
                <w:szCs w:val="18"/>
                <w:lang w:eastAsia="en-CY" w:bidi="he-IL"/>
              </w:rPr>
              <w:t>H</w:t>
            </w:r>
            <w:bookmarkEnd w:id="2"/>
          </w:p>
        </w:tc>
        <w:tc>
          <w:tcPr>
            <w:tcW w:w="1959" w:type="dxa"/>
            <w:tcBorders>
              <w:top w:val="nil"/>
              <w:left w:val="nil"/>
              <w:bottom w:val="nil"/>
              <w:right w:val="nil"/>
            </w:tcBorders>
            <w:shd w:val="clear" w:color="auto" w:fill="auto"/>
            <w:tcMar>
              <w:left w:w="0" w:type="dxa"/>
              <w:right w:w="0" w:type="dxa"/>
            </w:tcMar>
            <w:vAlign w:val="center"/>
            <w:hideMark/>
          </w:tcPr>
          <w:p w14:paraId="1B15D067"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Μεταφορές και Αποθήκευση</w:t>
            </w:r>
          </w:p>
        </w:tc>
        <w:tc>
          <w:tcPr>
            <w:tcW w:w="950" w:type="dxa"/>
            <w:tcBorders>
              <w:top w:val="nil"/>
              <w:left w:val="nil"/>
              <w:bottom w:val="nil"/>
              <w:right w:val="nil"/>
            </w:tcBorders>
            <w:shd w:val="clear" w:color="auto" w:fill="auto"/>
            <w:tcMar>
              <w:right w:w="0" w:type="dxa"/>
            </w:tcMar>
            <w:vAlign w:val="center"/>
            <w:hideMark/>
          </w:tcPr>
          <w:p w14:paraId="2EE8B97D"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3.700,2</w:t>
            </w:r>
          </w:p>
        </w:tc>
        <w:tc>
          <w:tcPr>
            <w:tcW w:w="870" w:type="dxa"/>
            <w:tcBorders>
              <w:top w:val="nil"/>
              <w:left w:val="nil"/>
              <w:bottom w:val="nil"/>
              <w:right w:val="nil"/>
            </w:tcBorders>
            <w:shd w:val="clear" w:color="auto" w:fill="auto"/>
            <w:vAlign w:val="center"/>
            <w:hideMark/>
          </w:tcPr>
          <w:p w14:paraId="3120C17C"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20,5</w:t>
            </w:r>
          </w:p>
        </w:tc>
        <w:tc>
          <w:tcPr>
            <w:tcW w:w="278" w:type="dxa"/>
            <w:tcBorders>
              <w:top w:val="nil"/>
              <w:left w:val="nil"/>
              <w:bottom w:val="nil"/>
              <w:right w:val="nil"/>
            </w:tcBorders>
            <w:shd w:val="clear" w:color="auto" w:fill="auto"/>
            <w:tcMar>
              <w:left w:w="0" w:type="dxa"/>
              <w:right w:w="0" w:type="dxa"/>
            </w:tcMar>
            <w:vAlign w:val="center"/>
            <w:hideMark/>
          </w:tcPr>
          <w:p w14:paraId="50AB7A0D"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5D7633EA" w14:textId="705661F3"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1AB28721"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811,6</w:t>
            </w:r>
          </w:p>
        </w:tc>
        <w:tc>
          <w:tcPr>
            <w:tcW w:w="974" w:type="dxa"/>
            <w:tcBorders>
              <w:top w:val="nil"/>
              <w:left w:val="nil"/>
              <w:bottom w:val="nil"/>
              <w:right w:val="nil"/>
            </w:tcBorders>
            <w:shd w:val="clear" w:color="auto" w:fill="auto"/>
            <w:vAlign w:val="center"/>
            <w:hideMark/>
          </w:tcPr>
          <w:p w14:paraId="4DF6BEC6"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24,2</w:t>
            </w:r>
          </w:p>
        </w:tc>
        <w:tc>
          <w:tcPr>
            <w:tcW w:w="278" w:type="dxa"/>
            <w:tcBorders>
              <w:top w:val="nil"/>
              <w:left w:val="nil"/>
              <w:bottom w:val="nil"/>
              <w:right w:val="nil"/>
            </w:tcBorders>
            <w:shd w:val="clear" w:color="auto" w:fill="auto"/>
            <w:noWrap/>
            <w:tcMar>
              <w:left w:w="0" w:type="dxa"/>
              <w:right w:w="0" w:type="dxa"/>
            </w:tcMar>
            <w:vAlign w:val="center"/>
            <w:hideMark/>
          </w:tcPr>
          <w:p w14:paraId="0E019E34"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6F1EF66C"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11E07CA8"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18.196</w:t>
            </w:r>
          </w:p>
        </w:tc>
        <w:tc>
          <w:tcPr>
            <w:tcW w:w="870" w:type="dxa"/>
            <w:tcBorders>
              <w:top w:val="nil"/>
              <w:left w:val="nil"/>
              <w:bottom w:val="nil"/>
              <w:right w:val="nil"/>
            </w:tcBorders>
            <w:shd w:val="clear" w:color="auto" w:fill="auto"/>
            <w:vAlign w:val="center"/>
            <w:hideMark/>
          </w:tcPr>
          <w:p w14:paraId="6C1AF06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10,9</w:t>
            </w:r>
          </w:p>
        </w:tc>
      </w:tr>
      <w:tr w:rsidR="00013519" w:rsidRPr="006E600D" w14:paraId="13BB84B9" w14:textId="77777777" w:rsidTr="008D25C9">
        <w:trPr>
          <w:trHeight w:val="680"/>
          <w:jc w:val="center"/>
        </w:trPr>
        <w:tc>
          <w:tcPr>
            <w:tcW w:w="1020" w:type="dxa"/>
            <w:tcBorders>
              <w:top w:val="nil"/>
              <w:left w:val="nil"/>
              <w:bottom w:val="nil"/>
              <w:right w:val="nil"/>
            </w:tcBorders>
            <w:shd w:val="clear" w:color="auto" w:fill="auto"/>
            <w:vAlign w:val="center"/>
            <w:hideMark/>
          </w:tcPr>
          <w:p w14:paraId="7CDFBB68"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I</w:t>
            </w:r>
          </w:p>
        </w:tc>
        <w:tc>
          <w:tcPr>
            <w:tcW w:w="1959" w:type="dxa"/>
            <w:tcBorders>
              <w:top w:val="nil"/>
              <w:left w:val="nil"/>
              <w:bottom w:val="nil"/>
              <w:right w:val="nil"/>
            </w:tcBorders>
            <w:shd w:val="clear" w:color="auto" w:fill="auto"/>
            <w:tcMar>
              <w:left w:w="0" w:type="dxa"/>
              <w:right w:w="0" w:type="dxa"/>
            </w:tcMar>
            <w:vAlign w:val="center"/>
            <w:hideMark/>
          </w:tcPr>
          <w:p w14:paraId="2E25746D"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Δραστηριότητες Υπηρεσιών Παροχής Καταλύματος και Υπηρεσιών Εστίασης</w:t>
            </w:r>
          </w:p>
        </w:tc>
        <w:tc>
          <w:tcPr>
            <w:tcW w:w="950" w:type="dxa"/>
            <w:tcBorders>
              <w:top w:val="nil"/>
              <w:left w:val="nil"/>
              <w:bottom w:val="nil"/>
              <w:right w:val="nil"/>
            </w:tcBorders>
            <w:shd w:val="clear" w:color="auto" w:fill="auto"/>
            <w:tcMar>
              <w:right w:w="0" w:type="dxa"/>
            </w:tcMar>
            <w:vAlign w:val="center"/>
            <w:hideMark/>
          </w:tcPr>
          <w:p w14:paraId="6DF045F2"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2.109,9</w:t>
            </w:r>
          </w:p>
        </w:tc>
        <w:tc>
          <w:tcPr>
            <w:tcW w:w="870" w:type="dxa"/>
            <w:tcBorders>
              <w:top w:val="nil"/>
              <w:left w:val="nil"/>
              <w:bottom w:val="nil"/>
              <w:right w:val="nil"/>
            </w:tcBorders>
            <w:shd w:val="clear" w:color="auto" w:fill="auto"/>
            <w:vAlign w:val="center"/>
            <w:hideMark/>
          </w:tcPr>
          <w:p w14:paraId="35B858A4"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74,9</w:t>
            </w:r>
          </w:p>
        </w:tc>
        <w:tc>
          <w:tcPr>
            <w:tcW w:w="278" w:type="dxa"/>
            <w:tcBorders>
              <w:top w:val="nil"/>
              <w:left w:val="nil"/>
              <w:bottom w:val="nil"/>
              <w:right w:val="nil"/>
            </w:tcBorders>
            <w:shd w:val="clear" w:color="auto" w:fill="auto"/>
            <w:tcMar>
              <w:left w:w="0" w:type="dxa"/>
              <w:right w:w="0" w:type="dxa"/>
            </w:tcMar>
            <w:vAlign w:val="center"/>
            <w:hideMark/>
          </w:tcPr>
          <w:p w14:paraId="7C2D4BA3"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70BBB807" w14:textId="3CF8902D"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6C8FE2A5"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943,8</w:t>
            </w:r>
          </w:p>
        </w:tc>
        <w:tc>
          <w:tcPr>
            <w:tcW w:w="974" w:type="dxa"/>
            <w:tcBorders>
              <w:top w:val="nil"/>
              <w:left w:val="nil"/>
              <w:bottom w:val="nil"/>
              <w:right w:val="nil"/>
            </w:tcBorders>
            <w:shd w:val="clear" w:color="auto" w:fill="auto"/>
            <w:vAlign w:val="center"/>
            <w:hideMark/>
          </w:tcPr>
          <w:p w14:paraId="66F6C8C1"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147,8</w:t>
            </w:r>
          </w:p>
        </w:tc>
        <w:tc>
          <w:tcPr>
            <w:tcW w:w="278" w:type="dxa"/>
            <w:tcBorders>
              <w:top w:val="nil"/>
              <w:left w:val="nil"/>
              <w:bottom w:val="nil"/>
              <w:right w:val="nil"/>
            </w:tcBorders>
            <w:shd w:val="clear" w:color="auto" w:fill="auto"/>
            <w:noWrap/>
            <w:tcMar>
              <w:left w:w="0" w:type="dxa"/>
              <w:right w:w="0" w:type="dxa"/>
            </w:tcMar>
            <w:vAlign w:val="center"/>
            <w:hideMark/>
          </w:tcPr>
          <w:p w14:paraId="248074D9"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6F0F6F6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3E321365"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45.835</w:t>
            </w:r>
          </w:p>
        </w:tc>
        <w:tc>
          <w:tcPr>
            <w:tcW w:w="870" w:type="dxa"/>
            <w:tcBorders>
              <w:top w:val="nil"/>
              <w:left w:val="nil"/>
              <w:bottom w:val="nil"/>
              <w:right w:val="nil"/>
            </w:tcBorders>
            <w:shd w:val="clear" w:color="auto" w:fill="auto"/>
            <w:vAlign w:val="center"/>
            <w:hideMark/>
          </w:tcPr>
          <w:p w14:paraId="221ED41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27,0</w:t>
            </w:r>
          </w:p>
        </w:tc>
      </w:tr>
      <w:tr w:rsidR="00013519" w:rsidRPr="006E600D" w14:paraId="5B57E94D" w14:textId="77777777" w:rsidTr="008D25C9">
        <w:trPr>
          <w:trHeight w:val="680"/>
          <w:jc w:val="center"/>
        </w:trPr>
        <w:tc>
          <w:tcPr>
            <w:tcW w:w="1020" w:type="dxa"/>
            <w:tcBorders>
              <w:top w:val="nil"/>
              <w:left w:val="nil"/>
              <w:bottom w:val="nil"/>
              <w:right w:val="nil"/>
            </w:tcBorders>
            <w:shd w:val="clear" w:color="auto" w:fill="auto"/>
            <w:vAlign w:val="center"/>
            <w:hideMark/>
          </w:tcPr>
          <w:p w14:paraId="1BDF652E"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J</w:t>
            </w:r>
          </w:p>
        </w:tc>
        <w:tc>
          <w:tcPr>
            <w:tcW w:w="1959" w:type="dxa"/>
            <w:tcBorders>
              <w:top w:val="nil"/>
              <w:left w:val="nil"/>
              <w:bottom w:val="nil"/>
              <w:right w:val="nil"/>
            </w:tcBorders>
            <w:shd w:val="clear" w:color="auto" w:fill="auto"/>
            <w:tcMar>
              <w:left w:w="0" w:type="dxa"/>
              <w:right w:w="0" w:type="dxa"/>
            </w:tcMar>
            <w:vAlign w:val="center"/>
            <w:hideMark/>
          </w:tcPr>
          <w:p w14:paraId="6439637C" w14:textId="77777777" w:rsidR="006E600D" w:rsidRPr="006E600D" w:rsidRDefault="006E600D" w:rsidP="006E600D">
            <w:pPr>
              <w:rPr>
                <w:rFonts w:ascii="Verdana" w:eastAsia="Times New Roman" w:hAnsi="Verdana" w:cs="Calibri"/>
                <w:color w:val="365F91"/>
                <w:sz w:val="18"/>
                <w:szCs w:val="18"/>
                <w:lang w:val="en-CY" w:eastAsia="en-CY" w:bidi="he-IL"/>
              </w:rPr>
            </w:pPr>
            <w:proofErr w:type="spellStart"/>
            <w:r w:rsidRPr="006E600D">
              <w:rPr>
                <w:rFonts w:ascii="Verdana" w:eastAsia="Times New Roman" w:hAnsi="Verdana" w:cs="Calibri"/>
                <w:color w:val="365F91"/>
                <w:sz w:val="18"/>
                <w:szCs w:val="18"/>
                <w:lang w:eastAsia="en-CY" w:bidi="he-IL"/>
              </w:rPr>
              <w:t>Ενημέρωση</w:t>
            </w:r>
            <w:proofErr w:type="spellEnd"/>
            <w:r w:rsidRPr="006E600D">
              <w:rPr>
                <w:rFonts w:ascii="Verdana" w:eastAsia="Times New Roman" w:hAnsi="Verdana" w:cs="Calibri"/>
                <w:color w:val="365F91"/>
                <w:sz w:val="18"/>
                <w:szCs w:val="18"/>
                <w:lang w:eastAsia="en-CY" w:bidi="he-IL"/>
              </w:rPr>
              <w:t xml:space="preserve"> και Επ</w:t>
            </w:r>
            <w:proofErr w:type="spellStart"/>
            <w:r w:rsidRPr="006E600D">
              <w:rPr>
                <w:rFonts w:ascii="Verdana" w:eastAsia="Times New Roman" w:hAnsi="Verdana" w:cs="Calibri"/>
                <w:color w:val="365F91"/>
                <w:sz w:val="18"/>
                <w:szCs w:val="18"/>
                <w:lang w:eastAsia="en-CY" w:bidi="he-IL"/>
              </w:rPr>
              <w:t>ικοινωνί</w:t>
            </w:r>
            <w:proofErr w:type="spellEnd"/>
            <w:r w:rsidRPr="006E600D">
              <w:rPr>
                <w:rFonts w:ascii="Verdana" w:eastAsia="Times New Roman" w:hAnsi="Verdana" w:cs="Calibri"/>
                <w:color w:val="365F91"/>
                <w:sz w:val="18"/>
                <w:szCs w:val="18"/>
                <w:lang w:eastAsia="en-CY" w:bidi="he-IL"/>
              </w:rPr>
              <w:t>α</w:t>
            </w:r>
          </w:p>
        </w:tc>
        <w:tc>
          <w:tcPr>
            <w:tcW w:w="950" w:type="dxa"/>
            <w:tcBorders>
              <w:top w:val="nil"/>
              <w:left w:val="nil"/>
              <w:bottom w:val="nil"/>
              <w:right w:val="nil"/>
            </w:tcBorders>
            <w:shd w:val="clear" w:color="auto" w:fill="auto"/>
            <w:tcMar>
              <w:right w:w="0" w:type="dxa"/>
            </w:tcMar>
            <w:vAlign w:val="center"/>
            <w:hideMark/>
          </w:tcPr>
          <w:p w14:paraId="08AA7AB8"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7.471,9</w:t>
            </w:r>
          </w:p>
        </w:tc>
        <w:tc>
          <w:tcPr>
            <w:tcW w:w="870" w:type="dxa"/>
            <w:tcBorders>
              <w:top w:val="nil"/>
              <w:left w:val="nil"/>
              <w:bottom w:val="nil"/>
              <w:right w:val="nil"/>
            </w:tcBorders>
            <w:shd w:val="clear" w:color="auto" w:fill="auto"/>
            <w:vAlign w:val="center"/>
            <w:hideMark/>
          </w:tcPr>
          <w:p w14:paraId="0F32A330"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34,8</w:t>
            </w:r>
          </w:p>
        </w:tc>
        <w:tc>
          <w:tcPr>
            <w:tcW w:w="278" w:type="dxa"/>
            <w:tcBorders>
              <w:top w:val="nil"/>
              <w:left w:val="nil"/>
              <w:bottom w:val="nil"/>
              <w:right w:val="nil"/>
            </w:tcBorders>
            <w:shd w:val="clear" w:color="auto" w:fill="auto"/>
            <w:tcMar>
              <w:left w:w="0" w:type="dxa"/>
              <w:right w:w="0" w:type="dxa"/>
            </w:tcMar>
            <w:vAlign w:val="center"/>
            <w:hideMark/>
          </w:tcPr>
          <w:p w14:paraId="24AB20B6"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5412A967" w14:textId="26BFF394"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6AF9B29A"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1.997,9</w:t>
            </w:r>
          </w:p>
        </w:tc>
        <w:tc>
          <w:tcPr>
            <w:tcW w:w="974" w:type="dxa"/>
            <w:tcBorders>
              <w:top w:val="nil"/>
              <w:left w:val="nil"/>
              <w:bottom w:val="nil"/>
              <w:right w:val="nil"/>
            </w:tcBorders>
            <w:shd w:val="clear" w:color="auto" w:fill="auto"/>
            <w:vAlign w:val="center"/>
            <w:hideMark/>
          </w:tcPr>
          <w:p w14:paraId="0845A42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21,4</w:t>
            </w:r>
          </w:p>
        </w:tc>
        <w:tc>
          <w:tcPr>
            <w:tcW w:w="278" w:type="dxa"/>
            <w:tcBorders>
              <w:top w:val="nil"/>
              <w:left w:val="nil"/>
              <w:bottom w:val="nil"/>
              <w:right w:val="nil"/>
            </w:tcBorders>
            <w:shd w:val="clear" w:color="auto" w:fill="auto"/>
            <w:noWrap/>
            <w:tcMar>
              <w:left w:w="0" w:type="dxa"/>
              <w:right w:w="0" w:type="dxa"/>
            </w:tcMar>
            <w:vAlign w:val="center"/>
            <w:hideMark/>
          </w:tcPr>
          <w:p w14:paraId="72B7165A"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74E15EA6"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04F8EC23"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16.382</w:t>
            </w:r>
          </w:p>
        </w:tc>
        <w:tc>
          <w:tcPr>
            <w:tcW w:w="870" w:type="dxa"/>
            <w:tcBorders>
              <w:top w:val="nil"/>
              <w:left w:val="nil"/>
              <w:bottom w:val="nil"/>
              <w:right w:val="nil"/>
            </w:tcBorders>
            <w:shd w:val="clear" w:color="auto" w:fill="auto"/>
            <w:vAlign w:val="center"/>
            <w:hideMark/>
          </w:tcPr>
          <w:p w14:paraId="5C87A87F"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16,3</w:t>
            </w:r>
          </w:p>
        </w:tc>
      </w:tr>
      <w:tr w:rsidR="00013519" w:rsidRPr="006E600D" w14:paraId="213200C4" w14:textId="77777777" w:rsidTr="008D25C9">
        <w:trPr>
          <w:trHeight w:val="680"/>
          <w:jc w:val="center"/>
        </w:trPr>
        <w:tc>
          <w:tcPr>
            <w:tcW w:w="1020" w:type="dxa"/>
            <w:tcBorders>
              <w:top w:val="nil"/>
              <w:left w:val="nil"/>
              <w:bottom w:val="nil"/>
              <w:right w:val="nil"/>
            </w:tcBorders>
            <w:shd w:val="clear" w:color="auto" w:fill="auto"/>
            <w:vAlign w:val="center"/>
            <w:hideMark/>
          </w:tcPr>
          <w:p w14:paraId="569E0EA8"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L</w:t>
            </w:r>
          </w:p>
        </w:tc>
        <w:tc>
          <w:tcPr>
            <w:tcW w:w="1959" w:type="dxa"/>
            <w:tcBorders>
              <w:top w:val="nil"/>
              <w:left w:val="nil"/>
              <w:bottom w:val="nil"/>
              <w:right w:val="nil"/>
            </w:tcBorders>
            <w:shd w:val="clear" w:color="auto" w:fill="auto"/>
            <w:tcMar>
              <w:left w:w="0" w:type="dxa"/>
              <w:right w:w="0" w:type="dxa"/>
            </w:tcMar>
            <w:vAlign w:val="center"/>
            <w:hideMark/>
          </w:tcPr>
          <w:p w14:paraId="08A51B27"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Διαχείριση Ακίνητης Περιουσίας</w:t>
            </w:r>
          </w:p>
        </w:tc>
        <w:tc>
          <w:tcPr>
            <w:tcW w:w="950" w:type="dxa"/>
            <w:tcBorders>
              <w:top w:val="nil"/>
              <w:left w:val="nil"/>
              <w:bottom w:val="nil"/>
              <w:right w:val="nil"/>
            </w:tcBorders>
            <w:shd w:val="clear" w:color="auto" w:fill="auto"/>
            <w:tcMar>
              <w:right w:w="0" w:type="dxa"/>
            </w:tcMar>
            <w:vAlign w:val="center"/>
            <w:hideMark/>
          </w:tcPr>
          <w:p w14:paraId="410F4BA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262,7</w:t>
            </w:r>
          </w:p>
        </w:tc>
        <w:tc>
          <w:tcPr>
            <w:tcW w:w="870" w:type="dxa"/>
            <w:tcBorders>
              <w:top w:val="nil"/>
              <w:left w:val="nil"/>
              <w:bottom w:val="nil"/>
              <w:right w:val="nil"/>
            </w:tcBorders>
            <w:shd w:val="clear" w:color="auto" w:fill="auto"/>
            <w:vAlign w:val="center"/>
            <w:hideMark/>
          </w:tcPr>
          <w:p w14:paraId="02D6577C"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24,8</w:t>
            </w:r>
          </w:p>
        </w:tc>
        <w:tc>
          <w:tcPr>
            <w:tcW w:w="278" w:type="dxa"/>
            <w:tcBorders>
              <w:top w:val="nil"/>
              <w:left w:val="nil"/>
              <w:bottom w:val="nil"/>
              <w:right w:val="nil"/>
            </w:tcBorders>
            <w:shd w:val="clear" w:color="auto" w:fill="auto"/>
            <w:tcMar>
              <w:left w:w="0" w:type="dxa"/>
              <w:right w:w="0" w:type="dxa"/>
            </w:tcMar>
            <w:vAlign w:val="center"/>
            <w:hideMark/>
          </w:tcPr>
          <w:p w14:paraId="73E6CF4A"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78AB4045" w14:textId="2CF03774"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5CCD87AF"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161,5</w:t>
            </w:r>
          </w:p>
        </w:tc>
        <w:tc>
          <w:tcPr>
            <w:tcW w:w="974" w:type="dxa"/>
            <w:tcBorders>
              <w:top w:val="nil"/>
              <w:left w:val="nil"/>
              <w:bottom w:val="nil"/>
              <w:right w:val="nil"/>
            </w:tcBorders>
            <w:shd w:val="clear" w:color="auto" w:fill="auto"/>
            <w:vAlign w:val="center"/>
            <w:hideMark/>
          </w:tcPr>
          <w:p w14:paraId="53DB1EB6"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28,1</w:t>
            </w:r>
          </w:p>
        </w:tc>
        <w:tc>
          <w:tcPr>
            <w:tcW w:w="278" w:type="dxa"/>
            <w:tcBorders>
              <w:top w:val="nil"/>
              <w:left w:val="nil"/>
              <w:bottom w:val="nil"/>
              <w:right w:val="nil"/>
            </w:tcBorders>
            <w:shd w:val="clear" w:color="auto" w:fill="auto"/>
            <w:noWrap/>
            <w:tcMar>
              <w:left w:w="0" w:type="dxa"/>
              <w:right w:w="0" w:type="dxa"/>
            </w:tcMar>
            <w:vAlign w:val="center"/>
            <w:hideMark/>
          </w:tcPr>
          <w:p w14:paraId="183619AA"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6E8357A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3FC6E47B"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3.402</w:t>
            </w:r>
          </w:p>
        </w:tc>
        <w:tc>
          <w:tcPr>
            <w:tcW w:w="870" w:type="dxa"/>
            <w:tcBorders>
              <w:top w:val="nil"/>
              <w:left w:val="nil"/>
              <w:bottom w:val="nil"/>
              <w:right w:val="nil"/>
            </w:tcBorders>
            <w:shd w:val="clear" w:color="auto" w:fill="auto"/>
            <w:vAlign w:val="center"/>
            <w:hideMark/>
          </w:tcPr>
          <w:p w14:paraId="4C3826B6"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19,5</w:t>
            </w:r>
          </w:p>
        </w:tc>
      </w:tr>
      <w:tr w:rsidR="00013519" w:rsidRPr="006E600D" w14:paraId="5FB878DA" w14:textId="77777777" w:rsidTr="008D25C9">
        <w:trPr>
          <w:trHeight w:val="680"/>
          <w:jc w:val="center"/>
        </w:trPr>
        <w:tc>
          <w:tcPr>
            <w:tcW w:w="1020" w:type="dxa"/>
            <w:tcBorders>
              <w:top w:val="nil"/>
              <w:left w:val="nil"/>
              <w:bottom w:val="nil"/>
              <w:right w:val="nil"/>
            </w:tcBorders>
            <w:shd w:val="clear" w:color="auto" w:fill="auto"/>
            <w:vAlign w:val="center"/>
            <w:hideMark/>
          </w:tcPr>
          <w:p w14:paraId="16542138"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M</w:t>
            </w:r>
          </w:p>
        </w:tc>
        <w:tc>
          <w:tcPr>
            <w:tcW w:w="1959" w:type="dxa"/>
            <w:tcBorders>
              <w:top w:val="nil"/>
              <w:left w:val="nil"/>
              <w:bottom w:val="nil"/>
              <w:right w:val="nil"/>
            </w:tcBorders>
            <w:shd w:val="clear" w:color="auto" w:fill="auto"/>
            <w:tcMar>
              <w:left w:w="0" w:type="dxa"/>
              <w:right w:w="0" w:type="dxa"/>
            </w:tcMar>
            <w:vAlign w:val="center"/>
            <w:hideMark/>
          </w:tcPr>
          <w:p w14:paraId="348B15CB"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Επαγγελματικές, Επιστημονικές και Τεχνικές Δραστηριότητες</w:t>
            </w:r>
          </w:p>
        </w:tc>
        <w:tc>
          <w:tcPr>
            <w:tcW w:w="950" w:type="dxa"/>
            <w:tcBorders>
              <w:top w:val="nil"/>
              <w:left w:val="nil"/>
              <w:bottom w:val="nil"/>
              <w:right w:val="nil"/>
            </w:tcBorders>
            <w:shd w:val="clear" w:color="auto" w:fill="auto"/>
            <w:tcMar>
              <w:right w:w="0" w:type="dxa"/>
            </w:tcMar>
            <w:vAlign w:val="center"/>
            <w:hideMark/>
          </w:tcPr>
          <w:p w14:paraId="56CFEC4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3.090,2</w:t>
            </w:r>
          </w:p>
        </w:tc>
        <w:tc>
          <w:tcPr>
            <w:tcW w:w="870" w:type="dxa"/>
            <w:tcBorders>
              <w:top w:val="nil"/>
              <w:left w:val="nil"/>
              <w:bottom w:val="nil"/>
              <w:right w:val="nil"/>
            </w:tcBorders>
            <w:shd w:val="clear" w:color="auto" w:fill="auto"/>
            <w:vAlign w:val="center"/>
            <w:hideMark/>
          </w:tcPr>
          <w:p w14:paraId="01A8505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20,7</w:t>
            </w:r>
          </w:p>
        </w:tc>
        <w:tc>
          <w:tcPr>
            <w:tcW w:w="278" w:type="dxa"/>
            <w:tcBorders>
              <w:top w:val="nil"/>
              <w:left w:val="nil"/>
              <w:bottom w:val="nil"/>
              <w:right w:val="nil"/>
            </w:tcBorders>
            <w:shd w:val="clear" w:color="auto" w:fill="auto"/>
            <w:tcMar>
              <w:left w:w="0" w:type="dxa"/>
              <w:right w:w="0" w:type="dxa"/>
            </w:tcMar>
            <w:vAlign w:val="center"/>
            <w:hideMark/>
          </w:tcPr>
          <w:p w14:paraId="311EC657"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04ABBBF2" w14:textId="168C29F2"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4B55E4B4"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1.564,6</w:t>
            </w:r>
          </w:p>
        </w:tc>
        <w:tc>
          <w:tcPr>
            <w:tcW w:w="974" w:type="dxa"/>
            <w:tcBorders>
              <w:top w:val="nil"/>
              <w:left w:val="nil"/>
              <w:bottom w:val="nil"/>
              <w:right w:val="nil"/>
            </w:tcBorders>
            <w:shd w:val="clear" w:color="auto" w:fill="auto"/>
            <w:vAlign w:val="center"/>
            <w:hideMark/>
          </w:tcPr>
          <w:p w14:paraId="3933AEE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11,9</w:t>
            </w:r>
          </w:p>
        </w:tc>
        <w:tc>
          <w:tcPr>
            <w:tcW w:w="278" w:type="dxa"/>
            <w:tcBorders>
              <w:top w:val="nil"/>
              <w:left w:val="nil"/>
              <w:bottom w:val="nil"/>
              <w:right w:val="nil"/>
            </w:tcBorders>
            <w:shd w:val="clear" w:color="auto" w:fill="auto"/>
            <w:noWrap/>
            <w:tcMar>
              <w:left w:w="0" w:type="dxa"/>
              <w:right w:w="0" w:type="dxa"/>
            </w:tcMar>
            <w:vAlign w:val="center"/>
            <w:hideMark/>
          </w:tcPr>
          <w:p w14:paraId="0EC9F6D1"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750E5F0E"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43617F9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35.381</w:t>
            </w:r>
          </w:p>
        </w:tc>
        <w:tc>
          <w:tcPr>
            <w:tcW w:w="870" w:type="dxa"/>
            <w:tcBorders>
              <w:top w:val="nil"/>
              <w:left w:val="nil"/>
              <w:bottom w:val="nil"/>
              <w:right w:val="nil"/>
            </w:tcBorders>
            <w:shd w:val="clear" w:color="auto" w:fill="auto"/>
            <w:vAlign w:val="center"/>
            <w:hideMark/>
          </w:tcPr>
          <w:p w14:paraId="0E68A61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7,6</w:t>
            </w:r>
          </w:p>
        </w:tc>
      </w:tr>
      <w:tr w:rsidR="00013519" w:rsidRPr="006E600D" w14:paraId="0DA01A89" w14:textId="77777777" w:rsidTr="008D25C9">
        <w:trPr>
          <w:trHeight w:val="964"/>
          <w:jc w:val="center"/>
        </w:trPr>
        <w:tc>
          <w:tcPr>
            <w:tcW w:w="1020" w:type="dxa"/>
            <w:tcBorders>
              <w:top w:val="nil"/>
              <w:left w:val="nil"/>
              <w:bottom w:val="nil"/>
              <w:right w:val="nil"/>
            </w:tcBorders>
            <w:shd w:val="clear" w:color="auto" w:fill="auto"/>
            <w:vAlign w:val="center"/>
            <w:hideMark/>
          </w:tcPr>
          <w:p w14:paraId="43011B63"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N</w:t>
            </w:r>
          </w:p>
        </w:tc>
        <w:tc>
          <w:tcPr>
            <w:tcW w:w="1959" w:type="dxa"/>
            <w:tcBorders>
              <w:top w:val="nil"/>
              <w:left w:val="nil"/>
              <w:bottom w:val="nil"/>
              <w:right w:val="nil"/>
            </w:tcBorders>
            <w:shd w:val="clear" w:color="auto" w:fill="auto"/>
            <w:tcMar>
              <w:left w:w="0" w:type="dxa"/>
              <w:right w:w="0" w:type="dxa"/>
            </w:tcMar>
            <w:vAlign w:val="center"/>
            <w:hideMark/>
          </w:tcPr>
          <w:p w14:paraId="1C8476CA"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Διοικητικές και Υποστηρικτικές Δραστηριότητες</w:t>
            </w:r>
          </w:p>
        </w:tc>
        <w:tc>
          <w:tcPr>
            <w:tcW w:w="950" w:type="dxa"/>
            <w:tcBorders>
              <w:top w:val="nil"/>
              <w:left w:val="nil"/>
              <w:bottom w:val="nil"/>
              <w:right w:val="nil"/>
            </w:tcBorders>
            <w:shd w:val="clear" w:color="auto" w:fill="auto"/>
            <w:tcMar>
              <w:right w:w="0" w:type="dxa"/>
            </w:tcMar>
            <w:vAlign w:val="center"/>
            <w:hideMark/>
          </w:tcPr>
          <w:p w14:paraId="20CDE45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898,3</w:t>
            </w:r>
          </w:p>
        </w:tc>
        <w:tc>
          <w:tcPr>
            <w:tcW w:w="870" w:type="dxa"/>
            <w:tcBorders>
              <w:top w:val="nil"/>
              <w:left w:val="nil"/>
              <w:bottom w:val="nil"/>
              <w:right w:val="nil"/>
            </w:tcBorders>
            <w:shd w:val="clear" w:color="auto" w:fill="auto"/>
            <w:vAlign w:val="center"/>
            <w:hideMark/>
          </w:tcPr>
          <w:p w14:paraId="15BDF051"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35,1</w:t>
            </w:r>
          </w:p>
        </w:tc>
        <w:tc>
          <w:tcPr>
            <w:tcW w:w="278" w:type="dxa"/>
            <w:tcBorders>
              <w:top w:val="nil"/>
              <w:left w:val="nil"/>
              <w:bottom w:val="nil"/>
              <w:right w:val="nil"/>
            </w:tcBorders>
            <w:shd w:val="clear" w:color="auto" w:fill="auto"/>
            <w:tcMar>
              <w:left w:w="0" w:type="dxa"/>
              <w:right w:w="0" w:type="dxa"/>
            </w:tcMar>
            <w:vAlign w:val="center"/>
            <w:hideMark/>
          </w:tcPr>
          <w:p w14:paraId="32B91FEE"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030AB266" w14:textId="1A31E35C"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4C6AAABA"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508,5</w:t>
            </w:r>
          </w:p>
        </w:tc>
        <w:tc>
          <w:tcPr>
            <w:tcW w:w="974" w:type="dxa"/>
            <w:tcBorders>
              <w:top w:val="nil"/>
              <w:left w:val="nil"/>
              <w:bottom w:val="nil"/>
              <w:right w:val="nil"/>
            </w:tcBorders>
            <w:shd w:val="clear" w:color="auto" w:fill="auto"/>
            <w:vAlign w:val="center"/>
            <w:hideMark/>
          </w:tcPr>
          <w:p w14:paraId="332479D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29,0</w:t>
            </w:r>
          </w:p>
        </w:tc>
        <w:tc>
          <w:tcPr>
            <w:tcW w:w="278" w:type="dxa"/>
            <w:tcBorders>
              <w:top w:val="nil"/>
              <w:left w:val="nil"/>
              <w:bottom w:val="nil"/>
              <w:right w:val="nil"/>
            </w:tcBorders>
            <w:shd w:val="clear" w:color="auto" w:fill="auto"/>
            <w:noWrap/>
            <w:tcMar>
              <w:left w:w="0" w:type="dxa"/>
              <w:right w:w="0" w:type="dxa"/>
            </w:tcMar>
            <w:vAlign w:val="center"/>
            <w:hideMark/>
          </w:tcPr>
          <w:p w14:paraId="1962F68A"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0498BFEA"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730714D3"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16.347</w:t>
            </w:r>
          </w:p>
        </w:tc>
        <w:tc>
          <w:tcPr>
            <w:tcW w:w="870" w:type="dxa"/>
            <w:tcBorders>
              <w:top w:val="nil"/>
              <w:left w:val="nil"/>
              <w:bottom w:val="nil"/>
              <w:right w:val="nil"/>
            </w:tcBorders>
            <w:shd w:val="clear" w:color="auto" w:fill="auto"/>
            <w:vAlign w:val="center"/>
            <w:hideMark/>
          </w:tcPr>
          <w:p w14:paraId="71B6D1EB"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16,9</w:t>
            </w:r>
          </w:p>
        </w:tc>
      </w:tr>
      <w:tr w:rsidR="00013519" w:rsidRPr="006E600D" w14:paraId="6916D46E" w14:textId="77777777" w:rsidTr="008D25C9">
        <w:trPr>
          <w:trHeight w:val="680"/>
          <w:jc w:val="center"/>
        </w:trPr>
        <w:tc>
          <w:tcPr>
            <w:tcW w:w="1020" w:type="dxa"/>
            <w:tcBorders>
              <w:top w:val="nil"/>
              <w:left w:val="nil"/>
              <w:bottom w:val="nil"/>
              <w:right w:val="nil"/>
            </w:tcBorders>
            <w:shd w:val="clear" w:color="auto" w:fill="auto"/>
            <w:vAlign w:val="center"/>
            <w:hideMark/>
          </w:tcPr>
          <w:p w14:paraId="5226BE7A" w14:textId="77777777" w:rsidR="006E600D" w:rsidRPr="006E600D" w:rsidRDefault="006E600D" w:rsidP="006E600D">
            <w:pPr>
              <w:jc w:val="center"/>
              <w:rPr>
                <w:rFonts w:ascii="Verdana" w:eastAsia="Times New Roman" w:hAnsi="Verdana" w:cs="Calibri"/>
                <w:color w:val="365F91"/>
                <w:sz w:val="18"/>
                <w:szCs w:val="18"/>
                <w:lang w:val="en-CY" w:eastAsia="en-CY" w:bidi="he-IL"/>
              </w:rPr>
            </w:pPr>
            <w:bookmarkStart w:id="3" w:name="RANGE!B12"/>
            <w:r w:rsidRPr="006E600D">
              <w:rPr>
                <w:rFonts w:ascii="Verdana" w:eastAsia="Times New Roman" w:hAnsi="Verdana" w:cs="Calibri"/>
                <w:color w:val="365F91"/>
                <w:sz w:val="18"/>
                <w:szCs w:val="18"/>
                <w:lang w:eastAsia="en-CY" w:bidi="he-IL"/>
              </w:rPr>
              <w:t>P</w:t>
            </w:r>
            <w:bookmarkEnd w:id="3"/>
          </w:p>
        </w:tc>
        <w:tc>
          <w:tcPr>
            <w:tcW w:w="1959" w:type="dxa"/>
            <w:tcBorders>
              <w:top w:val="nil"/>
              <w:left w:val="nil"/>
              <w:bottom w:val="nil"/>
              <w:right w:val="nil"/>
            </w:tcBorders>
            <w:shd w:val="clear" w:color="auto" w:fill="auto"/>
            <w:tcMar>
              <w:left w:w="0" w:type="dxa"/>
              <w:right w:w="0" w:type="dxa"/>
            </w:tcMar>
            <w:vAlign w:val="center"/>
            <w:hideMark/>
          </w:tcPr>
          <w:p w14:paraId="33663DD1"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Εκπαίδευση</w:t>
            </w:r>
          </w:p>
        </w:tc>
        <w:tc>
          <w:tcPr>
            <w:tcW w:w="950" w:type="dxa"/>
            <w:tcBorders>
              <w:top w:val="nil"/>
              <w:left w:val="nil"/>
              <w:bottom w:val="nil"/>
              <w:right w:val="nil"/>
            </w:tcBorders>
            <w:shd w:val="clear" w:color="auto" w:fill="auto"/>
            <w:tcMar>
              <w:right w:w="0" w:type="dxa"/>
            </w:tcMar>
            <w:vAlign w:val="center"/>
            <w:hideMark/>
          </w:tcPr>
          <w:p w14:paraId="745E3930"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649,6</w:t>
            </w:r>
          </w:p>
        </w:tc>
        <w:tc>
          <w:tcPr>
            <w:tcW w:w="870" w:type="dxa"/>
            <w:tcBorders>
              <w:top w:val="nil"/>
              <w:left w:val="nil"/>
              <w:bottom w:val="nil"/>
              <w:right w:val="nil"/>
            </w:tcBorders>
            <w:shd w:val="clear" w:color="auto" w:fill="auto"/>
            <w:vAlign w:val="center"/>
            <w:hideMark/>
          </w:tcPr>
          <w:p w14:paraId="5DC4E47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7,2</w:t>
            </w:r>
          </w:p>
        </w:tc>
        <w:tc>
          <w:tcPr>
            <w:tcW w:w="278" w:type="dxa"/>
            <w:tcBorders>
              <w:top w:val="nil"/>
              <w:left w:val="nil"/>
              <w:bottom w:val="nil"/>
              <w:right w:val="nil"/>
            </w:tcBorders>
            <w:shd w:val="clear" w:color="auto" w:fill="auto"/>
            <w:tcMar>
              <w:left w:w="0" w:type="dxa"/>
              <w:right w:w="0" w:type="dxa"/>
            </w:tcMar>
            <w:vAlign w:val="center"/>
            <w:hideMark/>
          </w:tcPr>
          <w:p w14:paraId="657D9726"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1E1C788E" w14:textId="06EC0DFA"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45499AB4"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370,3</w:t>
            </w:r>
          </w:p>
        </w:tc>
        <w:tc>
          <w:tcPr>
            <w:tcW w:w="974" w:type="dxa"/>
            <w:tcBorders>
              <w:top w:val="nil"/>
              <w:left w:val="nil"/>
              <w:bottom w:val="nil"/>
              <w:right w:val="nil"/>
            </w:tcBorders>
            <w:shd w:val="clear" w:color="auto" w:fill="auto"/>
            <w:vAlign w:val="center"/>
            <w:hideMark/>
          </w:tcPr>
          <w:p w14:paraId="33C0D14B"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13,7</w:t>
            </w:r>
          </w:p>
        </w:tc>
        <w:tc>
          <w:tcPr>
            <w:tcW w:w="278" w:type="dxa"/>
            <w:tcBorders>
              <w:top w:val="nil"/>
              <w:left w:val="nil"/>
              <w:bottom w:val="nil"/>
              <w:right w:val="nil"/>
            </w:tcBorders>
            <w:shd w:val="clear" w:color="auto" w:fill="auto"/>
            <w:noWrap/>
            <w:tcMar>
              <w:left w:w="0" w:type="dxa"/>
              <w:right w:w="0" w:type="dxa"/>
            </w:tcMar>
            <w:vAlign w:val="center"/>
            <w:hideMark/>
          </w:tcPr>
          <w:p w14:paraId="072A054A"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72198F98"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59A69E66"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11.567</w:t>
            </w:r>
          </w:p>
        </w:tc>
        <w:tc>
          <w:tcPr>
            <w:tcW w:w="870" w:type="dxa"/>
            <w:tcBorders>
              <w:top w:val="nil"/>
              <w:left w:val="nil"/>
              <w:bottom w:val="nil"/>
              <w:right w:val="nil"/>
            </w:tcBorders>
            <w:shd w:val="clear" w:color="auto" w:fill="auto"/>
            <w:vAlign w:val="center"/>
            <w:hideMark/>
          </w:tcPr>
          <w:p w14:paraId="68178359"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10,8</w:t>
            </w:r>
          </w:p>
        </w:tc>
      </w:tr>
      <w:tr w:rsidR="00013519" w:rsidRPr="006E600D" w14:paraId="3D035EFF" w14:textId="77777777" w:rsidTr="008D25C9">
        <w:trPr>
          <w:trHeight w:val="680"/>
          <w:jc w:val="center"/>
        </w:trPr>
        <w:tc>
          <w:tcPr>
            <w:tcW w:w="1020" w:type="dxa"/>
            <w:tcBorders>
              <w:top w:val="nil"/>
              <w:left w:val="nil"/>
              <w:bottom w:val="nil"/>
              <w:right w:val="nil"/>
            </w:tcBorders>
            <w:shd w:val="clear" w:color="auto" w:fill="auto"/>
            <w:vAlign w:val="center"/>
            <w:hideMark/>
          </w:tcPr>
          <w:p w14:paraId="2BE07DC4"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Q</w:t>
            </w:r>
          </w:p>
        </w:tc>
        <w:tc>
          <w:tcPr>
            <w:tcW w:w="1959" w:type="dxa"/>
            <w:tcBorders>
              <w:top w:val="nil"/>
              <w:left w:val="nil"/>
              <w:bottom w:val="nil"/>
              <w:right w:val="nil"/>
            </w:tcBorders>
            <w:shd w:val="clear" w:color="auto" w:fill="auto"/>
            <w:tcMar>
              <w:left w:w="0" w:type="dxa"/>
              <w:right w:w="0" w:type="dxa"/>
            </w:tcMar>
            <w:vAlign w:val="center"/>
            <w:hideMark/>
          </w:tcPr>
          <w:p w14:paraId="5D75DD37" w14:textId="77777777" w:rsidR="00013519" w:rsidRDefault="006E600D" w:rsidP="006E600D">
            <w:pPr>
              <w:rPr>
                <w:rFonts w:ascii="Verdana" w:eastAsia="Times New Roman" w:hAnsi="Verdana" w:cs="Calibri"/>
                <w:color w:val="365F91"/>
                <w:sz w:val="18"/>
                <w:szCs w:val="18"/>
                <w:lang w:val="el-GR" w:eastAsia="en-CY" w:bidi="he-IL"/>
              </w:rPr>
            </w:pPr>
            <w:r w:rsidRPr="006E600D">
              <w:rPr>
                <w:rFonts w:ascii="Verdana" w:eastAsia="Times New Roman" w:hAnsi="Verdana" w:cs="Calibri"/>
                <w:color w:val="365F91"/>
                <w:sz w:val="18"/>
                <w:szCs w:val="18"/>
                <w:lang w:val="el-GR" w:eastAsia="en-CY" w:bidi="he-IL"/>
              </w:rPr>
              <w:t xml:space="preserve">Δραστηριότητες Σχετικές με την Ανθρώπινη Υγεία </w:t>
            </w:r>
          </w:p>
          <w:p w14:paraId="5E45A111" w14:textId="724F0B6A"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και την Κοινωνική Μέριμνα</w:t>
            </w:r>
          </w:p>
        </w:tc>
        <w:tc>
          <w:tcPr>
            <w:tcW w:w="950" w:type="dxa"/>
            <w:tcBorders>
              <w:top w:val="nil"/>
              <w:left w:val="nil"/>
              <w:bottom w:val="nil"/>
              <w:right w:val="nil"/>
            </w:tcBorders>
            <w:shd w:val="clear" w:color="auto" w:fill="auto"/>
            <w:tcMar>
              <w:right w:w="0" w:type="dxa"/>
            </w:tcMar>
            <w:vAlign w:val="center"/>
            <w:hideMark/>
          </w:tcPr>
          <w:p w14:paraId="3040F35A"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1.015,2</w:t>
            </w:r>
          </w:p>
        </w:tc>
        <w:tc>
          <w:tcPr>
            <w:tcW w:w="870" w:type="dxa"/>
            <w:tcBorders>
              <w:top w:val="nil"/>
              <w:left w:val="nil"/>
              <w:bottom w:val="nil"/>
              <w:right w:val="nil"/>
            </w:tcBorders>
            <w:shd w:val="clear" w:color="auto" w:fill="auto"/>
            <w:vAlign w:val="center"/>
            <w:hideMark/>
          </w:tcPr>
          <w:p w14:paraId="46C485EF"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20,2</w:t>
            </w:r>
          </w:p>
        </w:tc>
        <w:tc>
          <w:tcPr>
            <w:tcW w:w="278" w:type="dxa"/>
            <w:tcBorders>
              <w:top w:val="nil"/>
              <w:left w:val="nil"/>
              <w:bottom w:val="nil"/>
              <w:right w:val="nil"/>
            </w:tcBorders>
            <w:shd w:val="clear" w:color="auto" w:fill="auto"/>
            <w:tcMar>
              <w:left w:w="0" w:type="dxa"/>
              <w:right w:w="0" w:type="dxa"/>
            </w:tcMar>
            <w:vAlign w:val="center"/>
            <w:hideMark/>
          </w:tcPr>
          <w:p w14:paraId="7C52EB2D"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141516E2" w14:textId="28E0E339"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081BA78F"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643,7</w:t>
            </w:r>
          </w:p>
        </w:tc>
        <w:tc>
          <w:tcPr>
            <w:tcW w:w="974" w:type="dxa"/>
            <w:tcBorders>
              <w:top w:val="nil"/>
              <w:left w:val="nil"/>
              <w:bottom w:val="nil"/>
              <w:right w:val="nil"/>
            </w:tcBorders>
            <w:shd w:val="clear" w:color="auto" w:fill="auto"/>
            <w:vAlign w:val="center"/>
            <w:hideMark/>
          </w:tcPr>
          <w:p w14:paraId="27F7C90E"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19,8</w:t>
            </w:r>
          </w:p>
        </w:tc>
        <w:tc>
          <w:tcPr>
            <w:tcW w:w="278" w:type="dxa"/>
            <w:tcBorders>
              <w:top w:val="nil"/>
              <w:left w:val="nil"/>
              <w:bottom w:val="nil"/>
              <w:right w:val="nil"/>
            </w:tcBorders>
            <w:shd w:val="clear" w:color="auto" w:fill="auto"/>
            <w:noWrap/>
            <w:tcMar>
              <w:left w:w="0" w:type="dxa"/>
              <w:right w:w="0" w:type="dxa"/>
            </w:tcMar>
            <w:vAlign w:val="center"/>
            <w:hideMark/>
          </w:tcPr>
          <w:p w14:paraId="67E8E916"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6D42EA60"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3B26489B"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15.619</w:t>
            </w:r>
          </w:p>
        </w:tc>
        <w:tc>
          <w:tcPr>
            <w:tcW w:w="870" w:type="dxa"/>
            <w:tcBorders>
              <w:top w:val="nil"/>
              <w:left w:val="nil"/>
              <w:bottom w:val="nil"/>
              <w:right w:val="nil"/>
            </w:tcBorders>
            <w:shd w:val="clear" w:color="auto" w:fill="auto"/>
            <w:vAlign w:val="center"/>
            <w:hideMark/>
          </w:tcPr>
          <w:p w14:paraId="46BC3328"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eastAsia="en-CY" w:bidi="he-IL"/>
              </w:rPr>
              <w:t>16,0</w:t>
            </w:r>
          </w:p>
        </w:tc>
      </w:tr>
      <w:tr w:rsidR="00013519" w:rsidRPr="006E600D" w14:paraId="3E59AD59" w14:textId="77777777" w:rsidTr="008D25C9">
        <w:trPr>
          <w:trHeight w:val="680"/>
          <w:jc w:val="center"/>
        </w:trPr>
        <w:tc>
          <w:tcPr>
            <w:tcW w:w="1020" w:type="dxa"/>
            <w:tcBorders>
              <w:top w:val="nil"/>
              <w:left w:val="nil"/>
              <w:bottom w:val="nil"/>
              <w:right w:val="nil"/>
            </w:tcBorders>
            <w:shd w:val="clear" w:color="auto" w:fill="auto"/>
            <w:vAlign w:val="center"/>
            <w:hideMark/>
          </w:tcPr>
          <w:p w14:paraId="456031D5"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R</w:t>
            </w:r>
          </w:p>
        </w:tc>
        <w:tc>
          <w:tcPr>
            <w:tcW w:w="1959" w:type="dxa"/>
            <w:tcBorders>
              <w:top w:val="nil"/>
              <w:left w:val="nil"/>
              <w:bottom w:val="nil"/>
              <w:right w:val="nil"/>
            </w:tcBorders>
            <w:shd w:val="clear" w:color="auto" w:fill="auto"/>
            <w:tcMar>
              <w:left w:w="0" w:type="dxa"/>
              <w:right w:w="0" w:type="dxa"/>
            </w:tcMar>
            <w:vAlign w:val="center"/>
            <w:hideMark/>
          </w:tcPr>
          <w:p w14:paraId="16648003"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Τέχνες, Διασκέδαση και Ψυχαγωγία</w:t>
            </w:r>
          </w:p>
        </w:tc>
        <w:tc>
          <w:tcPr>
            <w:tcW w:w="950" w:type="dxa"/>
            <w:tcBorders>
              <w:top w:val="nil"/>
              <w:left w:val="nil"/>
              <w:bottom w:val="nil"/>
              <w:right w:val="nil"/>
            </w:tcBorders>
            <w:shd w:val="clear" w:color="auto" w:fill="auto"/>
            <w:tcMar>
              <w:right w:w="0" w:type="dxa"/>
            </w:tcMar>
            <w:vAlign w:val="center"/>
            <w:hideMark/>
          </w:tcPr>
          <w:p w14:paraId="288FBF72"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463,1</w:t>
            </w:r>
          </w:p>
        </w:tc>
        <w:tc>
          <w:tcPr>
            <w:tcW w:w="870" w:type="dxa"/>
            <w:tcBorders>
              <w:top w:val="nil"/>
              <w:left w:val="nil"/>
              <w:bottom w:val="nil"/>
              <w:right w:val="nil"/>
            </w:tcBorders>
            <w:shd w:val="clear" w:color="auto" w:fill="auto"/>
            <w:vAlign w:val="center"/>
            <w:hideMark/>
          </w:tcPr>
          <w:p w14:paraId="2DB02F6A"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24,8</w:t>
            </w:r>
          </w:p>
        </w:tc>
        <w:tc>
          <w:tcPr>
            <w:tcW w:w="278" w:type="dxa"/>
            <w:tcBorders>
              <w:top w:val="nil"/>
              <w:left w:val="nil"/>
              <w:bottom w:val="nil"/>
              <w:right w:val="nil"/>
            </w:tcBorders>
            <w:shd w:val="clear" w:color="auto" w:fill="auto"/>
            <w:tcMar>
              <w:left w:w="0" w:type="dxa"/>
              <w:right w:w="0" w:type="dxa"/>
            </w:tcMar>
            <w:vAlign w:val="center"/>
            <w:hideMark/>
          </w:tcPr>
          <w:p w14:paraId="5B17B56C"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3797C7C0" w14:textId="5679CC69"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54D6F095"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215,7</w:t>
            </w:r>
          </w:p>
        </w:tc>
        <w:tc>
          <w:tcPr>
            <w:tcW w:w="974" w:type="dxa"/>
            <w:tcBorders>
              <w:top w:val="nil"/>
              <w:left w:val="nil"/>
              <w:bottom w:val="nil"/>
              <w:right w:val="nil"/>
            </w:tcBorders>
            <w:shd w:val="clear" w:color="auto" w:fill="auto"/>
            <w:vAlign w:val="center"/>
            <w:hideMark/>
          </w:tcPr>
          <w:p w14:paraId="54D86A2E"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40,5</w:t>
            </w:r>
          </w:p>
        </w:tc>
        <w:tc>
          <w:tcPr>
            <w:tcW w:w="278" w:type="dxa"/>
            <w:tcBorders>
              <w:top w:val="nil"/>
              <w:left w:val="nil"/>
              <w:bottom w:val="nil"/>
              <w:right w:val="nil"/>
            </w:tcBorders>
            <w:shd w:val="clear" w:color="auto" w:fill="auto"/>
            <w:noWrap/>
            <w:tcMar>
              <w:left w:w="0" w:type="dxa"/>
              <w:right w:w="0" w:type="dxa"/>
            </w:tcMar>
            <w:vAlign w:val="center"/>
            <w:hideMark/>
          </w:tcPr>
          <w:p w14:paraId="0D6E4FB0"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5BF3D8C5"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34CFE27F"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7.025</w:t>
            </w:r>
          </w:p>
        </w:tc>
        <w:tc>
          <w:tcPr>
            <w:tcW w:w="870" w:type="dxa"/>
            <w:tcBorders>
              <w:top w:val="nil"/>
              <w:left w:val="nil"/>
              <w:bottom w:val="nil"/>
              <w:right w:val="nil"/>
            </w:tcBorders>
            <w:shd w:val="clear" w:color="auto" w:fill="auto"/>
            <w:vAlign w:val="center"/>
            <w:hideMark/>
          </w:tcPr>
          <w:p w14:paraId="2630EF51"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13,6</w:t>
            </w:r>
          </w:p>
        </w:tc>
      </w:tr>
      <w:tr w:rsidR="00013519" w:rsidRPr="006E600D" w14:paraId="7C1C1C78" w14:textId="77777777" w:rsidTr="008D25C9">
        <w:trPr>
          <w:trHeight w:val="680"/>
          <w:jc w:val="center"/>
        </w:trPr>
        <w:tc>
          <w:tcPr>
            <w:tcW w:w="1020" w:type="dxa"/>
            <w:tcBorders>
              <w:top w:val="nil"/>
              <w:left w:val="nil"/>
              <w:bottom w:val="nil"/>
              <w:right w:val="nil"/>
            </w:tcBorders>
            <w:shd w:val="clear" w:color="auto" w:fill="auto"/>
            <w:vAlign w:val="center"/>
            <w:hideMark/>
          </w:tcPr>
          <w:p w14:paraId="115C0EA5"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S</w:t>
            </w:r>
          </w:p>
        </w:tc>
        <w:tc>
          <w:tcPr>
            <w:tcW w:w="1959" w:type="dxa"/>
            <w:tcBorders>
              <w:top w:val="nil"/>
              <w:left w:val="nil"/>
              <w:bottom w:val="nil"/>
              <w:right w:val="nil"/>
            </w:tcBorders>
            <w:shd w:val="clear" w:color="auto" w:fill="auto"/>
            <w:tcMar>
              <w:left w:w="0" w:type="dxa"/>
              <w:right w:w="0" w:type="dxa"/>
            </w:tcMar>
            <w:vAlign w:val="center"/>
            <w:hideMark/>
          </w:tcPr>
          <w:p w14:paraId="13AA8538"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Άλλες Δραστηριότητες Παροχής Υπηρεσιών</w:t>
            </w:r>
          </w:p>
        </w:tc>
        <w:tc>
          <w:tcPr>
            <w:tcW w:w="950" w:type="dxa"/>
            <w:tcBorders>
              <w:top w:val="nil"/>
              <w:left w:val="nil"/>
              <w:bottom w:val="nil"/>
              <w:right w:val="nil"/>
            </w:tcBorders>
            <w:shd w:val="clear" w:color="auto" w:fill="auto"/>
            <w:tcMar>
              <w:right w:w="0" w:type="dxa"/>
            </w:tcMar>
            <w:vAlign w:val="center"/>
            <w:hideMark/>
          </w:tcPr>
          <w:p w14:paraId="0FC56E71"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388,3</w:t>
            </w:r>
          </w:p>
        </w:tc>
        <w:tc>
          <w:tcPr>
            <w:tcW w:w="870" w:type="dxa"/>
            <w:tcBorders>
              <w:top w:val="nil"/>
              <w:left w:val="nil"/>
              <w:bottom w:val="nil"/>
              <w:right w:val="nil"/>
            </w:tcBorders>
            <w:shd w:val="clear" w:color="auto" w:fill="auto"/>
            <w:vAlign w:val="center"/>
            <w:hideMark/>
          </w:tcPr>
          <w:p w14:paraId="242AA843"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19,6</w:t>
            </w:r>
          </w:p>
        </w:tc>
        <w:tc>
          <w:tcPr>
            <w:tcW w:w="278" w:type="dxa"/>
            <w:tcBorders>
              <w:top w:val="nil"/>
              <w:left w:val="nil"/>
              <w:bottom w:val="nil"/>
              <w:right w:val="nil"/>
            </w:tcBorders>
            <w:shd w:val="clear" w:color="auto" w:fill="auto"/>
            <w:tcMar>
              <w:left w:w="0" w:type="dxa"/>
              <w:right w:w="0" w:type="dxa"/>
            </w:tcMar>
            <w:vAlign w:val="center"/>
            <w:hideMark/>
          </w:tcPr>
          <w:p w14:paraId="1385E98F"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tcMar>
              <w:left w:w="0" w:type="dxa"/>
              <w:right w:w="0" w:type="dxa"/>
            </w:tcMar>
            <w:vAlign w:val="center"/>
            <w:hideMark/>
          </w:tcPr>
          <w:p w14:paraId="135DD6EA" w14:textId="19A3B5A8"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1023" w:type="dxa"/>
            <w:tcBorders>
              <w:top w:val="nil"/>
              <w:left w:val="nil"/>
              <w:bottom w:val="nil"/>
              <w:right w:val="nil"/>
            </w:tcBorders>
            <w:shd w:val="clear" w:color="auto" w:fill="auto"/>
            <w:tcMar>
              <w:right w:w="0" w:type="dxa"/>
            </w:tcMar>
            <w:vAlign w:val="center"/>
            <w:hideMark/>
          </w:tcPr>
          <w:p w14:paraId="120A78D2"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226,3</w:t>
            </w:r>
          </w:p>
        </w:tc>
        <w:tc>
          <w:tcPr>
            <w:tcW w:w="974" w:type="dxa"/>
            <w:tcBorders>
              <w:top w:val="nil"/>
              <w:left w:val="nil"/>
              <w:bottom w:val="nil"/>
              <w:right w:val="nil"/>
            </w:tcBorders>
            <w:shd w:val="clear" w:color="auto" w:fill="auto"/>
            <w:vAlign w:val="center"/>
            <w:hideMark/>
          </w:tcPr>
          <w:p w14:paraId="36C9D167"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17,0</w:t>
            </w:r>
          </w:p>
        </w:tc>
        <w:tc>
          <w:tcPr>
            <w:tcW w:w="278" w:type="dxa"/>
            <w:tcBorders>
              <w:top w:val="nil"/>
              <w:left w:val="nil"/>
              <w:bottom w:val="nil"/>
              <w:right w:val="nil"/>
            </w:tcBorders>
            <w:shd w:val="clear" w:color="auto" w:fill="auto"/>
            <w:noWrap/>
            <w:tcMar>
              <w:left w:w="0" w:type="dxa"/>
              <w:right w:w="0" w:type="dxa"/>
            </w:tcMar>
            <w:vAlign w:val="center"/>
            <w:hideMark/>
          </w:tcPr>
          <w:p w14:paraId="77733056" w14:textId="77777777" w:rsidR="006E600D" w:rsidRPr="006E600D" w:rsidRDefault="006E600D" w:rsidP="006E600D">
            <w:pPr>
              <w:jc w:val="right"/>
              <w:rPr>
                <w:rFonts w:ascii="Verdana" w:eastAsia="Times New Roman" w:hAnsi="Verdana" w:cs="Calibri"/>
                <w:color w:val="365F91"/>
                <w:sz w:val="18"/>
                <w:szCs w:val="18"/>
                <w:lang w:val="en-CY" w:eastAsia="en-CY" w:bidi="he-IL"/>
              </w:rPr>
            </w:pPr>
          </w:p>
        </w:tc>
        <w:tc>
          <w:tcPr>
            <w:tcW w:w="278" w:type="dxa"/>
            <w:tcBorders>
              <w:top w:val="nil"/>
              <w:left w:val="single" w:sz="8" w:space="0" w:color="365F91"/>
              <w:bottom w:val="nil"/>
              <w:right w:val="nil"/>
            </w:tcBorders>
            <w:shd w:val="clear" w:color="auto" w:fill="auto"/>
            <w:noWrap/>
            <w:tcMar>
              <w:left w:w="0" w:type="dxa"/>
              <w:right w:w="0" w:type="dxa"/>
            </w:tcMar>
            <w:vAlign w:val="center"/>
            <w:hideMark/>
          </w:tcPr>
          <w:p w14:paraId="19123DDE"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nil"/>
              <w:right w:val="nil"/>
            </w:tcBorders>
            <w:shd w:val="clear" w:color="auto" w:fill="auto"/>
            <w:tcMar>
              <w:right w:w="142" w:type="dxa"/>
            </w:tcMar>
            <w:vAlign w:val="center"/>
            <w:hideMark/>
          </w:tcPr>
          <w:p w14:paraId="6BDC3368"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12.022</w:t>
            </w:r>
          </w:p>
        </w:tc>
        <w:tc>
          <w:tcPr>
            <w:tcW w:w="870" w:type="dxa"/>
            <w:tcBorders>
              <w:top w:val="nil"/>
              <w:left w:val="nil"/>
              <w:bottom w:val="nil"/>
              <w:right w:val="nil"/>
            </w:tcBorders>
            <w:shd w:val="clear" w:color="auto" w:fill="auto"/>
            <w:vAlign w:val="center"/>
            <w:hideMark/>
          </w:tcPr>
          <w:p w14:paraId="79ACFABD" w14:textId="77777777" w:rsidR="006E600D" w:rsidRPr="006E600D" w:rsidRDefault="006E600D" w:rsidP="006E600D">
            <w:pPr>
              <w:jc w:val="right"/>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6,9</w:t>
            </w:r>
          </w:p>
        </w:tc>
      </w:tr>
      <w:tr w:rsidR="00013519" w:rsidRPr="006E600D" w14:paraId="5182C7B0" w14:textId="77777777" w:rsidTr="008D25C9">
        <w:trPr>
          <w:trHeight w:hRule="exact" w:val="113"/>
          <w:jc w:val="center"/>
        </w:trPr>
        <w:tc>
          <w:tcPr>
            <w:tcW w:w="1020" w:type="dxa"/>
            <w:tcBorders>
              <w:top w:val="nil"/>
              <w:left w:val="nil"/>
              <w:bottom w:val="single" w:sz="8" w:space="0" w:color="365F91"/>
              <w:right w:val="nil"/>
            </w:tcBorders>
            <w:shd w:val="clear" w:color="auto" w:fill="auto"/>
            <w:vAlign w:val="center"/>
            <w:hideMark/>
          </w:tcPr>
          <w:p w14:paraId="5D7D1284" w14:textId="77777777" w:rsidR="006E600D" w:rsidRPr="006E600D" w:rsidRDefault="006E600D" w:rsidP="006E600D">
            <w:pPr>
              <w:jc w:val="cente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959" w:type="dxa"/>
            <w:tcBorders>
              <w:top w:val="nil"/>
              <w:left w:val="nil"/>
              <w:bottom w:val="single" w:sz="8" w:space="0" w:color="365F91"/>
              <w:right w:val="nil"/>
            </w:tcBorders>
            <w:shd w:val="clear" w:color="auto" w:fill="auto"/>
            <w:vAlign w:val="center"/>
            <w:hideMark/>
          </w:tcPr>
          <w:p w14:paraId="223C3396"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950" w:type="dxa"/>
            <w:tcBorders>
              <w:top w:val="nil"/>
              <w:left w:val="nil"/>
              <w:bottom w:val="single" w:sz="8" w:space="0" w:color="365F91"/>
              <w:right w:val="nil"/>
            </w:tcBorders>
            <w:shd w:val="clear" w:color="auto" w:fill="auto"/>
            <w:vAlign w:val="center"/>
            <w:hideMark/>
          </w:tcPr>
          <w:p w14:paraId="7A93CEF7"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870" w:type="dxa"/>
            <w:tcBorders>
              <w:top w:val="nil"/>
              <w:left w:val="nil"/>
              <w:bottom w:val="single" w:sz="8" w:space="0" w:color="365F91"/>
              <w:right w:val="nil"/>
            </w:tcBorders>
            <w:shd w:val="clear" w:color="auto" w:fill="auto"/>
            <w:vAlign w:val="center"/>
            <w:hideMark/>
          </w:tcPr>
          <w:p w14:paraId="1377D2E4"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278" w:type="dxa"/>
            <w:tcBorders>
              <w:top w:val="nil"/>
              <w:left w:val="nil"/>
              <w:bottom w:val="single" w:sz="8" w:space="0" w:color="365F91"/>
              <w:right w:val="nil"/>
            </w:tcBorders>
            <w:shd w:val="clear" w:color="auto" w:fill="auto"/>
            <w:tcMar>
              <w:left w:w="0" w:type="dxa"/>
              <w:right w:w="0" w:type="dxa"/>
            </w:tcMar>
            <w:vAlign w:val="center"/>
            <w:hideMark/>
          </w:tcPr>
          <w:p w14:paraId="76E243B9"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278" w:type="dxa"/>
            <w:tcBorders>
              <w:top w:val="nil"/>
              <w:left w:val="single" w:sz="8" w:space="0" w:color="365F91"/>
              <w:bottom w:val="single" w:sz="8" w:space="0" w:color="365F91"/>
              <w:right w:val="nil"/>
            </w:tcBorders>
            <w:shd w:val="clear" w:color="auto" w:fill="auto"/>
            <w:tcMar>
              <w:left w:w="0" w:type="dxa"/>
              <w:right w:w="0" w:type="dxa"/>
            </w:tcMar>
            <w:vAlign w:val="center"/>
            <w:hideMark/>
          </w:tcPr>
          <w:p w14:paraId="614D1AAC"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3" w:type="dxa"/>
            <w:tcBorders>
              <w:top w:val="nil"/>
              <w:left w:val="nil"/>
              <w:bottom w:val="single" w:sz="8" w:space="0" w:color="365F91"/>
              <w:right w:val="nil"/>
            </w:tcBorders>
            <w:shd w:val="clear" w:color="auto" w:fill="auto"/>
            <w:vAlign w:val="center"/>
            <w:hideMark/>
          </w:tcPr>
          <w:p w14:paraId="66052C19"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974" w:type="dxa"/>
            <w:tcBorders>
              <w:top w:val="nil"/>
              <w:left w:val="nil"/>
              <w:bottom w:val="single" w:sz="8" w:space="0" w:color="365F91"/>
              <w:right w:val="nil"/>
            </w:tcBorders>
            <w:shd w:val="clear" w:color="auto" w:fill="auto"/>
            <w:vAlign w:val="center"/>
            <w:hideMark/>
          </w:tcPr>
          <w:p w14:paraId="6F799F55"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278" w:type="dxa"/>
            <w:tcBorders>
              <w:top w:val="nil"/>
              <w:left w:val="nil"/>
              <w:bottom w:val="single" w:sz="8" w:space="0" w:color="365F91"/>
              <w:right w:val="nil"/>
            </w:tcBorders>
            <w:shd w:val="clear" w:color="auto" w:fill="auto"/>
            <w:noWrap/>
            <w:tcMar>
              <w:left w:w="0" w:type="dxa"/>
              <w:right w:w="0" w:type="dxa"/>
            </w:tcMar>
            <w:vAlign w:val="center"/>
            <w:hideMark/>
          </w:tcPr>
          <w:p w14:paraId="27E2816F"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278" w:type="dxa"/>
            <w:tcBorders>
              <w:top w:val="nil"/>
              <w:left w:val="single" w:sz="8" w:space="0" w:color="365F91"/>
              <w:bottom w:val="single" w:sz="8" w:space="0" w:color="365F91"/>
              <w:right w:val="nil"/>
            </w:tcBorders>
            <w:shd w:val="clear" w:color="auto" w:fill="auto"/>
            <w:noWrap/>
            <w:tcMar>
              <w:left w:w="0" w:type="dxa"/>
              <w:right w:w="0" w:type="dxa"/>
            </w:tcMar>
            <w:vAlign w:val="center"/>
            <w:hideMark/>
          </w:tcPr>
          <w:p w14:paraId="378C350C"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1025" w:type="dxa"/>
            <w:tcBorders>
              <w:top w:val="nil"/>
              <w:left w:val="nil"/>
              <w:bottom w:val="single" w:sz="8" w:space="0" w:color="365F91"/>
              <w:right w:val="nil"/>
            </w:tcBorders>
            <w:shd w:val="clear" w:color="auto" w:fill="auto"/>
            <w:vAlign w:val="center"/>
            <w:hideMark/>
          </w:tcPr>
          <w:p w14:paraId="18DBF044"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n-CY" w:eastAsia="en-CY" w:bidi="he-IL"/>
              </w:rPr>
              <w:t> </w:t>
            </w:r>
          </w:p>
        </w:tc>
        <w:tc>
          <w:tcPr>
            <w:tcW w:w="870" w:type="dxa"/>
            <w:tcBorders>
              <w:top w:val="nil"/>
              <w:left w:val="nil"/>
              <w:bottom w:val="single" w:sz="8" w:space="0" w:color="365F91"/>
              <w:right w:val="nil"/>
            </w:tcBorders>
            <w:shd w:val="clear" w:color="auto" w:fill="auto"/>
            <w:vAlign w:val="center"/>
            <w:hideMark/>
          </w:tcPr>
          <w:p w14:paraId="489D318D" w14:textId="77777777" w:rsidR="006E600D" w:rsidRPr="006E600D" w:rsidRDefault="006E600D" w:rsidP="006E600D">
            <w:pPr>
              <w:rPr>
                <w:rFonts w:ascii="Verdana" w:eastAsia="Times New Roman" w:hAnsi="Verdana" w:cs="Calibri"/>
                <w:color w:val="365F91"/>
                <w:sz w:val="18"/>
                <w:szCs w:val="18"/>
                <w:lang w:val="en-CY" w:eastAsia="en-CY" w:bidi="he-IL"/>
              </w:rPr>
            </w:pPr>
            <w:r w:rsidRPr="006E600D">
              <w:rPr>
                <w:rFonts w:ascii="Verdana" w:eastAsia="Times New Roman" w:hAnsi="Verdana" w:cs="Calibri"/>
                <w:color w:val="365F91"/>
                <w:sz w:val="18"/>
                <w:szCs w:val="18"/>
                <w:lang w:val="el-GR" w:eastAsia="en-CY" w:bidi="he-IL"/>
              </w:rPr>
              <w:t> </w:t>
            </w:r>
          </w:p>
        </w:tc>
      </w:tr>
    </w:tbl>
    <w:p w14:paraId="7B3671E0" w14:textId="77777777" w:rsidR="00013519" w:rsidRPr="003C263D" w:rsidRDefault="00013519" w:rsidP="00013519">
      <w:pPr>
        <w:ind w:hanging="284"/>
        <w:rPr>
          <w:rFonts w:ascii="Verdana" w:hAnsi="Verdana" w:cs="Arial"/>
          <w:bCs/>
          <w:iCs/>
          <w:color w:val="365F91"/>
          <w:sz w:val="6"/>
          <w:szCs w:val="6"/>
          <w:lang w:val="el-GR"/>
        </w:rPr>
      </w:pPr>
      <w:bookmarkStart w:id="4" w:name="_Hlk139890316"/>
      <w:bookmarkEnd w:id="1"/>
    </w:p>
    <w:p w14:paraId="44852DF0" w14:textId="72BBA458" w:rsidR="006E600D" w:rsidRDefault="00013519" w:rsidP="00013519">
      <w:pPr>
        <w:jc w:val="both"/>
        <w:rPr>
          <w:rFonts w:ascii="Verdana" w:hAnsi="Verdana" w:cs="Arial"/>
          <w:sz w:val="18"/>
          <w:szCs w:val="18"/>
          <w:lang w:val="el-GR"/>
        </w:rPr>
      </w:pPr>
      <w:r w:rsidRPr="00ED7870">
        <w:rPr>
          <w:rFonts w:ascii="Verdana" w:hAnsi="Verdana" w:cs="Arial"/>
          <w:b/>
          <w:i/>
          <w:color w:val="365F91"/>
          <w:sz w:val="16"/>
          <w:szCs w:val="16"/>
          <w:lang w:val="el-GR"/>
        </w:rPr>
        <w:t>*</w:t>
      </w:r>
      <w:r>
        <w:rPr>
          <w:rFonts w:ascii="Verdana" w:hAnsi="Verdana" w:cs="Arial"/>
          <w:b/>
          <w:i/>
          <w:color w:val="365F91"/>
          <w:sz w:val="16"/>
          <w:szCs w:val="16"/>
          <w:lang w:val="el-GR"/>
        </w:rPr>
        <w:t xml:space="preserve"> Ε</w:t>
      </w:r>
      <w:r w:rsidRPr="00FA6FEA">
        <w:rPr>
          <w:rFonts w:ascii="Verdana" w:hAnsi="Verdana" w:cs="Arial"/>
          <w:b/>
          <w:i/>
          <w:color w:val="365F91"/>
          <w:sz w:val="16"/>
          <w:szCs w:val="16"/>
          <w:lang w:val="el-GR"/>
        </w:rPr>
        <w:t xml:space="preserve">τήσια </w:t>
      </w:r>
      <w:r>
        <w:rPr>
          <w:rFonts w:ascii="Verdana" w:hAnsi="Verdana" w:cs="Arial"/>
          <w:b/>
          <w:i/>
          <w:color w:val="365F91"/>
          <w:sz w:val="16"/>
          <w:szCs w:val="16"/>
          <w:lang w:val="el-GR"/>
        </w:rPr>
        <w:t>ποσοστιαία μεταβολή του 20</w:t>
      </w:r>
      <w:r w:rsidRPr="00243011">
        <w:rPr>
          <w:rFonts w:ascii="Verdana" w:hAnsi="Verdana" w:cs="Arial"/>
          <w:b/>
          <w:i/>
          <w:color w:val="365F91"/>
          <w:sz w:val="16"/>
          <w:szCs w:val="16"/>
          <w:lang w:val="el-GR"/>
        </w:rPr>
        <w:t>2</w:t>
      </w:r>
      <w:r>
        <w:rPr>
          <w:rFonts w:ascii="Verdana" w:hAnsi="Verdana" w:cs="Arial"/>
          <w:b/>
          <w:i/>
          <w:color w:val="365F91"/>
          <w:sz w:val="16"/>
          <w:szCs w:val="16"/>
          <w:lang w:val="el-GR"/>
        </w:rPr>
        <w:t>1 σε σχέση με το 2020</w:t>
      </w:r>
      <w:r w:rsidRPr="00ED7870">
        <w:rPr>
          <w:rFonts w:ascii="Verdana" w:hAnsi="Verdana" w:cs="Arial"/>
          <w:b/>
          <w:i/>
          <w:color w:val="365F91"/>
          <w:sz w:val="16"/>
          <w:szCs w:val="16"/>
          <w:lang w:val="el-GR"/>
        </w:rPr>
        <w:t>.</w:t>
      </w:r>
      <w:r w:rsidRPr="00E15341">
        <w:rPr>
          <w:rFonts w:ascii="Verdana" w:hAnsi="Verdana" w:cs="Arial"/>
          <w:b/>
          <w:i/>
          <w:color w:val="365F91"/>
          <w:sz w:val="16"/>
          <w:szCs w:val="16"/>
          <w:lang w:val="el-GR"/>
        </w:rPr>
        <w:t xml:space="preserve">  </w:t>
      </w:r>
    </w:p>
    <w:bookmarkEnd w:id="4"/>
    <w:p w14:paraId="6C00C711" w14:textId="77777777" w:rsidR="006E600D" w:rsidRDefault="006E600D" w:rsidP="00645125">
      <w:pPr>
        <w:jc w:val="both"/>
        <w:rPr>
          <w:rFonts w:ascii="Verdana" w:hAnsi="Verdana" w:cs="Arial"/>
          <w:sz w:val="18"/>
          <w:szCs w:val="18"/>
          <w:lang w:val="el-GR"/>
        </w:rPr>
      </w:pPr>
    </w:p>
    <w:p w14:paraId="7A5451FE" w14:textId="3368D96B" w:rsidR="000A67A2" w:rsidRDefault="000A67A2">
      <w:pPr>
        <w:rPr>
          <w:rFonts w:ascii="Verdana" w:hAnsi="Verdana" w:cs="Arial"/>
          <w:sz w:val="18"/>
          <w:szCs w:val="18"/>
          <w:lang w:val="el-GR"/>
        </w:rPr>
      </w:pPr>
    </w:p>
    <w:p w14:paraId="54C92594" w14:textId="77777777" w:rsidR="006E600D" w:rsidRDefault="006E600D">
      <w:pPr>
        <w:rPr>
          <w:rFonts w:ascii="Verdana" w:hAnsi="Verdana" w:cs="Arial"/>
          <w:sz w:val="18"/>
          <w:szCs w:val="18"/>
          <w:lang w:val="el-GR"/>
        </w:rPr>
      </w:pPr>
      <w:r>
        <w:rPr>
          <w:rFonts w:ascii="Verdana" w:hAnsi="Verdana" w:cs="Arial"/>
          <w:sz w:val="18"/>
          <w:szCs w:val="18"/>
          <w:lang w:val="el-GR"/>
        </w:rPr>
        <w:br w:type="page"/>
      </w:r>
    </w:p>
    <w:p w14:paraId="142DCF93" w14:textId="77777777" w:rsidR="003D1520" w:rsidRPr="002E7399" w:rsidRDefault="003D1520" w:rsidP="00645125">
      <w:pPr>
        <w:jc w:val="both"/>
        <w:rPr>
          <w:rFonts w:ascii="Verdana" w:hAnsi="Verdana" w:cs="Arial"/>
          <w:sz w:val="18"/>
          <w:szCs w:val="18"/>
          <w:lang w:val="el-GR"/>
        </w:rPr>
      </w:pPr>
    </w:p>
    <w:p w14:paraId="5AAE47C4" w14:textId="79E84237" w:rsidR="00645125" w:rsidRPr="00915B05" w:rsidRDefault="00645125" w:rsidP="00D452E3">
      <w:pPr>
        <w:jc w:val="center"/>
        <w:rPr>
          <w:rFonts w:ascii="Verdana" w:hAnsi="Verdana" w:cs="Arial"/>
          <w:b/>
          <w:u w:val="single"/>
          <w:lang w:val="el-GR"/>
        </w:rPr>
      </w:pPr>
      <w:r w:rsidRPr="00915B05">
        <w:rPr>
          <w:rFonts w:ascii="Verdana" w:hAnsi="Verdana" w:cs="Arial"/>
          <w:b/>
          <w:u w:val="single"/>
          <w:lang w:val="el-GR"/>
        </w:rPr>
        <w:t>ΜΕΘΟΔΟΛΟΓΙΚΕΣ ΠΛΗΡΟΦΟΡΙΕΣ</w:t>
      </w:r>
    </w:p>
    <w:p w14:paraId="6B03FFD8" w14:textId="77777777" w:rsidR="00645125" w:rsidRPr="00915B05" w:rsidRDefault="00645125" w:rsidP="00645125">
      <w:pPr>
        <w:jc w:val="both"/>
        <w:rPr>
          <w:rFonts w:ascii="Verdana" w:hAnsi="Verdana" w:cs="Arial"/>
          <w:b/>
          <w:sz w:val="18"/>
          <w:szCs w:val="18"/>
          <w:u w:val="single"/>
          <w:lang w:val="el-GR"/>
        </w:rPr>
      </w:pPr>
    </w:p>
    <w:p w14:paraId="137AF2EA" w14:textId="77777777" w:rsidR="00645125" w:rsidRPr="00915B05" w:rsidRDefault="00645125" w:rsidP="00645125">
      <w:pPr>
        <w:jc w:val="both"/>
        <w:rPr>
          <w:rFonts w:ascii="Verdana" w:hAnsi="Verdana" w:cs="Arial"/>
          <w:b/>
          <w:sz w:val="18"/>
          <w:szCs w:val="18"/>
          <w:u w:val="single"/>
          <w:lang w:val="el-GR"/>
        </w:rPr>
      </w:pPr>
      <w:r w:rsidRPr="00915B05">
        <w:rPr>
          <w:rFonts w:ascii="Verdana" w:hAnsi="Verdana" w:cs="Arial"/>
          <w:b/>
          <w:sz w:val="18"/>
          <w:szCs w:val="18"/>
          <w:u w:val="single"/>
          <w:lang w:val="el-GR"/>
        </w:rPr>
        <w:t>Ορισμοί</w:t>
      </w:r>
    </w:p>
    <w:p w14:paraId="6EC5AEC8" w14:textId="77777777" w:rsidR="00645125" w:rsidRPr="00915B05" w:rsidRDefault="00645125" w:rsidP="00645125">
      <w:pPr>
        <w:autoSpaceDE w:val="0"/>
        <w:autoSpaceDN w:val="0"/>
        <w:adjustRightInd w:val="0"/>
        <w:jc w:val="both"/>
        <w:rPr>
          <w:rFonts w:ascii="Verdana" w:hAnsi="Verdana" w:cs="Arial"/>
          <w:b/>
          <w:bCs/>
          <w:color w:val="000000"/>
          <w:sz w:val="18"/>
          <w:szCs w:val="18"/>
          <w:lang w:val="el-GR"/>
        </w:rPr>
      </w:pPr>
    </w:p>
    <w:p w14:paraId="30CF1C34"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b/>
          <w:bCs/>
          <w:color w:val="000000"/>
          <w:sz w:val="18"/>
          <w:szCs w:val="18"/>
          <w:lang w:val="el-GR"/>
        </w:rPr>
        <w:t xml:space="preserve">Απασχόληση </w:t>
      </w:r>
      <w:r w:rsidRPr="00915B05">
        <w:rPr>
          <w:rFonts w:ascii="Verdana" w:hAnsi="Verdana" w:cs="Arial"/>
          <w:color w:val="000000"/>
          <w:sz w:val="18"/>
          <w:szCs w:val="18"/>
          <w:lang w:val="el-GR"/>
        </w:rPr>
        <w:t>– Ο μέσος όρος του συνολικού αριθμού εργαζομένων κατά τη διάρκεια του έτους, σε ισοδυναμία πλήρους απασχόλησης.</w:t>
      </w:r>
    </w:p>
    <w:p w14:paraId="1479BFF3"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1DC58494" w14:textId="3BB96550"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b/>
          <w:bCs/>
          <w:color w:val="000000"/>
          <w:sz w:val="18"/>
          <w:szCs w:val="18"/>
          <w:lang w:val="el-GR"/>
        </w:rPr>
        <w:t xml:space="preserve">Αξία </w:t>
      </w:r>
      <w:r w:rsidR="000A67A2">
        <w:rPr>
          <w:rFonts w:ascii="Verdana" w:hAnsi="Verdana" w:cs="Arial"/>
          <w:b/>
          <w:bCs/>
          <w:color w:val="000000"/>
          <w:sz w:val="18"/>
          <w:szCs w:val="18"/>
          <w:lang w:val="el-GR"/>
        </w:rPr>
        <w:t>Π</w:t>
      </w:r>
      <w:r w:rsidRPr="00915B05">
        <w:rPr>
          <w:rFonts w:ascii="Verdana" w:hAnsi="Verdana" w:cs="Arial"/>
          <w:b/>
          <w:bCs/>
          <w:color w:val="000000"/>
          <w:sz w:val="18"/>
          <w:szCs w:val="18"/>
          <w:lang w:val="el-GR"/>
        </w:rPr>
        <w:t xml:space="preserve">αραγωγής </w:t>
      </w:r>
      <w:r w:rsidRPr="00915B05">
        <w:rPr>
          <w:rFonts w:ascii="Verdana" w:hAnsi="Verdana" w:cs="Arial"/>
          <w:bCs/>
          <w:color w:val="000000"/>
          <w:sz w:val="18"/>
          <w:szCs w:val="18"/>
          <w:lang w:val="el-GR"/>
        </w:rPr>
        <w:t xml:space="preserve">– Η </w:t>
      </w:r>
      <w:r w:rsidRPr="00915B05">
        <w:rPr>
          <w:rFonts w:ascii="Verdana" w:hAnsi="Verdana" w:cs="Arial"/>
          <w:color w:val="000000"/>
          <w:sz w:val="18"/>
          <w:szCs w:val="18"/>
          <w:lang w:val="el-GR"/>
        </w:rPr>
        <w:t xml:space="preserve">αξία των </w:t>
      </w:r>
      <w:r>
        <w:rPr>
          <w:rFonts w:ascii="Verdana" w:hAnsi="Verdana" w:cs="Arial"/>
          <w:color w:val="000000"/>
          <w:sz w:val="18"/>
          <w:szCs w:val="18"/>
          <w:lang w:val="el-GR"/>
        </w:rPr>
        <w:t xml:space="preserve">παραχθέντων </w:t>
      </w:r>
      <w:r w:rsidRPr="00915B05">
        <w:rPr>
          <w:rFonts w:ascii="Verdana" w:hAnsi="Verdana" w:cs="Arial"/>
          <w:color w:val="000000"/>
          <w:sz w:val="18"/>
          <w:szCs w:val="18"/>
          <w:lang w:val="el-GR"/>
        </w:rPr>
        <w:t>υπηρεσιών, οι καθαρές εισπράξεις από αγαθά που πωλούνται ακριβώς στην ίδια κατάσταση όπως αγοράζονται και άλλα έσοδα.</w:t>
      </w:r>
    </w:p>
    <w:p w14:paraId="3D7BD731"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52FB39D5" w14:textId="410F269E"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b/>
          <w:color w:val="000000"/>
          <w:sz w:val="18"/>
          <w:szCs w:val="18"/>
          <w:lang w:val="el-GR"/>
        </w:rPr>
        <w:t xml:space="preserve">Προστιθέμενη </w:t>
      </w:r>
      <w:r w:rsidR="000A67A2">
        <w:rPr>
          <w:rFonts w:ascii="Verdana" w:hAnsi="Verdana" w:cs="Arial"/>
          <w:b/>
          <w:color w:val="000000"/>
          <w:sz w:val="18"/>
          <w:szCs w:val="18"/>
          <w:lang w:val="el-GR"/>
        </w:rPr>
        <w:t>Α</w:t>
      </w:r>
      <w:r w:rsidRPr="00915B05">
        <w:rPr>
          <w:rFonts w:ascii="Verdana" w:hAnsi="Verdana" w:cs="Arial"/>
          <w:b/>
          <w:color w:val="000000"/>
          <w:sz w:val="18"/>
          <w:szCs w:val="18"/>
          <w:lang w:val="el-GR"/>
        </w:rPr>
        <w:t>ξία</w:t>
      </w:r>
      <w:r w:rsidRPr="00915B05">
        <w:rPr>
          <w:rFonts w:ascii="Verdana" w:hAnsi="Verdana" w:cs="Arial"/>
          <w:color w:val="000000"/>
          <w:sz w:val="18"/>
          <w:szCs w:val="18"/>
          <w:lang w:val="el-GR"/>
        </w:rPr>
        <w:t xml:space="preserve"> </w:t>
      </w:r>
      <w:r w:rsidRPr="00681017">
        <w:rPr>
          <w:rFonts w:ascii="Verdana" w:hAnsi="Verdana" w:cs="Arial"/>
          <w:b/>
          <w:color w:val="000000"/>
          <w:sz w:val="18"/>
          <w:szCs w:val="18"/>
          <w:lang w:val="el-GR"/>
        </w:rPr>
        <w:t>σε τρέχουσες τιμές</w:t>
      </w:r>
      <w:r>
        <w:rPr>
          <w:rFonts w:ascii="Verdana" w:hAnsi="Verdana" w:cs="Arial"/>
          <w:b/>
          <w:color w:val="000000"/>
          <w:sz w:val="18"/>
          <w:szCs w:val="18"/>
          <w:lang w:val="el-GR"/>
        </w:rPr>
        <w:t xml:space="preserve"> </w:t>
      </w:r>
      <w:r w:rsidRPr="00915B05">
        <w:rPr>
          <w:rFonts w:ascii="Verdana" w:hAnsi="Verdana" w:cs="Arial"/>
          <w:bCs/>
          <w:color w:val="000000"/>
          <w:sz w:val="18"/>
          <w:szCs w:val="18"/>
          <w:lang w:val="el-GR"/>
        </w:rPr>
        <w:t xml:space="preserve">– Προκύπτει </w:t>
      </w:r>
      <w:r w:rsidRPr="00915B05">
        <w:rPr>
          <w:rFonts w:ascii="Verdana" w:hAnsi="Verdana" w:cs="Arial"/>
          <w:color w:val="000000"/>
          <w:sz w:val="18"/>
          <w:szCs w:val="18"/>
          <w:lang w:val="el-GR"/>
        </w:rPr>
        <w:t>αφού αφαιρεθούν από την αξία παραγωγής τα έξοδα παραγωγής, τα διοικητικά έξοδα και τα ενοίκια που πληρώθηκαν για κτίρια και μηχανήματα.</w:t>
      </w:r>
    </w:p>
    <w:p w14:paraId="0AE681B7"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480AFB15"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84F37E8" w14:textId="0C35FB70" w:rsidR="00645125" w:rsidRPr="00915B05" w:rsidRDefault="00645125" w:rsidP="00645125">
      <w:pPr>
        <w:autoSpaceDE w:val="0"/>
        <w:autoSpaceDN w:val="0"/>
        <w:adjustRightInd w:val="0"/>
        <w:jc w:val="both"/>
        <w:rPr>
          <w:rFonts w:ascii="Verdana" w:hAnsi="Verdana" w:cs="Arial"/>
          <w:b/>
          <w:color w:val="000000"/>
          <w:sz w:val="18"/>
          <w:szCs w:val="18"/>
          <w:u w:val="single"/>
          <w:lang w:val="el-GR"/>
        </w:rPr>
      </w:pPr>
      <w:r w:rsidRPr="00915B05">
        <w:rPr>
          <w:rFonts w:ascii="Verdana" w:hAnsi="Verdana" w:cs="Arial"/>
          <w:b/>
          <w:color w:val="000000"/>
          <w:sz w:val="18"/>
          <w:szCs w:val="18"/>
          <w:u w:val="single"/>
          <w:lang w:val="el-GR"/>
        </w:rPr>
        <w:t xml:space="preserve">Κάλυψη και </w:t>
      </w:r>
      <w:r w:rsidR="000A67A2">
        <w:rPr>
          <w:rFonts w:ascii="Verdana" w:hAnsi="Verdana" w:cs="Arial"/>
          <w:b/>
          <w:color w:val="000000"/>
          <w:sz w:val="18"/>
          <w:szCs w:val="18"/>
          <w:u w:val="single"/>
          <w:lang w:val="el-GR"/>
        </w:rPr>
        <w:t>Σ</w:t>
      </w:r>
      <w:r w:rsidRPr="00915B05">
        <w:rPr>
          <w:rFonts w:ascii="Verdana" w:hAnsi="Verdana" w:cs="Arial"/>
          <w:b/>
          <w:color w:val="000000"/>
          <w:sz w:val="18"/>
          <w:szCs w:val="18"/>
          <w:u w:val="single"/>
          <w:lang w:val="el-GR"/>
        </w:rPr>
        <w:t xml:space="preserve">υλλογή </w:t>
      </w:r>
      <w:r w:rsidR="000A67A2">
        <w:rPr>
          <w:rFonts w:ascii="Verdana" w:hAnsi="Verdana" w:cs="Arial"/>
          <w:b/>
          <w:color w:val="000000"/>
          <w:sz w:val="18"/>
          <w:szCs w:val="18"/>
          <w:u w:val="single"/>
          <w:lang w:val="el-GR"/>
        </w:rPr>
        <w:t>Σ</w:t>
      </w:r>
      <w:r w:rsidRPr="00915B05">
        <w:rPr>
          <w:rFonts w:ascii="Verdana" w:hAnsi="Verdana" w:cs="Arial"/>
          <w:b/>
          <w:color w:val="000000"/>
          <w:sz w:val="18"/>
          <w:szCs w:val="18"/>
          <w:u w:val="single"/>
          <w:lang w:val="el-GR"/>
        </w:rPr>
        <w:t>τοιχείων</w:t>
      </w:r>
    </w:p>
    <w:p w14:paraId="4220B2F9" w14:textId="77777777" w:rsidR="00645125" w:rsidRPr="00915B05" w:rsidRDefault="00645125" w:rsidP="00645125">
      <w:pPr>
        <w:autoSpaceDE w:val="0"/>
        <w:autoSpaceDN w:val="0"/>
        <w:adjustRightInd w:val="0"/>
        <w:jc w:val="both"/>
        <w:rPr>
          <w:rFonts w:ascii="Verdana" w:hAnsi="Verdana" w:cs="Arial"/>
          <w:b/>
          <w:color w:val="000000"/>
          <w:sz w:val="18"/>
          <w:szCs w:val="18"/>
          <w:u w:val="single"/>
          <w:lang w:val="el-GR"/>
        </w:rPr>
      </w:pPr>
    </w:p>
    <w:p w14:paraId="7B7EBF50" w14:textId="09F26207" w:rsidR="00645125" w:rsidRPr="00533A38" w:rsidRDefault="00645125" w:rsidP="00645125">
      <w:pPr>
        <w:autoSpaceDE w:val="0"/>
        <w:autoSpaceDN w:val="0"/>
        <w:adjustRightInd w:val="0"/>
        <w:jc w:val="both"/>
        <w:rPr>
          <w:rFonts w:ascii="Verdana" w:hAnsi="Verdana" w:cs="Arial"/>
          <w:sz w:val="18"/>
          <w:szCs w:val="18"/>
          <w:lang w:val="el-GR"/>
        </w:rPr>
      </w:pPr>
      <w:r w:rsidRPr="00533A38">
        <w:rPr>
          <w:rFonts w:ascii="Verdana" w:hAnsi="Verdana" w:cs="Arial"/>
          <w:sz w:val="18"/>
          <w:szCs w:val="18"/>
          <w:lang w:val="el-GR"/>
        </w:rPr>
        <w:t xml:space="preserve">Η Έρευνα Υπηρεσιών και Μεταφορών διενεργείται σε ετήσια βάση στις επιχειρήσεις που η κύρια δραστηριότητά τους εμπίπτει στους τομείς </w:t>
      </w:r>
      <w:r w:rsidRPr="00533A38">
        <w:rPr>
          <w:rFonts w:ascii="Verdana" w:hAnsi="Verdana" w:cs="Arial"/>
          <w:sz w:val="18"/>
          <w:szCs w:val="18"/>
        </w:rPr>
        <w:t>H</w:t>
      </w:r>
      <w:r w:rsidRPr="00533A38">
        <w:rPr>
          <w:rFonts w:ascii="Verdana" w:hAnsi="Verdana" w:cs="Arial"/>
          <w:sz w:val="18"/>
          <w:szCs w:val="18"/>
          <w:lang w:val="el-GR"/>
        </w:rPr>
        <w:t xml:space="preserve"> (Μεταφορές και αποθήκευση), </w:t>
      </w:r>
      <w:r w:rsidRPr="00533A38">
        <w:rPr>
          <w:rFonts w:ascii="Verdana" w:hAnsi="Verdana" w:cs="Arial"/>
          <w:sz w:val="18"/>
          <w:szCs w:val="18"/>
        </w:rPr>
        <w:t>I</w:t>
      </w:r>
      <w:r w:rsidRPr="00533A38">
        <w:rPr>
          <w:rFonts w:ascii="Verdana" w:hAnsi="Verdana" w:cs="Arial"/>
          <w:sz w:val="18"/>
          <w:szCs w:val="18"/>
          <w:lang w:val="el-GR"/>
        </w:rPr>
        <w:t xml:space="preserve"> (Δραστηριότητες υπηρεσιών παροχής καταλύματος και υπηρεσιών εστίασης), </w:t>
      </w:r>
      <w:r w:rsidRPr="00533A38">
        <w:rPr>
          <w:rFonts w:ascii="Verdana" w:hAnsi="Verdana" w:cs="Arial"/>
          <w:sz w:val="18"/>
          <w:szCs w:val="18"/>
        </w:rPr>
        <w:t>J</w:t>
      </w:r>
      <w:r w:rsidRPr="00533A38">
        <w:rPr>
          <w:rFonts w:ascii="Verdana" w:hAnsi="Verdana" w:cs="Arial"/>
          <w:sz w:val="18"/>
          <w:szCs w:val="18"/>
          <w:lang w:val="el-GR"/>
        </w:rPr>
        <w:t xml:space="preserve"> (Ενημέρωση και επικοινωνία), </w:t>
      </w:r>
      <w:r w:rsidRPr="00533A38">
        <w:rPr>
          <w:rFonts w:ascii="Verdana" w:hAnsi="Verdana" w:cs="Arial"/>
          <w:sz w:val="18"/>
          <w:szCs w:val="18"/>
        </w:rPr>
        <w:t>L</w:t>
      </w:r>
      <w:r w:rsidRPr="00533A38">
        <w:rPr>
          <w:rFonts w:ascii="Verdana" w:hAnsi="Verdana" w:cs="Arial"/>
          <w:sz w:val="18"/>
          <w:szCs w:val="18"/>
          <w:lang w:val="el-GR"/>
        </w:rPr>
        <w:t xml:space="preserve"> (Διαχείριση ακίνητης περιουσίας), </w:t>
      </w:r>
      <w:r w:rsidRPr="00533A38">
        <w:rPr>
          <w:rFonts w:ascii="Verdana" w:hAnsi="Verdana" w:cs="Arial"/>
          <w:sz w:val="18"/>
          <w:szCs w:val="18"/>
        </w:rPr>
        <w:t>M</w:t>
      </w:r>
      <w:r w:rsidRPr="00533A38">
        <w:rPr>
          <w:rFonts w:ascii="Verdana" w:hAnsi="Verdana" w:cs="Arial"/>
          <w:sz w:val="18"/>
          <w:szCs w:val="18"/>
          <w:lang w:val="el-GR"/>
        </w:rPr>
        <w:t xml:space="preserve"> (Επαγγελματικές, επιστημονικές και τεχνικές δραστηριότητες)</w:t>
      </w:r>
      <w:r w:rsidR="00533A38" w:rsidRPr="00533A38">
        <w:rPr>
          <w:rFonts w:ascii="Verdana" w:hAnsi="Verdana" w:cs="Arial"/>
          <w:sz w:val="18"/>
          <w:szCs w:val="18"/>
          <w:lang w:val="el-GR"/>
        </w:rPr>
        <w:t>,</w:t>
      </w:r>
      <w:r w:rsidRPr="00533A38">
        <w:rPr>
          <w:rFonts w:ascii="Verdana" w:hAnsi="Verdana" w:cs="Arial"/>
          <w:sz w:val="18"/>
          <w:szCs w:val="18"/>
          <w:lang w:val="el-GR"/>
        </w:rPr>
        <w:t xml:space="preserve"> </w:t>
      </w:r>
      <w:r w:rsidRPr="00533A38">
        <w:rPr>
          <w:rFonts w:ascii="Verdana" w:hAnsi="Verdana" w:cs="Arial"/>
          <w:sz w:val="18"/>
          <w:szCs w:val="18"/>
        </w:rPr>
        <w:t>N</w:t>
      </w:r>
      <w:r w:rsidRPr="00533A38">
        <w:rPr>
          <w:rFonts w:ascii="Verdana" w:hAnsi="Verdana" w:cs="Arial"/>
          <w:sz w:val="18"/>
          <w:szCs w:val="18"/>
          <w:lang w:val="el-GR"/>
        </w:rPr>
        <w:t xml:space="preserve"> (Διοικητικές και υποστηρικτικές δραστηριότητες)</w:t>
      </w:r>
      <w:r w:rsidR="00D452E3" w:rsidRPr="00533A38">
        <w:rPr>
          <w:rFonts w:ascii="Verdana" w:hAnsi="Verdana" w:cs="Arial"/>
          <w:sz w:val="18"/>
          <w:szCs w:val="18"/>
          <w:lang w:val="el-GR"/>
        </w:rPr>
        <w:t xml:space="preserve">, </w:t>
      </w:r>
      <w:r w:rsidR="00D452E3" w:rsidRPr="00533A38">
        <w:rPr>
          <w:rFonts w:ascii="Verdana" w:hAnsi="Verdana" w:cs="Arial"/>
          <w:sz w:val="18"/>
          <w:szCs w:val="18"/>
        </w:rPr>
        <w:t>P</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Εκπαίδευση</w:t>
      </w:r>
      <w:r w:rsidR="00D452E3" w:rsidRPr="00533A38">
        <w:rPr>
          <w:rFonts w:ascii="Verdana" w:hAnsi="Verdana" w:cs="Arial"/>
          <w:sz w:val="18"/>
          <w:szCs w:val="18"/>
          <w:lang w:val="el-GR"/>
        </w:rPr>
        <w:t xml:space="preserve">), </w:t>
      </w:r>
      <w:r w:rsidR="00D452E3" w:rsidRPr="00533A38">
        <w:rPr>
          <w:rFonts w:ascii="Verdana" w:hAnsi="Verdana" w:cs="Arial"/>
          <w:sz w:val="18"/>
          <w:szCs w:val="18"/>
        </w:rPr>
        <w:t>Q</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Δραστηριότητες σχετικές με την ανθρώπινη υγεία και την κοινωνική μέριμνα</w:t>
      </w:r>
      <w:r w:rsidR="00D452E3" w:rsidRPr="00533A38">
        <w:rPr>
          <w:rFonts w:ascii="Verdana" w:hAnsi="Verdana" w:cs="Arial"/>
          <w:sz w:val="18"/>
          <w:szCs w:val="18"/>
          <w:lang w:val="el-GR"/>
        </w:rPr>
        <w:t xml:space="preserve">), </w:t>
      </w:r>
      <w:r w:rsidR="00D452E3" w:rsidRPr="00533A38">
        <w:rPr>
          <w:rFonts w:ascii="Verdana" w:hAnsi="Verdana" w:cs="Arial"/>
          <w:sz w:val="18"/>
          <w:szCs w:val="18"/>
        </w:rPr>
        <w:t>R</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Τέχνες, Διασκέδαση και Ψυχαγωγία</w:t>
      </w:r>
      <w:r w:rsidR="00D452E3" w:rsidRPr="00533A38">
        <w:rPr>
          <w:rFonts w:ascii="Verdana" w:hAnsi="Verdana" w:cs="Arial"/>
          <w:sz w:val="18"/>
          <w:szCs w:val="18"/>
          <w:lang w:val="el-GR"/>
        </w:rPr>
        <w:t>)</w:t>
      </w:r>
      <w:r w:rsidR="00533A38" w:rsidRPr="00533A38">
        <w:rPr>
          <w:rFonts w:ascii="Verdana" w:hAnsi="Verdana" w:cs="Arial"/>
          <w:sz w:val="18"/>
          <w:szCs w:val="18"/>
          <w:lang w:val="el-GR"/>
        </w:rPr>
        <w:t xml:space="preserve"> και</w:t>
      </w:r>
      <w:r w:rsidR="00D452E3" w:rsidRPr="00533A38">
        <w:rPr>
          <w:rFonts w:ascii="Verdana" w:hAnsi="Verdana" w:cs="Arial"/>
          <w:sz w:val="18"/>
          <w:szCs w:val="18"/>
          <w:lang w:val="el-GR"/>
        </w:rPr>
        <w:t xml:space="preserve"> </w:t>
      </w:r>
      <w:r w:rsidR="00D452E3" w:rsidRPr="00533A38">
        <w:rPr>
          <w:rFonts w:ascii="Verdana" w:hAnsi="Verdana" w:cs="Arial"/>
          <w:sz w:val="18"/>
          <w:szCs w:val="18"/>
        </w:rPr>
        <w:t>S</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Άλλες δραστηριότητες παροχής υπηρεσιών</w:t>
      </w:r>
      <w:r w:rsidR="00D452E3" w:rsidRPr="00533A38">
        <w:rPr>
          <w:rFonts w:ascii="Verdana" w:hAnsi="Verdana" w:cs="Arial"/>
          <w:sz w:val="18"/>
          <w:szCs w:val="18"/>
          <w:lang w:val="el-GR"/>
        </w:rPr>
        <w:t xml:space="preserve">) </w:t>
      </w:r>
      <w:r w:rsidRPr="00533A38">
        <w:rPr>
          <w:rFonts w:ascii="Verdana" w:hAnsi="Verdana" w:cs="Arial"/>
          <w:sz w:val="18"/>
          <w:szCs w:val="18"/>
          <w:lang w:val="el-GR"/>
        </w:rPr>
        <w:t xml:space="preserve">του συστήματος ταξινόμησης οικονομικών δραστηριοτήτων </w:t>
      </w:r>
      <w:r w:rsidRPr="00533A38">
        <w:rPr>
          <w:rFonts w:ascii="Verdana" w:hAnsi="Verdana" w:cs="Arial"/>
          <w:sz w:val="18"/>
          <w:szCs w:val="18"/>
        </w:rPr>
        <w:t>NACE</w:t>
      </w:r>
      <w:r w:rsidRPr="00533A38">
        <w:rPr>
          <w:rFonts w:ascii="Verdana" w:hAnsi="Verdana" w:cs="Arial"/>
          <w:sz w:val="18"/>
          <w:szCs w:val="18"/>
          <w:lang w:val="el-GR"/>
        </w:rPr>
        <w:t xml:space="preserve"> </w:t>
      </w:r>
      <w:proofErr w:type="spellStart"/>
      <w:r w:rsidRPr="00533A38">
        <w:rPr>
          <w:rFonts w:ascii="Verdana" w:hAnsi="Verdana" w:cs="Arial"/>
          <w:sz w:val="18"/>
          <w:szCs w:val="18"/>
          <w:lang w:val="el-GR"/>
        </w:rPr>
        <w:t>Αναθ</w:t>
      </w:r>
      <w:proofErr w:type="spellEnd"/>
      <w:r w:rsidRPr="00533A38">
        <w:rPr>
          <w:rFonts w:ascii="Verdana" w:hAnsi="Verdana" w:cs="Arial"/>
          <w:sz w:val="18"/>
          <w:szCs w:val="18"/>
          <w:lang w:val="el-GR"/>
        </w:rPr>
        <w:t>. 2 της Ευρωπαϊκής Ένωσης.</w:t>
      </w:r>
    </w:p>
    <w:p w14:paraId="487E5D7E"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32D58750" w14:textId="374DCE85"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color w:val="000000"/>
          <w:sz w:val="18"/>
          <w:szCs w:val="18"/>
          <w:lang w:val="el-GR"/>
        </w:rPr>
        <w:t>Το 20</w:t>
      </w:r>
      <w:r>
        <w:rPr>
          <w:rFonts w:ascii="Verdana" w:hAnsi="Verdana" w:cs="Arial"/>
          <w:color w:val="000000"/>
          <w:sz w:val="18"/>
          <w:szCs w:val="18"/>
          <w:lang w:val="el-GR"/>
        </w:rPr>
        <w:t>2</w:t>
      </w:r>
      <w:r w:rsidR="00533A38">
        <w:rPr>
          <w:rFonts w:ascii="Verdana" w:hAnsi="Verdana" w:cs="Arial"/>
          <w:color w:val="000000"/>
          <w:sz w:val="18"/>
          <w:szCs w:val="18"/>
          <w:lang w:val="el-GR"/>
        </w:rPr>
        <w:t>1</w:t>
      </w:r>
      <w:r w:rsidRPr="00915B05">
        <w:rPr>
          <w:rFonts w:ascii="Verdana" w:hAnsi="Verdana" w:cs="Arial"/>
          <w:color w:val="000000"/>
          <w:sz w:val="18"/>
          <w:szCs w:val="18"/>
          <w:lang w:val="el-GR"/>
        </w:rPr>
        <w:t xml:space="preserve"> η Έρε</w:t>
      </w:r>
      <w:r>
        <w:rPr>
          <w:rFonts w:ascii="Verdana" w:hAnsi="Verdana" w:cs="Arial"/>
          <w:color w:val="000000"/>
          <w:sz w:val="18"/>
          <w:szCs w:val="18"/>
          <w:lang w:val="el-GR"/>
        </w:rPr>
        <w:t xml:space="preserve">υνα κάλυψε δειγματοληπτικά </w:t>
      </w:r>
      <w:r w:rsidR="00533A38">
        <w:rPr>
          <w:rFonts w:ascii="Verdana" w:hAnsi="Verdana" w:cs="Arial"/>
          <w:color w:val="000000"/>
          <w:sz w:val="18"/>
          <w:szCs w:val="18"/>
          <w:lang w:val="el-GR"/>
        </w:rPr>
        <w:t>3</w:t>
      </w:r>
      <w:r>
        <w:rPr>
          <w:rFonts w:ascii="Verdana" w:hAnsi="Verdana" w:cs="Arial"/>
          <w:color w:val="000000"/>
          <w:sz w:val="18"/>
          <w:szCs w:val="18"/>
          <w:lang w:val="el-GR"/>
        </w:rPr>
        <w:t>.</w:t>
      </w:r>
      <w:r w:rsidR="00533A38">
        <w:rPr>
          <w:rFonts w:ascii="Verdana" w:hAnsi="Verdana" w:cs="Arial"/>
          <w:color w:val="000000"/>
          <w:sz w:val="18"/>
          <w:szCs w:val="18"/>
          <w:lang w:val="el-GR"/>
        </w:rPr>
        <w:t>700</w:t>
      </w:r>
      <w:r w:rsidRPr="00915B05">
        <w:rPr>
          <w:rFonts w:ascii="Verdana" w:hAnsi="Verdana" w:cs="Arial"/>
          <w:color w:val="000000"/>
          <w:sz w:val="18"/>
          <w:szCs w:val="18"/>
          <w:lang w:val="el-GR"/>
        </w:rPr>
        <w:t xml:space="preserve"> περίπου επιχειρήσεις. Η συλλογή των στοιχείων από τη Στατιστική Υπηρεσία έγινε με τη χρήση ειδικού ερωτηματολογίου.</w:t>
      </w:r>
    </w:p>
    <w:p w14:paraId="44B4C80D"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66B7935"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8826EFB"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EE89123" w14:textId="77777777" w:rsidR="00645125" w:rsidRPr="00915B05" w:rsidRDefault="00645125" w:rsidP="00645125">
      <w:pPr>
        <w:autoSpaceDE w:val="0"/>
        <w:autoSpaceDN w:val="0"/>
        <w:adjustRightInd w:val="0"/>
        <w:jc w:val="both"/>
        <w:rPr>
          <w:rFonts w:ascii="Verdana" w:hAnsi="Verdana" w:cs="Arial"/>
          <w:b/>
          <w:i/>
          <w:color w:val="000000"/>
          <w:sz w:val="18"/>
          <w:szCs w:val="18"/>
          <w:lang w:val="el-GR"/>
        </w:rPr>
      </w:pPr>
      <w:r w:rsidRPr="00915B05">
        <w:rPr>
          <w:rFonts w:ascii="Verdana" w:hAnsi="Verdana" w:cs="Arial"/>
          <w:b/>
          <w:i/>
          <w:color w:val="000000"/>
          <w:sz w:val="18"/>
          <w:szCs w:val="18"/>
          <w:lang w:val="el-GR"/>
        </w:rPr>
        <w:t>Για περισσότερες πληροφορίες:</w:t>
      </w:r>
    </w:p>
    <w:p w14:paraId="6B14D284" w14:textId="37FE8822" w:rsidR="00645125" w:rsidRDefault="00645125" w:rsidP="00645125">
      <w:pPr>
        <w:ind w:right="-79"/>
        <w:jc w:val="both"/>
        <w:rPr>
          <w:rFonts w:ascii="Verdana" w:hAnsi="Verdana"/>
          <w:sz w:val="18"/>
          <w:szCs w:val="18"/>
          <w:lang w:val="el-GR"/>
        </w:rPr>
      </w:pPr>
      <w:r>
        <w:rPr>
          <w:rFonts w:ascii="Verdana" w:hAnsi="Verdana"/>
          <w:color w:val="000000"/>
          <w:sz w:val="18"/>
          <w:szCs w:val="18"/>
          <w:lang w:val="el-GR"/>
        </w:rPr>
        <w:t>Πύλη Στατιστικής Υπηρεσίας, υπόθεμα </w:t>
      </w:r>
      <w:hyperlink r:id="rId9" w:history="1">
        <w:r w:rsidRPr="003B11A0">
          <w:rPr>
            <w:rStyle w:val="Hyperlink"/>
            <w:rFonts w:ascii="Verdana" w:hAnsi="Verdana"/>
            <w:sz w:val="18"/>
            <w:szCs w:val="18"/>
            <w:lang w:val="el-GR"/>
          </w:rPr>
          <w:t>Υπηρεσίες</w:t>
        </w:r>
      </w:hyperlink>
      <w:r>
        <w:rPr>
          <w:rFonts w:ascii="Verdana" w:hAnsi="Verdana"/>
          <w:sz w:val="18"/>
          <w:szCs w:val="18"/>
          <w:lang w:val="el-GR"/>
        </w:rPr>
        <w:t xml:space="preserve"> </w:t>
      </w:r>
    </w:p>
    <w:p w14:paraId="732202D7" w14:textId="54D7A640" w:rsidR="00322133" w:rsidRPr="00697F47" w:rsidRDefault="00000000" w:rsidP="00322133">
      <w:pPr>
        <w:rPr>
          <w:rFonts w:ascii="Verdana" w:hAnsi="Verdana"/>
          <w:sz w:val="18"/>
          <w:szCs w:val="18"/>
          <w:lang w:val="el-GR"/>
        </w:rPr>
      </w:pPr>
      <w:hyperlink r:id="rId10" w:history="1">
        <w:r w:rsidR="00322133" w:rsidRPr="00322133">
          <w:rPr>
            <w:rStyle w:val="Hyperlink"/>
            <w:rFonts w:ascii="Verdana" w:hAnsi="Verdana"/>
            <w:sz w:val="18"/>
            <w:szCs w:val="18"/>
            <w:lang w:val="el-GR"/>
          </w:rPr>
          <w:t>Προκαθορισμένοι Πίνακες</w:t>
        </w:r>
      </w:hyperlink>
      <w:r w:rsidR="00322133" w:rsidRPr="00697F47">
        <w:rPr>
          <w:rFonts w:ascii="Verdana" w:hAnsi="Verdana"/>
          <w:sz w:val="18"/>
          <w:szCs w:val="18"/>
          <w:lang w:val="el-GR"/>
        </w:rPr>
        <w:t xml:space="preserve"> (</w:t>
      </w:r>
      <w:r w:rsidR="00322133">
        <w:rPr>
          <w:rFonts w:ascii="Verdana" w:hAnsi="Verdana"/>
          <w:sz w:val="18"/>
          <w:szCs w:val="18"/>
        </w:rPr>
        <w:t>Excel</w:t>
      </w:r>
      <w:r w:rsidR="00322133" w:rsidRPr="00697F47">
        <w:rPr>
          <w:rFonts w:ascii="Verdana" w:hAnsi="Verdana"/>
          <w:sz w:val="18"/>
          <w:szCs w:val="18"/>
          <w:lang w:val="el-GR"/>
        </w:rPr>
        <w:t>)</w:t>
      </w:r>
    </w:p>
    <w:p w14:paraId="566FAD5F" w14:textId="7E8E9E5A" w:rsidR="000C4D8F" w:rsidRDefault="00000000" w:rsidP="000C4D8F">
      <w:pPr>
        <w:jc w:val="both"/>
        <w:rPr>
          <w:rFonts w:ascii="Verdana" w:hAnsi="Verdana"/>
          <w:sz w:val="18"/>
          <w:szCs w:val="18"/>
          <w:lang w:val="el-GR"/>
        </w:rPr>
      </w:pPr>
      <w:hyperlink r:id="rId11" w:tooltip="Μεθοδολογικές Πληροφορίες" w:history="1">
        <w:r w:rsidR="000C4D8F" w:rsidRPr="000C4D8F">
          <w:rPr>
            <w:rStyle w:val="Hyperlink"/>
            <w:rFonts w:ascii="Verdana" w:hAnsi="Verdana"/>
            <w:sz w:val="18"/>
            <w:szCs w:val="18"/>
            <w:lang w:val="el-GR"/>
          </w:rPr>
          <w:t>Μεθοδολογικές Πληροφορίες</w:t>
        </w:r>
      </w:hyperlink>
    </w:p>
    <w:p w14:paraId="3AB955EC" w14:textId="77777777" w:rsidR="00322133" w:rsidRPr="003B11A0" w:rsidRDefault="00322133" w:rsidP="00645125">
      <w:pPr>
        <w:ind w:right="-79"/>
        <w:jc w:val="both"/>
        <w:rPr>
          <w:rFonts w:ascii="Verdana" w:hAnsi="Verdana"/>
          <w:sz w:val="18"/>
          <w:szCs w:val="18"/>
          <w:lang w:val="el-GR"/>
        </w:rPr>
      </w:pPr>
    </w:p>
    <w:p w14:paraId="18DCF3E3" w14:textId="77777777" w:rsidR="00645125" w:rsidRPr="00915B05" w:rsidRDefault="00645125" w:rsidP="00645125">
      <w:pPr>
        <w:ind w:right="-79"/>
        <w:jc w:val="both"/>
        <w:rPr>
          <w:rFonts w:ascii="Verdana" w:eastAsia="Malgun Gothic" w:hAnsi="Verdana" w:cs="Arial"/>
          <w:sz w:val="18"/>
          <w:szCs w:val="18"/>
          <w:lang w:val="el-GR"/>
        </w:rPr>
      </w:pPr>
    </w:p>
    <w:p w14:paraId="6F850E86" w14:textId="77777777" w:rsidR="00645125" w:rsidRPr="00915B05" w:rsidRDefault="00645125" w:rsidP="00645125">
      <w:pPr>
        <w:ind w:right="-79"/>
        <w:jc w:val="both"/>
        <w:rPr>
          <w:rFonts w:ascii="Verdana" w:hAnsi="Verdana"/>
          <w:sz w:val="18"/>
          <w:szCs w:val="18"/>
          <w:lang w:val="el-GR"/>
        </w:rPr>
      </w:pPr>
      <w:r w:rsidRPr="00915B05">
        <w:rPr>
          <w:rFonts w:ascii="Verdana" w:hAnsi="Verdana"/>
          <w:i/>
          <w:sz w:val="18"/>
          <w:szCs w:val="18"/>
          <w:u w:val="single"/>
          <w:lang w:val="el-GR"/>
        </w:rPr>
        <w:t>Επικοινωνία</w:t>
      </w:r>
      <w:r w:rsidRPr="00915B05">
        <w:rPr>
          <w:rFonts w:ascii="Verdana" w:hAnsi="Verdana"/>
          <w:sz w:val="18"/>
          <w:szCs w:val="18"/>
          <w:lang w:val="el-GR"/>
        </w:rPr>
        <w:t xml:space="preserve"> </w:t>
      </w:r>
    </w:p>
    <w:p w14:paraId="5E8B1A52"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color w:val="000000"/>
          <w:sz w:val="18"/>
          <w:szCs w:val="18"/>
          <w:lang w:val="el-GR"/>
        </w:rPr>
        <w:t xml:space="preserve">Μαργαρίτα Γεωργίου: </w:t>
      </w:r>
      <w:proofErr w:type="spellStart"/>
      <w:r w:rsidRPr="00915B05">
        <w:rPr>
          <w:rFonts w:ascii="Verdana" w:hAnsi="Verdana" w:cs="Arial"/>
          <w:color w:val="000000"/>
          <w:sz w:val="18"/>
          <w:szCs w:val="18"/>
          <w:lang w:val="el-GR"/>
        </w:rPr>
        <w:t>Τηλ</w:t>
      </w:r>
      <w:proofErr w:type="spellEnd"/>
      <w:r w:rsidRPr="00915B05">
        <w:rPr>
          <w:rFonts w:ascii="Verdana" w:hAnsi="Verdana" w:cs="Arial"/>
          <w:color w:val="000000"/>
          <w:sz w:val="18"/>
          <w:szCs w:val="18"/>
          <w:lang w:val="el-GR"/>
        </w:rPr>
        <w:t xml:space="preserve">: +35722602217, </w:t>
      </w:r>
      <w:proofErr w:type="spellStart"/>
      <w:r w:rsidRPr="00915B05">
        <w:rPr>
          <w:rFonts w:ascii="Verdana" w:hAnsi="Verdana" w:cs="Arial"/>
          <w:color w:val="000000"/>
          <w:sz w:val="18"/>
          <w:szCs w:val="18"/>
          <w:lang w:val="el-GR"/>
        </w:rPr>
        <w:t>Ηλ</w:t>
      </w:r>
      <w:proofErr w:type="spellEnd"/>
      <w:r w:rsidRPr="00915B05">
        <w:rPr>
          <w:rFonts w:ascii="Verdana" w:hAnsi="Verdana" w:cs="Arial"/>
          <w:color w:val="000000"/>
          <w:sz w:val="18"/>
          <w:szCs w:val="18"/>
          <w:lang w:val="el-GR"/>
        </w:rPr>
        <w:t xml:space="preserve">. </w:t>
      </w:r>
      <w:proofErr w:type="spellStart"/>
      <w:r w:rsidRPr="00915B05">
        <w:rPr>
          <w:rFonts w:ascii="Verdana" w:hAnsi="Verdana" w:cs="Arial"/>
          <w:color w:val="000000"/>
          <w:sz w:val="18"/>
          <w:szCs w:val="18"/>
          <w:lang w:val="el-GR"/>
        </w:rPr>
        <w:t>Ταχ</w:t>
      </w:r>
      <w:proofErr w:type="spellEnd"/>
      <w:r w:rsidRPr="00915B05">
        <w:rPr>
          <w:rFonts w:ascii="Verdana" w:hAnsi="Verdana" w:cs="Arial"/>
          <w:color w:val="000000"/>
          <w:sz w:val="18"/>
          <w:szCs w:val="18"/>
          <w:lang w:val="el-GR"/>
        </w:rPr>
        <w:t xml:space="preserve">.: </w:t>
      </w:r>
      <w:hyperlink r:id="rId12" w:history="1">
        <w:r w:rsidRPr="00915B05">
          <w:rPr>
            <w:rFonts w:ascii="Verdana" w:hAnsi="Verdana" w:cs="Arial"/>
            <w:color w:val="0000FF"/>
            <w:sz w:val="18"/>
            <w:szCs w:val="18"/>
            <w:u w:val="single"/>
            <w:lang w:val="el-GR"/>
          </w:rPr>
          <w:t>mgeorgiou@cystat.mof.gov.cy</w:t>
        </w:r>
      </w:hyperlink>
    </w:p>
    <w:p w14:paraId="197DAE82"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color w:val="000000"/>
          <w:sz w:val="18"/>
          <w:szCs w:val="18"/>
          <w:lang w:val="el-GR"/>
        </w:rPr>
        <w:t xml:space="preserve">Καλομοίρα Φράγκου: </w:t>
      </w:r>
      <w:proofErr w:type="spellStart"/>
      <w:r w:rsidRPr="00915B05">
        <w:rPr>
          <w:rFonts w:ascii="Verdana" w:hAnsi="Verdana" w:cs="Arial"/>
          <w:color w:val="000000"/>
          <w:sz w:val="18"/>
          <w:szCs w:val="18"/>
          <w:lang w:val="el-GR"/>
        </w:rPr>
        <w:t>Τηλ</w:t>
      </w:r>
      <w:proofErr w:type="spellEnd"/>
      <w:r w:rsidRPr="00915B05">
        <w:rPr>
          <w:rFonts w:ascii="Verdana" w:hAnsi="Verdana" w:cs="Arial"/>
          <w:color w:val="000000"/>
          <w:sz w:val="18"/>
          <w:szCs w:val="18"/>
          <w:lang w:val="el-GR"/>
        </w:rPr>
        <w:t xml:space="preserve">: +35722602220, </w:t>
      </w:r>
      <w:proofErr w:type="spellStart"/>
      <w:r w:rsidRPr="00915B05">
        <w:rPr>
          <w:rFonts w:ascii="Verdana" w:hAnsi="Verdana" w:cs="Arial"/>
          <w:color w:val="000000"/>
          <w:sz w:val="18"/>
          <w:szCs w:val="18"/>
          <w:lang w:val="el-GR"/>
        </w:rPr>
        <w:t>Ηλ</w:t>
      </w:r>
      <w:proofErr w:type="spellEnd"/>
      <w:r w:rsidRPr="00915B05">
        <w:rPr>
          <w:rFonts w:ascii="Verdana" w:hAnsi="Verdana" w:cs="Arial"/>
          <w:color w:val="000000"/>
          <w:sz w:val="18"/>
          <w:szCs w:val="18"/>
          <w:lang w:val="el-GR"/>
        </w:rPr>
        <w:t>.</w:t>
      </w:r>
      <w:r>
        <w:rPr>
          <w:rFonts w:ascii="Verdana" w:hAnsi="Verdana" w:cs="Arial"/>
          <w:color w:val="000000"/>
          <w:sz w:val="18"/>
          <w:szCs w:val="18"/>
          <w:lang w:val="el-GR"/>
        </w:rPr>
        <w:t xml:space="preserve"> </w:t>
      </w:r>
      <w:proofErr w:type="spellStart"/>
      <w:r w:rsidRPr="00915B05">
        <w:rPr>
          <w:rFonts w:ascii="Verdana" w:hAnsi="Verdana" w:cs="Arial"/>
          <w:color w:val="000000"/>
          <w:sz w:val="18"/>
          <w:szCs w:val="18"/>
          <w:lang w:val="el-GR"/>
        </w:rPr>
        <w:t>Ταχ</w:t>
      </w:r>
      <w:proofErr w:type="spellEnd"/>
      <w:r w:rsidRPr="00915B05">
        <w:rPr>
          <w:rFonts w:ascii="Verdana" w:hAnsi="Verdana" w:cs="Arial"/>
          <w:color w:val="000000"/>
          <w:sz w:val="18"/>
          <w:szCs w:val="18"/>
          <w:lang w:val="el-GR"/>
        </w:rPr>
        <w:t xml:space="preserve">.: </w:t>
      </w:r>
      <w:hyperlink r:id="rId13" w:history="1">
        <w:r w:rsidRPr="00915B05">
          <w:rPr>
            <w:rFonts w:ascii="Verdana" w:hAnsi="Verdana" w:cs="Arial"/>
            <w:color w:val="0000FF"/>
            <w:sz w:val="18"/>
            <w:szCs w:val="18"/>
            <w:u w:val="single"/>
            <w:lang w:val="el-GR"/>
          </w:rPr>
          <w:t>kfrangou@cystat.mof.gov.cy</w:t>
        </w:r>
      </w:hyperlink>
    </w:p>
    <w:p w14:paraId="059C683A" w14:textId="77777777" w:rsidR="00645125" w:rsidRPr="00915B05" w:rsidRDefault="00645125" w:rsidP="00645125">
      <w:pPr>
        <w:jc w:val="both"/>
        <w:rPr>
          <w:rFonts w:ascii="Verdana" w:eastAsia="Malgun Gothic" w:hAnsi="Verdana" w:cs="Arial"/>
          <w:sz w:val="18"/>
          <w:szCs w:val="18"/>
          <w:lang w:val="el-GR"/>
        </w:rPr>
      </w:pPr>
    </w:p>
    <w:p w14:paraId="5C5738FC" w14:textId="77777777" w:rsidR="00645125" w:rsidRPr="00915B05" w:rsidRDefault="00645125" w:rsidP="00645125">
      <w:pPr>
        <w:jc w:val="both"/>
        <w:rPr>
          <w:rFonts w:ascii="Verdana" w:eastAsia="Malgun Gothic" w:hAnsi="Verdana" w:cs="Arial"/>
          <w:sz w:val="18"/>
          <w:szCs w:val="18"/>
          <w:lang w:val="el-GR"/>
        </w:rPr>
      </w:pPr>
    </w:p>
    <w:p w14:paraId="1931F311" w14:textId="77777777" w:rsidR="00645125" w:rsidRPr="00915B05" w:rsidRDefault="00645125" w:rsidP="00645125">
      <w:pPr>
        <w:jc w:val="both"/>
        <w:rPr>
          <w:rFonts w:ascii="Verdana" w:eastAsia="Malgun Gothic" w:hAnsi="Verdana" w:cs="Arial"/>
          <w:sz w:val="18"/>
          <w:szCs w:val="18"/>
          <w:lang w:val="el-GR"/>
        </w:rPr>
      </w:pPr>
    </w:p>
    <w:p w14:paraId="2C468CA6" w14:textId="77777777" w:rsidR="00645125" w:rsidRPr="00915B05" w:rsidRDefault="00645125" w:rsidP="00645125">
      <w:pPr>
        <w:jc w:val="both"/>
        <w:rPr>
          <w:rFonts w:ascii="Verdana" w:eastAsia="Malgun Gothic" w:hAnsi="Verdana" w:cs="Arial"/>
          <w:sz w:val="18"/>
          <w:szCs w:val="18"/>
          <w:lang w:val="el-GR"/>
        </w:rPr>
      </w:pPr>
    </w:p>
    <w:p w14:paraId="298E7BFF" w14:textId="77777777" w:rsidR="00645125" w:rsidRPr="00915B05" w:rsidRDefault="00645125" w:rsidP="00645125">
      <w:pPr>
        <w:jc w:val="both"/>
        <w:rPr>
          <w:rFonts w:ascii="Verdana" w:eastAsia="Malgun Gothic" w:hAnsi="Verdana" w:cs="Arial"/>
          <w:sz w:val="18"/>
          <w:szCs w:val="18"/>
          <w:lang w:val="el-GR"/>
        </w:rPr>
      </w:pPr>
    </w:p>
    <w:p w14:paraId="5A37A83F" w14:textId="77777777" w:rsidR="00645125" w:rsidRPr="00915B05" w:rsidRDefault="00645125" w:rsidP="00645125">
      <w:pPr>
        <w:jc w:val="both"/>
        <w:rPr>
          <w:rFonts w:ascii="Verdana" w:eastAsia="Malgun Gothic" w:hAnsi="Verdana" w:cs="Arial"/>
          <w:sz w:val="18"/>
          <w:szCs w:val="18"/>
          <w:lang w:val="el-GR"/>
        </w:rPr>
      </w:pPr>
    </w:p>
    <w:p w14:paraId="243E6516" w14:textId="77777777" w:rsidR="00645125" w:rsidRPr="00915B05" w:rsidRDefault="00645125" w:rsidP="00645125">
      <w:pPr>
        <w:jc w:val="both"/>
        <w:rPr>
          <w:rFonts w:ascii="Verdana" w:eastAsia="Malgun Gothic" w:hAnsi="Verdana" w:cs="Arial"/>
          <w:sz w:val="18"/>
          <w:szCs w:val="18"/>
          <w:lang w:val="el-GR"/>
        </w:rPr>
      </w:pPr>
    </w:p>
    <w:p w14:paraId="08B8BB90" w14:textId="77777777" w:rsidR="00645125" w:rsidRPr="00915B05" w:rsidRDefault="00645125" w:rsidP="00645125">
      <w:pPr>
        <w:jc w:val="both"/>
        <w:rPr>
          <w:rFonts w:ascii="Verdana" w:eastAsia="Malgun Gothic" w:hAnsi="Verdana" w:cs="Arial"/>
          <w:sz w:val="18"/>
          <w:szCs w:val="18"/>
          <w:lang w:val="el-GR"/>
        </w:rPr>
      </w:pPr>
    </w:p>
    <w:p w14:paraId="32002A20" w14:textId="77777777" w:rsidR="00645125" w:rsidRDefault="00645125" w:rsidP="00645125">
      <w:pPr>
        <w:jc w:val="both"/>
        <w:rPr>
          <w:rFonts w:ascii="Verdana" w:eastAsia="Malgun Gothic" w:hAnsi="Verdana" w:cs="Arial"/>
          <w:sz w:val="18"/>
          <w:szCs w:val="18"/>
          <w:lang w:val="el-GR"/>
        </w:rPr>
      </w:pPr>
    </w:p>
    <w:p w14:paraId="4B5CEAE9" w14:textId="77777777" w:rsidR="00645125" w:rsidRDefault="00645125" w:rsidP="00645125">
      <w:pPr>
        <w:jc w:val="both"/>
        <w:rPr>
          <w:rFonts w:ascii="Verdana" w:eastAsia="Malgun Gothic" w:hAnsi="Verdana" w:cs="Arial"/>
          <w:sz w:val="18"/>
          <w:szCs w:val="18"/>
          <w:lang w:val="el-GR"/>
        </w:rPr>
      </w:pPr>
    </w:p>
    <w:p w14:paraId="46ACCBF4" w14:textId="77777777" w:rsidR="00645125" w:rsidRPr="00834B82" w:rsidRDefault="00645125" w:rsidP="00645125">
      <w:pPr>
        <w:jc w:val="both"/>
        <w:rPr>
          <w:rFonts w:ascii="Verdana" w:eastAsia="Malgun Gothic" w:hAnsi="Verdana" w:cs="Arial"/>
          <w:sz w:val="18"/>
          <w:szCs w:val="18"/>
          <w:lang w:val="el-GR"/>
        </w:rPr>
      </w:pPr>
    </w:p>
    <w:p w14:paraId="6E192B47" w14:textId="77777777" w:rsidR="00645125" w:rsidRPr="00834B82" w:rsidRDefault="00645125" w:rsidP="00645125">
      <w:pPr>
        <w:jc w:val="both"/>
        <w:rPr>
          <w:rFonts w:ascii="Verdana" w:eastAsia="Malgun Gothic" w:hAnsi="Verdana" w:cs="Arial"/>
          <w:sz w:val="18"/>
          <w:szCs w:val="18"/>
          <w:lang w:val="el-GR"/>
        </w:rPr>
      </w:pPr>
    </w:p>
    <w:p w14:paraId="569E2240" w14:textId="77777777" w:rsidR="00645125" w:rsidRPr="00834B82" w:rsidRDefault="00645125" w:rsidP="00645125">
      <w:pPr>
        <w:jc w:val="both"/>
        <w:rPr>
          <w:rFonts w:ascii="Verdana" w:eastAsia="Malgun Gothic" w:hAnsi="Verdana" w:cs="Arial"/>
          <w:sz w:val="18"/>
          <w:szCs w:val="18"/>
          <w:lang w:val="el-GR"/>
        </w:rPr>
      </w:pPr>
    </w:p>
    <w:p w14:paraId="2305E8BC" w14:textId="34BE4765" w:rsidR="001712CF" w:rsidRDefault="001712CF" w:rsidP="000E4CB0">
      <w:pPr>
        <w:jc w:val="both"/>
        <w:rPr>
          <w:rFonts w:ascii="Verdana" w:hAnsi="Verdana" w:cs="Arial"/>
          <w:sz w:val="18"/>
          <w:szCs w:val="18"/>
          <w:lang w:val="el-GR"/>
        </w:rPr>
      </w:pPr>
    </w:p>
    <w:p w14:paraId="02C5B208" w14:textId="754B8331" w:rsidR="001712CF" w:rsidRDefault="001712CF" w:rsidP="000E4CB0">
      <w:pPr>
        <w:jc w:val="both"/>
        <w:rPr>
          <w:rFonts w:ascii="Verdana" w:hAnsi="Verdana" w:cs="Arial"/>
          <w:sz w:val="18"/>
          <w:szCs w:val="18"/>
          <w:lang w:val="el-GR"/>
        </w:rPr>
      </w:pPr>
    </w:p>
    <w:p w14:paraId="6CF4E809" w14:textId="0A768E25" w:rsidR="001712CF" w:rsidRDefault="001712CF" w:rsidP="000E4CB0">
      <w:pPr>
        <w:jc w:val="both"/>
        <w:rPr>
          <w:rFonts w:ascii="Verdana" w:hAnsi="Verdana" w:cs="Arial"/>
          <w:sz w:val="18"/>
          <w:szCs w:val="18"/>
          <w:lang w:val="el-GR"/>
        </w:rPr>
      </w:pPr>
    </w:p>
    <w:p w14:paraId="0137D213" w14:textId="5582D1F5" w:rsidR="001712CF" w:rsidRDefault="001712CF" w:rsidP="000E4CB0">
      <w:pPr>
        <w:jc w:val="both"/>
        <w:rPr>
          <w:rFonts w:ascii="Verdana" w:hAnsi="Verdana" w:cs="Arial"/>
          <w:sz w:val="18"/>
          <w:szCs w:val="18"/>
          <w:lang w:val="el-GR"/>
        </w:rPr>
      </w:pPr>
    </w:p>
    <w:p w14:paraId="16BD808B" w14:textId="7EF91FF2" w:rsidR="001712CF" w:rsidRDefault="001712CF" w:rsidP="000E4CB0">
      <w:pPr>
        <w:jc w:val="both"/>
        <w:rPr>
          <w:rFonts w:ascii="Verdana" w:hAnsi="Verdana" w:cs="Arial"/>
          <w:sz w:val="18"/>
          <w:szCs w:val="18"/>
          <w:lang w:val="el-GR"/>
        </w:rPr>
      </w:pPr>
    </w:p>
    <w:p w14:paraId="364B83BF" w14:textId="0A0A018B" w:rsidR="001712CF" w:rsidRDefault="001712CF" w:rsidP="000E4CB0">
      <w:pPr>
        <w:jc w:val="both"/>
        <w:rPr>
          <w:rFonts w:ascii="Verdana" w:hAnsi="Verdana" w:cs="Arial"/>
          <w:sz w:val="18"/>
          <w:szCs w:val="18"/>
          <w:lang w:val="el-GR"/>
        </w:rPr>
      </w:pPr>
    </w:p>
    <w:p w14:paraId="3CE9EC17" w14:textId="751309D7" w:rsidR="001712CF" w:rsidRDefault="001712CF" w:rsidP="000E4CB0">
      <w:pPr>
        <w:jc w:val="both"/>
        <w:rPr>
          <w:rFonts w:ascii="Verdana" w:hAnsi="Verdana" w:cs="Arial"/>
          <w:sz w:val="18"/>
          <w:szCs w:val="18"/>
          <w:lang w:val="el-GR"/>
        </w:rPr>
      </w:pPr>
    </w:p>
    <w:p w14:paraId="766D74FD" w14:textId="602DFFB9" w:rsidR="001712CF" w:rsidRDefault="001712CF" w:rsidP="000E4CB0">
      <w:pPr>
        <w:jc w:val="both"/>
        <w:rPr>
          <w:rFonts w:ascii="Verdana" w:hAnsi="Verdana" w:cs="Arial"/>
          <w:sz w:val="18"/>
          <w:szCs w:val="18"/>
          <w:lang w:val="el-GR"/>
        </w:rPr>
      </w:pPr>
    </w:p>
    <w:p w14:paraId="5FB8591C" w14:textId="3E3F7F82" w:rsidR="001712CF" w:rsidRDefault="001712CF" w:rsidP="000E4CB0">
      <w:pPr>
        <w:jc w:val="both"/>
        <w:rPr>
          <w:rFonts w:ascii="Verdana" w:hAnsi="Verdana" w:cs="Arial"/>
          <w:sz w:val="18"/>
          <w:szCs w:val="18"/>
          <w:lang w:val="el-GR"/>
        </w:rPr>
      </w:pPr>
    </w:p>
    <w:p w14:paraId="250B6D21" w14:textId="426648BB" w:rsidR="001712CF" w:rsidRDefault="001712CF" w:rsidP="000E4CB0">
      <w:pPr>
        <w:jc w:val="both"/>
        <w:rPr>
          <w:rFonts w:ascii="Verdana" w:hAnsi="Verdana" w:cs="Arial"/>
          <w:sz w:val="18"/>
          <w:szCs w:val="18"/>
          <w:lang w:val="el-GR"/>
        </w:rPr>
      </w:pPr>
    </w:p>
    <w:p w14:paraId="6900FB2F" w14:textId="65B11E54" w:rsidR="001712CF" w:rsidRDefault="001712CF" w:rsidP="000E4CB0">
      <w:pPr>
        <w:jc w:val="both"/>
        <w:rPr>
          <w:rFonts w:ascii="Verdana" w:hAnsi="Verdana" w:cs="Arial"/>
          <w:sz w:val="18"/>
          <w:szCs w:val="18"/>
          <w:lang w:val="el-GR"/>
        </w:rPr>
      </w:pPr>
    </w:p>
    <w:p w14:paraId="56E557B4" w14:textId="37627067"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13F6" w14:textId="77777777" w:rsidR="00111A8C" w:rsidRDefault="00111A8C" w:rsidP="00FB398F">
      <w:r>
        <w:separator/>
      </w:r>
    </w:p>
  </w:endnote>
  <w:endnote w:type="continuationSeparator" w:id="0">
    <w:p w14:paraId="09CEEEE1" w14:textId="77777777" w:rsidR="00111A8C" w:rsidRDefault="00111A8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2D721F">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5B5E" w14:textId="77777777" w:rsidR="00111A8C" w:rsidRDefault="00111A8C" w:rsidP="00FB398F">
      <w:r>
        <w:separator/>
      </w:r>
    </w:p>
  </w:footnote>
  <w:footnote w:type="continuationSeparator" w:id="0">
    <w:p w14:paraId="31795CBE" w14:textId="77777777" w:rsidR="00111A8C" w:rsidRDefault="00111A8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238B8B7A"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519"/>
    <w:rsid w:val="00013E40"/>
    <w:rsid w:val="000161B1"/>
    <w:rsid w:val="00025A39"/>
    <w:rsid w:val="00027853"/>
    <w:rsid w:val="00030E18"/>
    <w:rsid w:val="00031D32"/>
    <w:rsid w:val="0003603D"/>
    <w:rsid w:val="00042B55"/>
    <w:rsid w:val="00045088"/>
    <w:rsid w:val="00045A06"/>
    <w:rsid w:val="00050391"/>
    <w:rsid w:val="00055291"/>
    <w:rsid w:val="000563D3"/>
    <w:rsid w:val="00057E44"/>
    <w:rsid w:val="00061299"/>
    <w:rsid w:val="00070576"/>
    <w:rsid w:val="000752BB"/>
    <w:rsid w:val="00081ADF"/>
    <w:rsid w:val="00084A02"/>
    <w:rsid w:val="00084BF7"/>
    <w:rsid w:val="000870E9"/>
    <w:rsid w:val="000932CF"/>
    <w:rsid w:val="00096ED8"/>
    <w:rsid w:val="000A1A88"/>
    <w:rsid w:val="000A2B5C"/>
    <w:rsid w:val="000A3601"/>
    <w:rsid w:val="000A5E86"/>
    <w:rsid w:val="000A67A2"/>
    <w:rsid w:val="000A6FA8"/>
    <w:rsid w:val="000C1070"/>
    <w:rsid w:val="000C4D8F"/>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1A8C"/>
    <w:rsid w:val="00114A67"/>
    <w:rsid w:val="001253B6"/>
    <w:rsid w:val="001262C3"/>
    <w:rsid w:val="00127320"/>
    <w:rsid w:val="00127456"/>
    <w:rsid w:val="001312D8"/>
    <w:rsid w:val="0013137B"/>
    <w:rsid w:val="00136394"/>
    <w:rsid w:val="0015118B"/>
    <w:rsid w:val="001519CE"/>
    <w:rsid w:val="00155B00"/>
    <w:rsid w:val="00161CF3"/>
    <w:rsid w:val="00162C00"/>
    <w:rsid w:val="001639EF"/>
    <w:rsid w:val="0016589F"/>
    <w:rsid w:val="001712CF"/>
    <w:rsid w:val="00173741"/>
    <w:rsid w:val="0017769A"/>
    <w:rsid w:val="00183DFC"/>
    <w:rsid w:val="00184384"/>
    <w:rsid w:val="00186717"/>
    <w:rsid w:val="00187FFC"/>
    <w:rsid w:val="0019391C"/>
    <w:rsid w:val="001974D5"/>
    <w:rsid w:val="001A2018"/>
    <w:rsid w:val="001B2C39"/>
    <w:rsid w:val="001B3675"/>
    <w:rsid w:val="001B5E10"/>
    <w:rsid w:val="001B6AB3"/>
    <w:rsid w:val="001B73D5"/>
    <w:rsid w:val="001C0681"/>
    <w:rsid w:val="001C62B3"/>
    <w:rsid w:val="001C7C8C"/>
    <w:rsid w:val="001D0D6A"/>
    <w:rsid w:val="001D20A4"/>
    <w:rsid w:val="001E00D1"/>
    <w:rsid w:val="001E0ACB"/>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3737"/>
    <w:rsid w:val="002447D0"/>
    <w:rsid w:val="002454C5"/>
    <w:rsid w:val="00245E19"/>
    <w:rsid w:val="00246AEB"/>
    <w:rsid w:val="00250005"/>
    <w:rsid w:val="0025254F"/>
    <w:rsid w:val="0025566D"/>
    <w:rsid w:val="0025595C"/>
    <w:rsid w:val="00257149"/>
    <w:rsid w:val="002576E7"/>
    <w:rsid w:val="00260357"/>
    <w:rsid w:val="00262404"/>
    <w:rsid w:val="00264F04"/>
    <w:rsid w:val="00267554"/>
    <w:rsid w:val="0028338F"/>
    <w:rsid w:val="002915C4"/>
    <w:rsid w:val="00297E6B"/>
    <w:rsid w:val="002A1D1C"/>
    <w:rsid w:val="002A4D64"/>
    <w:rsid w:val="002B29A6"/>
    <w:rsid w:val="002B4969"/>
    <w:rsid w:val="002B58DD"/>
    <w:rsid w:val="002B6554"/>
    <w:rsid w:val="002D05F0"/>
    <w:rsid w:val="002D2829"/>
    <w:rsid w:val="002D721F"/>
    <w:rsid w:val="002D7D4A"/>
    <w:rsid w:val="002E3846"/>
    <w:rsid w:val="002E3F78"/>
    <w:rsid w:val="002E7399"/>
    <w:rsid w:val="002F400C"/>
    <w:rsid w:val="002F4D76"/>
    <w:rsid w:val="002F6D26"/>
    <w:rsid w:val="0030231E"/>
    <w:rsid w:val="003042C4"/>
    <w:rsid w:val="00304CB4"/>
    <w:rsid w:val="00313F37"/>
    <w:rsid w:val="003141D0"/>
    <w:rsid w:val="003168C1"/>
    <w:rsid w:val="00322133"/>
    <w:rsid w:val="00322FBE"/>
    <w:rsid w:val="00325632"/>
    <w:rsid w:val="00327549"/>
    <w:rsid w:val="003342A5"/>
    <w:rsid w:val="00334616"/>
    <w:rsid w:val="00336C36"/>
    <w:rsid w:val="00343815"/>
    <w:rsid w:val="003522BB"/>
    <w:rsid w:val="00352F6C"/>
    <w:rsid w:val="003556EA"/>
    <w:rsid w:val="00375867"/>
    <w:rsid w:val="00386FC7"/>
    <w:rsid w:val="00390A32"/>
    <w:rsid w:val="003A1E91"/>
    <w:rsid w:val="003A40F2"/>
    <w:rsid w:val="003A50D1"/>
    <w:rsid w:val="003B196D"/>
    <w:rsid w:val="003B2710"/>
    <w:rsid w:val="003B4608"/>
    <w:rsid w:val="003C2392"/>
    <w:rsid w:val="003C5174"/>
    <w:rsid w:val="003C5240"/>
    <w:rsid w:val="003C76E6"/>
    <w:rsid w:val="003D14E0"/>
    <w:rsid w:val="003D152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2D0"/>
    <w:rsid w:val="0044249D"/>
    <w:rsid w:val="0044379F"/>
    <w:rsid w:val="00444FCC"/>
    <w:rsid w:val="00446FB1"/>
    <w:rsid w:val="00452753"/>
    <w:rsid w:val="004552B4"/>
    <w:rsid w:val="00455BA5"/>
    <w:rsid w:val="0046078F"/>
    <w:rsid w:val="00463214"/>
    <w:rsid w:val="0046434D"/>
    <w:rsid w:val="004656FA"/>
    <w:rsid w:val="00471D77"/>
    <w:rsid w:val="00475587"/>
    <w:rsid w:val="00480BC2"/>
    <w:rsid w:val="004845C3"/>
    <w:rsid w:val="004929C2"/>
    <w:rsid w:val="00493FDD"/>
    <w:rsid w:val="00495644"/>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231C"/>
    <w:rsid w:val="00527CDB"/>
    <w:rsid w:val="00531042"/>
    <w:rsid w:val="00533A38"/>
    <w:rsid w:val="005341C9"/>
    <w:rsid w:val="005369CA"/>
    <w:rsid w:val="00536DE9"/>
    <w:rsid w:val="00541E08"/>
    <w:rsid w:val="005479AA"/>
    <w:rsid w:val="00554FE0"/>
    <w:rsid w:val="0055789A"/>
    <w:rsid w:val="005603E8"/>
    <w:rsid w:val="00560952"/>
    <w:rsid w:val="005652D1"/>
    <w:rsid w:val="005660A0"/>
    <w:rsid w:val="00566A4F"/>
    <w:rsid w:val="00567D64"/>
    <w:rsid w:val="005978D4"/>
    <w:rsid w:val="005A23FA"/>
    <w:rsid w:val="005B2A67"/>
    <w:rsid w:val="005B3DCD"/>
    <w:rsid w:val="005B4AD4"/>
    <w:rsid w:val="005C2798"/>
    <w:rsid w:val="005C36C3"/>
    <w:rsid w:val="005C56EE"/>
    <w:rsid w:val="005D1714"/>
    <w:rsid w:val="005D7638"/>
    <w:rsid w:val="005E483F"/>
    <w:rsid w:val="005E6A41"/>
    <w:rsid w:val="005F12F5"/>
    <w:rsid w:val="005F7C7D"/>
    <w:rsid w:val="006044B7"/>
    <w:rsid w:val="006071CE"/>
    <w:rsid w:val="006075B5"/>
    <w:rsid w:val="0061018C"/>
    <w:rsid w:val="0061094E"/>
    <w:rsid w:val="00613440"/>
    <w:rsid w:val="00613BE3"/>
    <w:rsid w:val="0062327B"/>
    <w:rsid w:val="006260B8"/>
    <w:rsid w:val="00630AAF"/>
    <w:rsid w:val="00632777"/>
    <w:rsid w:val="00633750"/>
    <w:rsid w:val="00634491"/>
    <w:rsid w:val="0063679C"/>
    <w:rsid w:val="00637055"/>
    <w:rsid w:val="00641D59"/>
    <w:rsid w:val="00644507"/>
    <w:rsid w:val="00645125"/>
    <w:rsid w:val="00646880"/>
    <w:rsid w:val="00647D2A"/>
    <w:rsid w:val="006537BB"/>
    <w:rsid w:val="0065643E"/>
    <w:rsid w:val="00667E07"/>
    <w:rsid w:val="00671785"/>
    <w:rsid w:val="00672BA9"/>
    <w:rsid w:val="00673005"/>
    <w:rsid w:val="006804BE"/>
    <w:rsid w:val="0068434A"/>
    <w:rsid w:val="0069008E"/>
    <w:rsid w:val="0069087E"/>
    <w:rsid w:val="006925C4"/>
    <w:rsid w:val="006A02B7"/>
    <w:rsid w:val="006A7019"/>
    <w:rsid w:val="006B46D5"/>
    <w:rsid w:val="006B46F4"/>
    <w:rsid w:val="006C2DA5"/>
    <w:rsid w:val="006C7AF3"/>
    <w:rsid w:val="006D0B9D"/>
    <w:rsid w:val="006D6548"/>
    <w:rsid w:val="006E0E20"/>
    <w:rsid w:val="006E4256"/>
    <w:rsid w:val="006E4BBA"/>
    <w:rsid w:val="006E5F43"/>
    <w:rsid w:val="006E600D"/>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534F8"/>
    <w:rsid w:val="007545AD"/>
    <w:rsid w:val="00761E3A"/>
    <w:rsid w:val="00763722"/>
    <w:rsid w:val="00764BC1"/>
    <w:rsid w:val="00770869"/>
    <w:rsid w:val="00772A96"/>
    <w:rsid w:val="007738AA"/>
    <w:rsid w:val="00775DCB"/>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0739"/>
    <w:rsid w:val="007E199A"/>
    <w:rsid w:val="007E1AED"/>
    <w:rsid w:val="007E2415"/>
    <w:rsid w:val="007E39F3"/>
    <w:rsid w:val="007E405E"/>
    <w:rsid w:val="007E68F4"/>
    <w:rsid w:val="007E6DE2"/>
    <w:rsid w:val="007F31BA"/>
    <w:rsid w:val="007F4078"/>
    <w:rsid w:val="007F6398"/>
    <w:rsid w:val="0080014B"/>
    <w:rsid w:val="00801793"/>
    <w:rsid w:val="00803642"/>
    <w:rsid w:val="00806EA2"/>
    <w:rsid w:val="00812A2B"/>
    <w:rsid w:val="00814A4C"/>
    <w:rsid w:val="00815936"/>
    <w:rsid w:val="00831AAB"/>
    <w:rsid w:val="00831FD8"/>
    <w:rsid w:val="00833BCD"/>
    <w:rsid w:val="00834B82"/>
    <w:rsid w:val="0083574E"/>
    <w:rsid w:val="0083640C"/>
    <w:rsid w:val="008374E3"/>
    <w:rsid w:val="0084157B"/>
    <w:rsid w:val="00842BFB"/>
    <w:rsid w:val="008449B8"/>
    <w:rsid w:val="00846B85"/>
    <w:rsid w:val="00847DC3"/>
    <w:rsid w:val="00847F49"/>
    <w:rsid w:val="008535C5"/>
    <w:rsid w:val="00853765"/>
    <w:rsid w:val="0085516F"/>
    <w:rsid w:val="00867186"/>
    <w:rsid w:val="00870AF6"/>
    <w:rsid w:val="008719DB"/>
    <w:rsid w:val="00877452"/>
    <w:rsid w:val="00881268"/>
    <w:rsid w:val="0088394A"/>
    <w:rsid w:val="008860BD"/>
    <w:rsid w:val="00887399"/>
    <w:rsid w:val="0088779E"/>
    <w:rsid w:val="008912AF"/>
    <w:rsid w:val="00892114"/>
    <w:rsid w:val="00892CB9"/>
    <w:rsid w:val="008935CB"/>
    <w:rsid w:val="008B0E7E"/>
    <w:rsid w:val="008B65BD"/>
    <w:rsid w:val="008B7900"/>
    <w:rsid w:val="008C28C5"/>
    <w:rsid w:val="008C71BF"/>
    <w:rsid w:val="008C7FE0"/>
    <w:rsid w:val="008D25C9"/>
    <w:rsid w:val="008D5717"/>
    <w:rsid w:val="008D7BC1"/>
    <w:rsid w:val="008E44A9"/>
    <w:rsid w:val="008E6B4D"/>
    <w:rsid w:val="008E6BFF"/>
    <w:rsid w:val="008E7F84"/>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849DF"/>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9F29EC"/>
    <w:rsid w:val="00A05D16"/>
    <w:rsid w:val="00A0659F"/>
    <w:rsid w:val="00A079BA"/>
    <w:rsid w:val="00A14E8C"/>
    <w:rsid w:val="00A20C70"/>
    <w:rsid w:val="00A33875"/>
    <w:rsid w:val="00A360A1"/>
    <w:rsid w:val="00A402B3"/>
    <w:rsid w:val="00A51FCE"/>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B7F4E"/>
    <w:rsid w:val="00AC5E9A"/>
    <w:rsid w:val="00AC704B"/>
    <w:rsid w:val="00AD51B9"/>
    <w:rsid w:val="00AD553E"/>
    <w:rsid w:val="00AD5848"/>
    <w:rsid w:val="00AE5ADA"/>
    <w:rsid w:val="00AF6145"/>
    <w:rsid w:val="00B0003E"/>
    <w:rsid w:val="00B01386"/>
    <w:rsid w:val="00B01915"/>
    <w:rsid w:val="00B01BB5"/>
    <w:rsid w:val="00B026CC"/>
    <w:rsid w:val="00B03E8B"/>
    <w:rsid w:val="00B04AF4"/>
    <w:rsid w:val="00B05214"/>
    <w:rsid w:val="00B25E5A"/>
    <w:rsid w:val="00B30D97"/>
    <w:rsid w:val="00B31074"/>
    <w:rsid w:val="00B3181A"/>
    <w:rsid w:val="00B35A7C"/>
    <w:rsid w:val="00B44ECD"/>
    <w:rsid w:val="00B450D1"/>
    <w:rsid w:val="00B53D47"/>
    <w:rsid w:val="00B54A25"/>
    <w:rsid w:val="00B618C3"/>
    <w:rsid w:val="00B63652"/>
    <w:rsid w:val="00B6500C"/>
    <w:rsid w:val="00B668B0"/>
    <w:rsid w:val="00B70F5C"/>
    <w:rsid w:val="00B71873"/>
    <w:rsid w:val="00B744CB"/>
    <w:rsid w:val="00B75AE5"/>
    <w:rsid w:val="00B800C0"/>
    <w:rsid w:val="00B8132B"/>
    <w:rsid w:val="00B84C5A"/>
    <w:rsid w:val="00B858F5"/>
    <w:rsid w:val="00B9245B"/>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47740"/>
    <w:rsid w:val="00C50659"/>
    <w:rsid w:val="00C51B39"/>
    <w:rsid w:val="00C5338A"/>
    <w:rsid w:val="00C548E0"/>
    <w:rsid w:val="00C54EF9"/>
    <w:rsid w:val="00C56BBF"/>
    <w:rsid w:val="00C572AA"/>
    <w:rsid w:val="00C57499"/>
    <w:rsid w:val="00C57A9A"/>
    <w:rsid w:val="00C6016A"/>
    <w:rsid w:val="00C60B3F"/>
    <w:rsid w:val="00C60F72"/>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5A9F"/>
    <w:rsid w:val="00CD784D"/>
    <w:rsid w:val="00CF3A1C"/>
    <w:rsid w:val="00CF40F8"/>
    <w:rsid w:val="00CF466F"/>
    <w:rsid w:val="00D008DA"/>
    <w:rsid w:val="00D0416F"/>
    <w:rsid w:val="00D05851"/>
    <w:rsid w:val="00D05DD6"/>
    <w:rsid w:val="00D067D5"/>
    <w:rsid w:val="00D10FED"/>
    <w:rsid w:val="00D11736"/>
    <w:rsid w:val="00D12B6C"/>
    <w:rsid w:val="00D12EE8"/>
    <w:rsid w:val="00D14CDF"/>
    <w:rsid w:val="00D15FF1"/>
    <w:rsid w:val="00D167F4"/>
    <w:rsid w:val="00D2092A"/>
    <w:rsid w:val="00D2216D"/>
    <w:rsid w:val="00D31A6F"/>
    <w:rsid w:val="00D353D1"/>
    <w:rsid w:val="00D367DB"/>
    <w:rsid w:val="00D36E05"/>
    <w:rsid w:val="00D44F27"/>
    <w:rsid w:val="00D452E3"/>
    <w:rsid w:val="00D45304"/>
    <w:rsid w:val="00D46165"/>
    <w:rsid w:val="00D461C7"/>
    <w:rsid w:val="00D50424"/>
    <w:rsid w:val="00D525C9"/>
    <w:rsid w:val="00D57D3E"/>
    <w:rsid w:val="00D76249"/>
    <w:rsid w:val="00D875A0"/>
    <w:rsid w:val="00DA7D12"/>
    <w:rsid w:val="00DB5159"/>
    <w:rsid w:val="00DC23CF"/>
    <w:rsid w:val="00DC6562"/>
    <w:rsid w:val="00DE130D"/>
    <w:rsid w:val="00DE24CF"/>
    <w:rsid w:val="00DE407C"/>
    <w:rsid w:val="00DE7C7D"/>
    <w:rsid w:val="00DF2992"/>
    <w:rsid w:val="00DF2D0C"/>
    <w:rsid w:val="00DF3B23"/>
    <w:rsid w:val="00DF7615"/>
    <w:rsid w:val="00E00058"/>
    <w:rsid w:val="00E01B9D"/>
    <w:rsid w:val="00E03A88"/>
    <w:rsid w:val="00E0468F"/>
    <w:rsid w:val="00E04F5E"/>
    <w:rsid w:val="00E0522E"/>
    <w:rsid w:val="00E120F4"/>
    <w:rsid w:val="00E17172"/>
    <w:rsid w:val="00E217F0"/>
    <w:rsid w:val="00E3181C"/>
    <w:rsid w:val="00E3280A"/>
    <w:rsid w:val="00E333FD"/>
    <w:rsid w:val="00E372AF"/>
    <w:rsid w:val="00E37D68"/>
    <w:rsid w:val="00E40EAE"/>
    <w:rsid w:val="00E436AC"/>
    <w:rsid w:val="00E44F7A"/>
    <w:rsid w:val="00E44FF8"/>
    <w:rsid w:val="00E45617"/>
    <w:rsid w:val="00E5066A"/>
    <w:rsid w:val="00E52CF9"/>
    <w:rsid w:val="00E63F34"/>
    <w:rsid w:val="00E63FEA"/>
    <w:rsid w:val="00E6573A"/>
    <w:rsid w:val="00E6715A"/>
    <w:rsid w:val="00E71BB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6A47"/>
    <w:rsid w:val="00EF7AF9"/>
    <w:rsid w:val="00F00952"/>
    <w:rsid w:val="00F01495"/>
    <w:rsid w:val="00F10138"/>
    <w:rsid w:val="00F13F92"/>
    <w:rsid w:val="00F200E8"/>
    <w:rsid w:val="00F22ECA"/>
    <w:rsid w:val="00F240E8"/>
    <w:rsid w:val="00F244FA"/>
    <w:rsid w:val="00F366A2"/>
    <w:rsid w:val="00F367AF"/>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1FB6"/>
    <w:rsid w:val="00FB398F"/>
    <w:rsid w:val="00FB4EF8"/>
    <w:rsid w:val="00FB54AE"/>
    <w:rsid w:val="00FB709A"/>
    <w:rsid w:val="00FB78DD"/>
    <w:rsid w:val="00FC3EF3"/>
    <w:rsid w:val="00FC5D35"/>
    <w:rsid w:val="00FC75C9"/>
    <w:rsid w:val="00FD2049"/>
    <w:rsid w:val="00FD2140"/>
    <w:rsid w:val="00FD5B5F"/>
    <w:rsid w:val="00FD5BDE"/>
    <w:rsid w:val="00FD68EC"/>
    <w:rsid w:val="00FE24A5"/>
    <w:rsid w:val="00FE31E5"/>
    <w:rsid w:val="00FE3FD5"/>
    <w:rsid w:val="00FE7DF1"/>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322133"/>
    <w:rPr>
      <w:color w:val="954F72" w:themeColor="followedHyperlink"/>
      <w:u w:val="single"/>
    </w:rPr>
  </w:style>
  <w:style w:type="character" w:styleId="UnresolvedMention">
    <w:name w:val="Unresolved Mention"/>
    <w:basedOn w:val="DefaultParagraphFont"/>
    <w:uiPriority w:val="99"/>
    <w:semiHidden/>
    <w:unhideWhenUsed/>
    <w:rsid w:val="00322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7386814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53463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0040558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fran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eorgiou@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MethodologicalDetails?m=21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l/KeyFiguresList?s=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5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cp:revision>
  <cp:lastPrinted>2023-07-06T07:26:00Z</cp:lastPrinted>
  <dcterms:created xsi:type="dcterms:W3CDTF">2023-07-11T05:37:00Z</dcterms:created>
  <dcterms:modified xsi:type="dcterms:W3CDTF">2023-07-11T05:37:00Z</dcterms:modified>
</cp:coreProperties>
</file>