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178CF" w14:textId="4F750817" w:rsidR="00D12F51" w:rsidRPr="007332B7" w:rsidRDefault="00366A1D" w:rsidP="00D12F51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8</w:t>
      </w:r>
      <w:r w:rsidR="00D12F51" w:rsidRPr="001A2739">
        <w:rPr>
          <w:rFonts w:ascii="Verdana" w:hAnsi="Verdana" w:cs="Arial"/>
          <w:sz w:val="18"/>
          <w:szCs w:val="18"/>
        </w:rPr>
        <w:t xml:space="preserve"> July</w:t>
      </w:r>
      <w:r w:rsidR="00D12F51" w:rsidRPr="001A2739">
        <w:rPr>
          <w:rFonts w:ascii="Verdana" w:eastAsia="Malgun Gothic" w:hAnsi="Verdana" w:cs="Arial"/>
          <w:sz w:val="18"/>
          <w:szCs w:val="18"/>
        </w:rPr>
        <w:t>, 202</w:t>
      </w:r>
      <w:r>
        <w:rPr>
          <w:rFonts w:ascii="Verdana" w:eastAsia="Malgun Gothic" w:hAnsi="Verdana" w:cs="Arial"/>
          <w:sz w:val="18"/>
          <w:szCs w:val="18"/>
        </w:rPr>
        <w:t>5</w:t>
      </w:r>
    </w:p>
    <w:p w14:paraId="2CE47E62" w14:textId="77777777" w:rsidR="00D12F51" w:rsidRPr="00931164" w:rsidRDefault="00D12F51" w:rsidP="00D12F51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54D13FA1" w14:textId="77777777" w:rsidR="00D12F51" w:rsidRPr="00931164" w:rsidRDefault="00D12F51" w:rsidP="00D12F51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7A82EF02" w14:textId="77777777" w:rsidR="00D12F51" w:rsidRDefault="00D12F51" w:rsidP="00D12F51">
      <w:pPr>
        <w:rPr>
          <w:rFonts w:ascii="Verdana" w:eastAsia="Malgun Gothic" w:hAnsi="Verdana" w:cs="Arial"/>
        </w:rPr>
      </w:pPr>
    </w:p>
    <w:p w14:paraId="0C1812AC" w14:textId="1B726697" w:rsidR="00D12F51" w:rsidRPr="00B6525E" w:rsidRDefault="00D12F51" w:rsidP="00E8543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Cs w:val="22"/>
          <w:lang w:val="en-US"/>
        </w:rPr>
      </w:pPr>
      <w:r w:rsidRPr="00377ABB">
        <w:rPr>
          <w:rFonts w:ascii="Verdana" w:eastAsia="Malgun Gothic" w:hAnsi="Verdana" w:cs="Arial"/>
          <w:b w:val="0"/>
          <w:szCs w:val="22"/>
          <w:lang w:val="en-US"/>
        </w:rPr>
        <w:t>RESULTS OF THE SERVICES AND TRANSPORT SURVEY 20</w:t>
      </w:r>
      <w:r>
        <w:rPr>
          <w:rFonts w:ascii="Verdana" w:eastAsia="Malgun Gothic" w:hAnsi="Verdana" w:cs="Arial"/>
          <w:b w:val="0"/>
          <w:szCs w:val="22"/>
          <w:lang w:val="en-US"/>
        </w:rPr>
        <w:t>2</w:t>
      </w:r>
      <w:r w:rsidR="00366A1D">
        <w:rPr>
          <w:rFonts w:ascii="Verdana" w:eastAsia="Malgun Gothic" w:hAnsi="Verdana" w:cs="Arial"/>
          <w:b w:val="0"/>
          <w:szCs w:val="22"/>
          <w:lang w:val="en-US"/>
        </w:rPr>
        <w:t>3</w:t>
      </w:r>
    </w:p>
    <w:p w14:paraId="617A78F7" w14:textId="77777777" w:rsidR="00E8543E" w:rsidRDefault="00E8543E" w:rsidP="00E8543E"/>
    <w:p w14:paraId="616915B5" w14:textId="2F5F3470" w:rsidR="00E8543E" w:rsidRPr="006D3D77" w:rsidRDefault="00D830F8" w:rsidP="00E8543E">
      <w:pPr>
        <w:jc w:val="center"/>
        <w:rPr>
          <w:rFonts w:ascii="Verdana" w:hAnsi="Verdana"/>
          <w:b/>
          <w:bCs/>
        </w:rPr>
      </w:pPr>
      <w:r w:rsidRPr="006D3D77">
        <w:rPr>
          <w:rFonts w:ascii="Verdana" w:hAnsi="Verdana"/>
          <w:b/>
          <w:bCs/>
        </w:rPr>
        <w:t>La</w:t>
      </w:r>
      <w:bookmarkStart w:id="0" w:name="_GoBack"/>
      <w:bookmarkEnd w:id="0"/>
      <w:r w:rsidRPr="006D3D77">
        <w:rPr>
          <w:rFonts w:ascii="Verdana" w:hAnsi="Verdana"/>
          <w:b/>
          <w:bCs/>
        </w:rPr>
        <w:t>rge i</w:t>
      </w:r>
      <w:r w:rsidR="00E8543E" w:rsidRPr="006D3D77">
        <w:rPr>
          <w:rFonts w:ascii="Verdana" w:hAnsi="Verdana"/>
          <w:b/>
          <w:bCs/>
        </w:rPr>
        <w:t xml:space="preserve">ncrease in all sectors of economic activity </w:t>
      </w:r>
    </w:p>
    <w:p w14:paraId="5E40DDD5" w14:textId="77777777" w:rsidR="00D12F51" w:rsidRPr="0007190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198A8E3E" w14:textId="5E6519DC" w:rsidR="00EB24AD" w:rsidRPr="00651CA6" w:rsidRDefault="00D12F51" w:rsidP="00EB24AD">
      <w:pPr>
        <w:jc w:val="both"/>
        <w:rPr>
          <w:rFonts w:ascii="Verdana" w:hAnsi="Verdana" w:cs="Arial"/>
          <w:sz w:val="18"/>
          <w:szCs w:val="18"/>
        </w:rPr>
      </w:pPr>
      <w:r w:rsidRPr="00651CA6">
        <w:rPr>
          <w:rFonts w:ascii="Verdana" w:hAnsi="Verdana" w:cs="Arial"/>
          <w:sz w:val="18"/>
          <w:szCs w:val="18"/>
        </w:rPr>
        <w:t xml:space="preserve">According to the results of the Services and Transport Survey, the tertiary sector of the economy </w:t>
      </w:r>
      <w:r w:rsidR="00EB24AD" w:rsidRPr="00651CA6">
        <w:rPr>
          <w:rFonts w:ascii="Verdana" w:hAnsi="Verdana" w:cs="Arial"/>
          <w:sz w:val="18"/>
          <w:szCs w:val="18"/>
        </w:rPr>
        <w:t>registered in 202</w:t>
      </w:r>
      <w:r w:rsidR="00366A1D">
        <w:rPr>
          <w:rFonts w:ascii="Verdana" w:hAnsi="Verdana" w:cs="Arial"/>
          <w:sz w:val="18"/>
          <w:szCs w:val="18"/>
        </w:rPr>
        <w:t>3</w:t>
      </w:r>
      <w:r w:rsidR="00EB24AD" w:rsidRPr="00651CA6">
        <w:rPr>
          <w:rFonts w:ascii="Verdana" w:hAnsi="Verdana" w:cs="Arial"/>
          <w:sz w:val="18"/>
          <w:szCs w:val="18"/>
        </w:rPr>
        <w:t xml:space="preserve"> a positive growth rate compared to 202</w:t>
      </w:r>
      <w:r w:rsidR="00366A1D">
        <w:rPr>
          <w:rFonts w:ascii="Verdana" w:hAnsi="Verdana" w:cs="Arial"/>
          <w:sz w:val="18"/>
          <w:szCs w:val="18"/>
        </w:rPr>
        <w:t>2</w:t>
      </w:r>
      <w:r w:rsidR="00EB24AD" w:rsidRPr="00651CA6">
        <w:rPr>
          <w:rFonts w:ascii="Verdana" w:hAnsi="Verdana" w:cs="Arial"/>
          <w:sz w:val="18"/>
          <w:szCs w:val="18"/>
        </w:rPr>
        <w:t>.</w:t>
      </w:r>
    </w:p>
    <w:p w14:paraId="6B02DA18" w14:textId="737F8E87" w:rsidR="00D12F51" w:rsidRPr="00651CA6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4573485C" w14:textId="1BA4F8AD" w:rsidR="00651CA6" w:rsidRPr="00F613AE" w:rsidRDefault="00D12F51" w:rsidP="00651CA6">
      <w:pPr>
        <w:jc w:val="both"/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</w:pPr>
      <w:r w:rsidRPr="00651CA6">
        <w:rPr>
          <w:rFonts w:ascii="Verdana" w:hAnsi="Verdana" w:cs="Arial"/>
          <w:sz w:val="18"/>
          <w:szCs w:val="18"/>
        </w:rPr>
        <w:t>In particular,</w:t>
      </w:r>
      <w:r w:rsidR="00812C7B">
        <w:rPr>
          <w:rFonts w:ascii="Verdana" w:hAnsi="Verdana" w:cs="Arial"/>
          <w:sz w:val="18"/>
          <w:szCs w:val="18"/>
        </w:rPr>
        <w:t xml:space="preserve"> </w:t>
      </w:r>
      <w:r w:rsidRPr="00651CA6">
        <w:rPr>
          <w:rFonts w:ascii="Verdana" w:hAnsi="Verdana" w:cs="Arial"/>
          <w:sz w:val="18"/>
          <w:szCs w:val="18"/>
        </w:rPr>
        <w:t>production value</w:t>
      </w:r>
      <w:r w:rsidR="00812C7B">
        <w:rPr>
          <w:rFonts w:ascii="Verdana" w:hAnsi="Verdana" w:cs="Arial"/>
          <w:sz w:val="18"/>
          <w:szCs w:val="18"/>
        </w:rPr>
        <w:t xml:space="preserve"> during 202</w:t>
      </w:r>
      <w:r w:rsidR="004A12B6" w:rsidRPr="004A12B6">
        <w:rPr>
          <w:rFonts w:ascii="Verdana" w:hAnsi="Verdana" w:cs="Arial"/>
          <w:sz w:val="18"/>
          <w:szCs w:val="18"/>
        </w:rPr>
        <w:t>3</w:t>
      </w:r>
      <w:r w:rsidRPr="00651CA6">
        <w:rPr>
          <w:rFonts w:ascii="Verdana" w:hAnsi="Verdana" w:cs="Arial"/>
          <w:sz w:val="18"/>
          <w:szCs w:val="18"/>
        </w:rPr>
        <w:t xml:space="preserve"> showed a</w:t>
      </w:r>
      <w:r w:rsidR="00651CA6" w:rsidRPr="00651CA6">
        <w:rPr>
          <w:rFonts w:ascii="Verdana" w:hAnsi="Verdana" w:cs="Arial"/>
          <w:sz w:val="18"/>
          <w:szCs w:val="18"/>
        </w:rPr>
        <w:t>n</w:t>
      </w:r>
      <w:r w:rsidRPr="00651CA6">
        <w:rPr>
          <w:rFonts w:ascii="Verdana" w:hAnsi="Verdana" w:cs="Arial"/>
          <w:sz w:val="18"/>
          <w:szCs w:val="18"/>
        </w:rPr>
        <w:t xml:space="preserve"> </w:t>
      </w:r>
      <w:r w:rsidR="00651CA6" w:rsidRPr="00651CA6">
        <w:rPr>
          <w:rFonts w:ascii="Verdana" w:hAnsi="Verdana" w:cs="Arial"/>
          <w:sz w:val="18"/>
          <w:szCs w:val="18"/>
        </w:rPr>
        <w:t>increase</w:t>
      </w:r>
      <w:r w:rsidRPr="00651CA6">
        <w:rPr>
          <w:rFonts w:ascii="Verdana" w:hAnsi="Verdana" w:cs="Arial"/>
          <w:sz w:val="18"/>
          <w:szCs w:val="18"/>
        </w:rPr>
        <w:t xml:space="preserve"> of </w:t>
      </w:r>
      <w:r w:rsidR="004A12B6" w:rsidRPr="004A12B6">
        <w:rPr>
          <w:rFonts w:ascii="Verdana" w:hAnsi="Verdana" w:cs="Arial"/>
          <w:sz w:val="18"/>
          <w:szCs w:val="18"/>
        </w:rPr>
        <w:t>6</w:t>
      </w:r>
      <w:r w:rsidRPr="00651CA6">
        <w:rPr>
          <w:rFonts w:ascii="Verdana" w:hAnsi="Verdana" w:cs="Arial"/>
          <w:sz w:val="18"/>
          <w:szCs w:val="18"/>
        </w:rPr>
        <w:t>,</w:t>
      </w:r>
      <w:r w:rsidR="004A12B6" w:rsidRPr="004A12B6">
        <w:rPr>
          <w:rFonts w:ascii="Verdana" w:hAnsi="Verdana" w:cs="Arial"/>
          <w:sz w:val="18"/>
          <w:szCs w:val="18"/>
        </w:rPr>
        <w:t>7</w:t>
      </w:r>
      <w:r w:rsidRPr="00651CA6">
        <w:rPr>
          <w:rFonts w:ascii="Verdana" w:hAnsi="Verdana" w:cs="Arial"/>
          <w:sz w:val="18"/>
          <w:szCs w:val="18"/>
        </w:rPr>
        <w:t xml:space="preserve">% in transportation and storage (sector H), </w:t>
      </w:r>
      <w:r w:rsidR="004A12B6" w:rsidRPr="004A12B6">
        <w:rPr>
          <w:rFonts w:ascii="Verdana" w:hAnsi="Verdana" w:cs="Arial"/>
          <w:sz w:val="18"/>
          <w:szCs w:val="18"/>
        </w:rPr>
        <w:t>20</w:t>
      </w:r>
      <w:r w:rsidRPr="00651CA6">
        <w:rPr>
          <w:rFonts w:ascii="Verdana" w:hAnsi="Verdana" w:cs="Arial"/>
          <w:sz w:val="18"/>
          <w:szCs w:val="18"/>
        </w:rPr>
        <w:t>,</w:t>
      </w:r>
      <w:r w:rsidR="004A12B6" w:rsidRPr="004A12B6">
        <w:rPr>
          <w:rFonts w:ascii="Verdana" w:hAnsi="Verdana" w:cs="Arial"/>
          <w:sz w:val="18"/>
          <w:szCs w:val="18"/>
        </w:rPr>
        <w:t>5</w:t>
      </w:r>
      <w:r w:rsidRPr="00651CA6">
        <w:rPr>
          <w:rFonts w:ascii="Verdana" w:hAnsi="Verdana" w:cs="Arial"/>
          <w:sz w:val="18"/>
          <w:szCs w:val="18"/>
        </w:rPr>
        <w:t>% in accommodation and food service activities (sector I)</w:t>
      </w:r>
      <w:r w:rsidR="00651CA6" w:rsidRPr="00651CA6">
        <w:rPr>
          <w:rFonts w:ascii="Verdana" w:hAnsi="Verdana" w:cs="Arial"/>
          <w:sz w:val="18"/>
          <w:szCs w:val="18"/>
        </w:rPr>
        <w:t xml:space="preserve">, </w:t>
      </w:r>
      <w:r w:rsidR="004A12B6" w:rsidRPr="004A12B6">
        <w:rPr>
          <w:rFonts w:ascii="Verdana" w:hAnsi="Verdana" w:cs="Arial"/>
          <w:sz w:val="18"/>
          <w:szCs w:val="18"/>
        </w:rPr>
        <w:t>1</w:t>
      </w:r>
      <w:r w:rsidR="006E3378" w:rsidRPr="006E3378">
        <w:rPr>
          <w:rFonts w:ascii="Verdana" w:hAnsi="Verdana" w:cs="Arial"/>
          <w:sz w:val="18"/>
          <w:szCs w:val="18"/>
        </w:rPr>
        <w:t>7</w:t>
      </w:r>
      <w:r w:rsidR="00651CA6" w:rsidRPr="00651CA6">
        <w:rPr>
          <w:rFonts w:ascii="Verdana" w:hAnsi="Verdana" w:cs="Arial"/>
          <w:sz w:val="18"/>
          <w:szCs w:val="18"/>
        </w:rPr>
        <w:t>,</w:t>
      </w:r>
      <w:r w:rsidR="004A12B6" w:rsidRPr="004A12B6">
        <w:rPr>
          <w:rFonts w:ascii="Verdana" w:hAnsi="Verdana" w:cs="Arial"/>
          <w:sz w:val="18"/>
          <w:szCs w:val="18"/>
        </w:rPr>
        <w:t>4</w:t>
      </w:r>
      <w:r w:rsidR="00651CA6" w:rsidRPr="00651CA6">
        <w:rPr>
          <w:rFonts w:ascii="Verdana" w:hAnsi="Verdana" w:cs="Arial"/>
          <w:sz w:val="18"/>
          <w:szCs w:val="18"/>
        </w:rPr>
        <w:t xml:space="preserve">% in information and communication (sector J), </w:t>
      </w:r>
      <w:r w:rsidR="006E3378" w:rsidRPr="006E3378">
        <w:rPr>
          <w:rFonts w:ascii="Verdana" w:hAnsi="Verdana" w:cs="Arial"/>
          <w:sz w:val="18"/>
          <w:szCs w:val="18"/>
        </w:rPr>
        <w:t>1</w:t>
      </w:r>
      <w:r w:rsidR="004A12B6" w:rsidRPr="004A12B6">
        <w:rPr>
          <w:rFonts w:ascii="Verdana" w:hAnsi="Verdana" w:cs="Arial"/>
          <w:sz w:val="18"/>
          <w:szCs w:val="18"/>
        </w:rPr>
        <w:t>6</w:t>
      </w:r>
      <w:r w:rsidR="00651CA6" w:rsidRPr="00651CA6">
        <w:rPr>
          <w:rFonts w:ascii="Verdana" w:hAnsi="Verdana" w:cs="Arial"/>
          <w:sz w:val="18"/>
          <w:szCs w:val="18"/>
        </w:rPr>
        <w:t>,</w:t>
      </w:r>
      <w:r w:rsidR="004A12B6" w:rsidRPr="004A12B6">
        <w:rPr>
          <w:rFonts w:ascii="Verdana" w:hAnsi="Verdana" w:cs="Arial"/>
          <w:sz w:val="18"/>
          <w:szCs w:val="18"/>
        </w:rPr>
        <w:t>3</w:t>
      </w:r>
      <w:r w:rsidR="00651CA6" w:rsidRPr="00651CA6">
        <w:rPr>
          <w:rFonts w:ascii="Verdana" w:hAnsi="Verdana" w:cs="Arial"/>
          <w:sz w:val="18"/>
          <w:szCs w:val="18"/>
        </w:rPr>
        <w:t xml:space="preserve">% in real estate activities (sector L), </w:t>
      </w:r>
      <w:r w:rsidR="006E3378" w:rsidRPr="006E3378">
        <w:rPr>
          <w:rFonts w:ascii="Verdana" w:hAnsi="Verdana" w:cs="Arial"/>
          <w:sz w:val="18"/>
          <w:szCs w:val="18"/>
        </w:rPr>
        <w:t>1</w:t>
      </w:r>
      <w:r w:rsidR="004A12B6" w:rsidRPr="004A12B6">
        <w:rPr>
          <w:rFonts w:ascii="Verdana" w:hAnsi="Verdana" w:cs="Arial"/>
          <w:sz w:val="18"/>
          <w:szCs w:val="18"/>
        </w:rPr>
        <w:t>0</w:t>
      </w:r>
      <w:r w:rsidR="00651CA6" w:rsidRPr="00651CA6">
        <w:rPr>
          <w:rFonts w:ascii="Verdana" w:hAnsi="Verdana" w:cs="Arial"/>
          <w:sz w:val="18"/>
          <w:szCs w:val="18"/>
        </w:rPr>
        <w:t>,</w:t>
      </w:r>
      <w:r w:rsidR="006E3378" w:rsidRPr="006E3378">
        <w:rPr>
          <w:rFonts w:ascii="Verdana" w:hAnsi="Verdana" w:cs="Arial"/>
          <w:sz w:val="18"/>
          <w:szCs w:val="18"/>
        </w:rPr>
        <w:t>0</w:t>
      </w:r>
      <w:r w:rsidR="00651CA6" w:rsidRPr="00651CA6">
        <w:rPr>
          <w:rFonts w:ascii="Verdana" w:hAnsi="Verdana" w:cs="Arial"/>
          <w:sz w:val="18"/>
          <w:szCs w:val="18"/>
        </w:rPr>
        <w:t xml:space="preserve">% in professional, scientific and technical activities (sector M), </w:t>
      </w:r>
      <w:r w:rsidR="004A12B6" w:rsidRPr="004A12B6">
        <w:rPr>
          <w:rFonts w:ascii="Verdana" w:hAnsi="Verdana" w:cs="Arial"/>
          <w:sz w:val="18"/>
          <w:szCs w:val="18"/>
        </w:rPr>
        <w:t>16</w:t>
      </w:r>
      <w:r w:rsidRPr="00651CA6">
        <w:rPr>
          <w:rFonts w:ascii="Verdana" w:hAnsi="Verdana" w:cs="Arial"/>
          <w:sz w:val="18"/>
          <w:szCs w:val="18"/>
        </w:rPr>
        <w:t>,</w:t>
      </w:r>
      <w:r w:rsidR="004A12B6" w:rsidRPr="004A12B6">
        <w:rPr>
          <w:rFonts w:ascii="Verdana" w:hAnsi="Verdana" w:cs="Arial"/>
          <w:sz w:val="18"/>
          <w:szCs w:val="18"/>
        </w:rPr>
        <w:t>9</w:t>
      </w:r>
      <w:r w:rsidRPr="00651CA6">
        <w:rPr>
          <w:rFonts w:ascii="Verdana" w:hAnsi="Verdana" w:cs="Arial"/>
          <w:sz w:val="18"/>
          <w:szCs w:val="18"/>
        </w:rPr>
        <w:t>% in administrative and support service activities (sector N)</w:t>
      </w:r>
      <w:r w:rsidR="00651CA6" w:rsidRPr="00651CA6">
        <w:rPr>
          <w:rFonts w:ascii="Verdana" w:hAnsi="Verdana" w:cs="Arial"/>
          <w:sz w:val="18"/>
          <w:szCs w:val="18"/>
        </w:rPr>
        <w:t xml:space="preserve">, </w:t>
      </w:r>
      <w:r w:rsidR="004A12B6" w:rsidRPr="004A12B6">
        <w:rPr>
          <w:rFonts w:ascii="Verdana" w:hAnsi="Verdana" w:cs="Arial"/>
          <w:sz w:val="18"/>
          <w:szCs w:val="18"/>
        </w:rPr>
        <w:t>10</w:t>
      </w:r>
      <w:r w:rsidR="00651CA6" w:rsidRPr="00651CA6">
        <w:rPr>
          <w:rFonts w:ascii="Verdana" w:hAnsi="Verdana" w:cs="Arial"/>
          <w:sz w:val="18"/>
          <w:szCs w:val="18"/>
        </w:rPr>
        <w:t>,</w:t>
      </w:r>
      <w:r w:rsidR="004A12B6" w:rsidRPr="004A12B6">
        <w:rPr>
          <w:rFonts w:ascii="Verdana" w:hAnsi="Verdana" w:cs="Arial"/>
          <w:sz w:val="18"/>
          <w:szCs w:val="18"/>
        </w:rPr>
        <w:t>9</w:t>
      </w:r>
      <w:r w:rsidR="00651CA6" w:rsidRPr="00651CA6">
        <w:rPr>
          <w:rFonts w:ascii="Verdana" w:hAnsi="Verdana" w:cs="Arial"/>
          <w:sz w:val="18"/>
          <w:szCs w:val="18"/>
        </w:rPr>
        <w:t>% in education (sect</w:t>
      </w:r>
      <w:r w:rsidR="00D830F8">
        <w:rPr>
          <w:rFonts w:ascii="Verdana" w:hAnsi="Verdana" w:cs="Arial"/>
          <w:sz w:val="18"/>
          <w:szCs w:val="18"/>
        </w:rPr>
        <w:t>or</w:t>
      </w:r>
      <w:r w:rsidR="00651CA6" w:rsidRPr="00651CA6">
        <w:rPr>
          <w:rFonts w:ascii="Verdana" w:hAnsi="Verdana" w:cs="Arial"/>
          <w:sz w:val="18"/>
          <w:szCs w:val="18"/>
        </w:rPr>
        <w:t xml:space="preserve"> P), </w:t>
      </w:r>
      <w:r w:rsidR="004A12B6" w:rsidRPr="004A12B6">
        <w:rPr>
          <w:rFonts w:ascii="Verdana" w:hAnsi="Verdana" w:cs="Arial"/>
          <w:sz w:val="18"/>
          <w:szCs w:val="18"/>
        </w:rPr>
        <w:t>8</w:t>
      </w:r>
      <w:r w:rsidR="00651CA6" w:rsidRPr="00651CA6">
        <w:rPr>
          <w:rFonts w:ascii="Verdana" w:hAnsi="Verdana" w:cs="Arial"/>
          <w:sz w:val="18"/>
          <w:szCs w:val="18"/>
        </w:rPr>
        <w:t>,</w:t>
      </w:r>
      <w:r w:rsidR="004A12B6" w:rsidRPr="004A12B6">
        <w:rPr>
          <w:rFonts w:ascii="Verdana" w:hAnsi="Verdana" w:cs="Arial"/>
          <w:sz w:val="18"/>
          <w:szCs w:val="18"/>
        </w:rPr>
        <w:t>7</w:t>
      </w:r>
      <w:r w:rsidR="00651CA6" w:rsidRPr="00651CA6">
        <w:rPr>
          <w:rFonts w:ascii="Verdana" w:hAnsi="Verdana" w:cs="Arial"/>
          <w:sz w:val="18"/>
          <w:szCs w:val="18"/>
        </w:rPr>
        <w:t xml:space="preserve">% </w:t>
      </w:r>
      <w:r w:rsidR="00651CA6" w:rsidRPr="00F613AE">
        <w:rPr>
          <w:rFonts w:ascii="Verdana" w:hAnsi="Verdana" w:cs="Arial"/>
          <w:color w:val="000000" w:themeColor="text1"/>
          <w:sz w:val="18"/>
          <w:szCs w:val="18"/>
        </w:rPr>
        <w:t xml:space="preserve">in </w:t>
      </w:r>
      <w:r w:rsidR="00283102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h</w:t>
      </w:r>
      <w:r w:rsidR="00651CA6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uman health and social work activities (sect</w:t>
      </w:r>
      <w:r w:rsidR="00D830F8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or</w:t>
      </w:r>
      <w:r w:rsidR="00651CA6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 xml:space="preserve"> Q), </w:t>
      </w:r>
      <w:r w:rsidR="004A12B6" w:rsidRPr="004A12B6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13</w:t>
      </w:r>
      <w:r w:rsidR="00651CA6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,</w:t>
      </w:r>
      <w:r w:rsidR="004A12B6" w:rsidRPr="004A12B6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3</w:t>
      </w:r>
      <w:r w:rsidR="00651CA6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 xml:space="preserve">% in </w:t>
      </w:r>
      <w:r w:rsidR="00DD3927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a</w:t>
      </w:r>
      <w:r w:rsidR="00651CA6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 xml:space="preserve">rts, </w:t>
      </w:r>
      <w:r w:rsidR="00DD3927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e</w:t>
      </w:r>
      <w:r w:rsidR="00651CA6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 xml:space="preserve">ntertainment and </w:t>
      </w:r>
      <w:r w:rsidR="00DD3927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r</w:t>
      </w:r>
      <w:r w:rsidR="00651CA6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ecreation (sect</w:t>
      </w:r>
      <w:r w:rsidR="00D830F8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or</w:t>
      </w:r>
      <w:r w:rsidR="00651CA6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 xml:space="preserve"> R) and </w:t>
      </w:r>
      <w:r w:rsidR="004A12B6" w:rsidRPr="004A12B6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9</w:t>
      </w:r>
      <w:r w:rsidR="003222D7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,</w:t>
      </w:r>
      <w:r w:rsidR="004A12B6" w:rsidRPr="004A12B6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3</w:t>
      </w:r>
      <w:r w:rsidR="00651CA6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% in other service activities (sect</w:t>
      </w:r>
      <w:r w:rsidR="00D830F8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>or</w:t>
      </w:r>
      <w:r w:rsidR="00651CA6" w:rsidRPr="00F613AE">
        <w:rPr>
          <w:rFonts w:ascii="Verdana" w:eastAsia="Times New Roman" w:hAnsi="Verdana" w:cs="Calibri"/>
          <w:color w:val="000000" w:themeColor="text1"/>
          <w:sz w:val="18"/>
          <w:szCs w:val="18"/>
          <w:lang w:eastAsia="en-CY"/>
        </w:rPr>
        <w:t xml:space="preserve"> S).</w:t>
      </w:r>
    </w:p>
    <w:p w14:paraId="5F9A17C8" w14:textId="77777777" w:rsidR="000E316A" w:rsidRDefault="000E316A" w:rsidP="00D12F51">
      <w:pPr>
        <w:jc w:val="both"/>
        <w:rPr>
          <w:rFonts w:ascii="Verdana" w:hAnsi="Verdana" w:cs="Arial"/>
          <w:sz w:val="18"/>
          <w:szCs w:val="18"/>
        </w:rPr>
      </w:pPr>
    </w:p>
    <w:p w14:paraId="3386FE0D" w14:textId="2A862022" w:rsidR="000E316A" w:rsidRDefault="00072DB1" w:rsidP="00072DB1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val="en-GB" w:eastAsia="en-GB"/>
        </w:rPr>
        <w:drawing>
          <wp:inline distT="0" distB="0" distL="0" distR="0" wp14:anchorId="5755C717" wp14:editId="22A2019E">
            <wp:extent cx="6059805" cy="4486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663" cy="448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4DD0B" w14:textId="77777777" w:rsidR="00072DB1" w:rsidRDefault="00072DB1" w:rsidP="00132612">
      <w:pPr>
        <w:jc w:val="both"/>
        <w:rPr>
          <w:rFonts w:ascii="Verdana" w:hAnsi="Verdana" w:cs="Arial"/>
          <w:sz w:val="18"/>
          <w:szCs w:val="18"/>
        </w:rPr>
      </w:pPr>
    </w:p>
    <w:p w14:paraId="37AB1490" w14:textId="1990AF31" w:rsidR="00132612" w:rsidRPr="00FD6CD4" w:rsidRDefault="00132612" w:rsidP="00132612">
      <w:pPr>
        <w:jc w:val="both"/>
        <w:rPr>
          <w:rFonts w:ascii="Verdana" w:hAnsi="Verdana" w:cs="Arial"/>
          <w:sz w:val="18"/>
          <w:szCs w:val="18"/>
        </w:rPr>
      </w:pPr>
      <w:r w:rsidRPr="00132612">
        <w:rPr>
          <w:rFonts w:ascii="Verdana" w:hAnsi="Verdana" w:cs="Arial"/>
          <w:sz w:val="18"/>
          <w:szCs w:val="18"/>
        </w:rPr>
        <w:t xml:space="preserve">Regarding the value </w:t>
      </w:r>
      <w:r w:rsidR="00EF5E0D" w:rsidRPr="00FD6CD4">
        <w:rPr>
          <w:rFonts w:ascii="Verdana" w:hAnsi="Verdana" w:cs="Arial"/>
          <w:sz w:val="18"/>
          <w:szCs w:val="18"/>
        </w:rPr>
        <w:t xml:space="preserve">added </w:t>
      </w:r>
      <w:r w:rsidRPr="00FD6CD4">
        <w:rPr>
          <w:rFonts w:ascii="Verdana" w:hAnsi="Verdana" w:cs="Arial"/>
          <w:sz w:val="18"/>
          <w:szCs w:val="18"/>
        </w:rPr>
        <w:t xml:space="preserve">at current prices, increases were recorded in all sectors. </w:t>
      </w:r>
      <w:r w:rsidR="001A36FF">
        <w:rPr>
          <w:rFonts w:ascii="Verdana" w:hAnsi="Verdana" w:cs="Arial"/>
          <w:sz w:val="18"/>
          <w:szCs w:val="18"/>
        </w:rPr>
        <w:t>N</w:t>
      </w:r>
      <w:r w:rsidR="009317AE" w:rsidRPr="00FD6CD4">
        <w:rPr>
          <w:rFonts w:ascii="Verdana" w:hAnsi="Verdana" w:cs="Arial"/>
          <w:sz w:val="18"/>
          <w:szCs w:val="18"/>
        </w:rPr>
        <w:t>otable</w:t>
      </w:r>
      <w:r w:rsidRPr="00FD6CD4">
        <w:rPr>
          <w:rFonts w:ascii="Verdana" w:hAnsi="Verdana" w:cs="Arial"/>
          <w:sz w:val="18"/>
          <w:szCs w:val="18"/>
        </w:rPr>
        <w:t xml:space="preserve"> increase</w:t>
      </w:r>
      <w:r w:rsidR="0086725D">
        <w:rPr>
          <w:rFonts w:ascii="Verdana" w:hAnsi="Verdana" w:cs="Arial"/>
          <w:sz w:val="18"/>
          <w:szCs w:val="18"/>
        </w:rPr>
        <w:t>s</w:t>
      </w:r>
      <w:r w:rsidRPr="00FD6CD4">
        <w:rPr>
          <w:rFonts w:ascii="Verdana" w:hAnsi="Verdana" w:cs="Arial"/>
          <w:sz w:val="18"/>
          <w:szCs w:val="18"/>
        </w:rPr>
        <w:t xml:space="preserve"> </w:t>
      </w:r>
      <w:r w:rsidR="0086725D">
        <w:rPr>
          <w:rFonts w:ascii="Verdana" w:hAnsi="Verdana" w:cs="Arial"/>
          <w:sz w:val="18"/>
          <w:szCs w:val="18"/>
        </w:rPr>
        <w:t>were</w:t>
      </w:r>
      <w:r w:rsidRPr="00FD6CD4">
        <w:rPr>
          <w:rFonts w:ascii="Verdana" w:hAnsi="Verdana" w:cs="Arial"/>
          <w:sz w:val="18"/>
          <w:szCs w:val="18"/>
        </w:rPr>
        <w:t xml:space="preserve"> recorded in accommodation and food service activities</w:t>
      </w:r>
      <w:r w:rsidR="0086725D">
        <w:rPr>
          <w:rFonts w:ascii="Verdana" w:hAnsi="Verdana" w:cs="Arial"/>
          <w:sz w:val="18"/>
          <w:szCs w:val="18"/>
        </w:rPr>
        <w:t xml:space="preserve"> by </w:t>
      </w:r>
      <w:r w:rsidR="00484F24" w:rsidRPr="00484F24">
        <w:rPr>
          <w:rFonts w:ascii="Verdana" w:hAnsi="Verdana" w:cs="Arial"/>
          <w:sz w:val="18"/>
          <w:szCs w:val="18"/>
        </w:rPr>
        <w:t>24</w:t>
      </w:r>
      <w:proofErr w:type="gramStart"/>
      <w:r w:rsidR="0029633E">
        <w:rPr>
          <w:rFonts w:ascii="Verdana" w:hAnsi="Verdana" w:cs="Arial"/>
          <w:sz w:val="18"/>
          <w:szCs w:val="18"/>
        </w:rPr>
        <w:t>,</w:t>
      </w:r>
      <w:r w:rsidR="00484F24" w:rsidRPr="00484F24">
        <w:rPr>
          <w:rFonts w:ascii="Verdana" w:hAnsi="Verdana" w:cs="Arial"/>
          <w:sz w:val="18"/>
          <w:szCs w:val="18"/>
        </w:rPr>
        <w:t>3</w:t>
      </w:r>
      <w:proofErr w:type="gramEnd"/>
      <w:r w:rsidR="0086725D">
        <w:rPr>
          <w:rFonts w:ascii="Verdana" w:hAnsi="Verdana" w:cs="Arial"/>
          <w:sz w:val="18"/>
          <w:szCs w:val="18"/>
        </w:rPr>
        <w:t>%</w:t>
      </w:r>
      <w:r w:rsidRPr="00FD6CD4">
        <w:rPr>
          <w:rFonts w:ascii="Verdana" w:hAnsi="Verdana" w:cs="Arial"/>
          <w:sz w:val="18"/>
          <w:szCs w:val="18"/>
        </w:rPr>
        <w:t>,</w:t>
      </w:r>
      <w:r w:rsidR="0029633E">
        <w:rPr>
          <w:rFonts w:ascii="Verdana" w:hAnsi="Verdana" w:cs="Arial"/>
          <w:sz w:val="18"/>
          <w:szCs w:val="18"/>
        </w:rPr>
        <w:t xml:space="preserve"> </w:t>
      </w:r>
      <w:r w:rsidRPr="00FD6CD4">
        <w:rPr>
          <w:rFonts w:ascii="Verdana" w:hAnsi="Verdana" w:cs="Arial"/>
          <w:sz w:val="18"/>
          <w:szCs w:val="18"/>
        </w:rPr>
        <w:t>reaching €</w:t>
      </w:r>
      <w:r w:rsidR="009317AE" w:rsidRPr="00FD6CD4">
        <w:rPr>
          <w:rFonts w:ascii="Verdana" w:hAnsi="Verdana" w:cs="Arial"/>
          <w:sz w:val="18"/>
          <w:szCs w:val="18"/>
        </w:rPr>
        <w:t>1.</w:t>
      </w:r>
      <w:r w:rsidR="00484F24" w:rsidRPr="00484F24">
        <w:rPr>
          <w:rFonts w:ascii="Verdana" w:hAnsi="Verdana" w:cs="Arial"/>
          <w:sz w:val="18"/>
          <w:szCs w:val="18"/>
        </w:rPr>
        <w:t>736</w:t>
      </w:r>
      <w:r w:rsidRPr="00FD6CD4">
        <w:rPr>
          <w:rFonts w:ascii="Verdana" w:hAnsi="Verdana" w:cs="Arial"/>
          <w:sz w:val="18"/>
          <w:szCs w:val="18"/>
        </w:rPr>
        <w:t>,</w:t>
      </w:r>
      <w:r w:rsidR="00484F24" w:rsidRPr="00484F24">
        <w:rPr>
          <w:rFonts w:ascii="Verdana" w:hAnsi="Verdana" w:cs="Arial"/>
          <w:sz w:val="18"/>
          <w:szCs w:val="18"/>
        </w:rPr>
        <w:t>9</w:t>
      </w:r>
      <w:r w:rsidRPr="00FD6CD4">
        <w:rPr>
          <w:rFonts w:ascii="Verdana" w:hAnsi="Verdana" w:cs="Arial"/>
          <w:sz w:val="18"/>
          <w:szCs w:val="18"/>
        </w:rPr>
        <w:t xml:space="preserve"> million</w:t>
      </w:r>
      <w:r w:rsidR="009D338B" w:rsidRPr="00FD6CD4">
        <w:rPr>
          <w:rFonts w:ascii="Verdana" w:hAnsi="Verdana" w:cs="Arial"/>
          <w:sz w:val="18"/>
          <w:szCs w:val="18"/>
        </w:rPr>
        <w:t xml:space="preserve"> </w:t>
      </w:r>
      <w:r w:rsidR="009317AE" w:rsidRPr="00FD6CD4">
        <w:rPr>
          <w:rFonts w:ascii="Verdana" w:hAnsi="Verdana" w:cs="Arial"/>
          <w:sz w:val="18"/>
          <w:szCs w:val="18"/>
        </w:rPr>
        <w:t xml:space="preserve">and in information and communication by </w:t>
      </w:r>
      <w:r w:rsidR="00484F24" w:rsidRPr="00484F24">
        <w:rPr>
          <w:rFonts w:ascii="Verdana" w:hAnsi="Verdana" w:cs="Arial"/>
          <w:sz w:val="18"/>
          <w:szCs w:val="18"/>
        </w:rPr>
        <w:t>1</w:t>
      </w:r>
      <w:r w:rsidR="009317AE" w:rsidRPr="00FD6CD4">
        <w:rPr>
          <w:rFonts w:ascii="Verdana" w:hAnsi="Verdana" w:cs="Arial"/>
          <w:sz w:val="18"/>
          <w:szCs w:val="18"/>
        </w:rPr>
        <w:t>8,</w:t>
      </w:r>
      <w:r w:rsidR="00484F24" w:rsidRPr="00484F24">
        <w:rPr>
          <w:rFonts w:ascii="Verdana" w:hAnsi="Verdana" w:cs="Arial"/>
          <w:sz w:val="18"/>
          <w:szCs w:val="18"/>
        </w:rPr>
        <w:t>6</w:t>
      </w:r>
      <w:r w:rsidR="009317AE" w:rsidRPr="00FD6CD4">
        <w:rPr>
          <w:rFonts w:ascii="Verdana" w:hAnsi="Verdana" w:cs="Arial"/>
          <w:sz w:val="18"/>
          <w:szCs w:val="18"/>
        </w:rPr>
        <w:t>% to €</w:t>
      </w:r>
      <w:r w:rsidR="00484F24" w:rsidRPr="00484F24">
        <w:rPr>
          <w:rFonts w:ascii="Verdana" w:hAnsi="Verdana" w:cs="Arial"/>
          <w:sz w:val="18"/>
          <w:szCs w:val="18"/>
        </w:rPr>
        <w:t>3</w:t>
      </w:r>
      <w:r w:rsidR="009317AE" w:rsidRPr="00FD6CD4">
        <w:rPr>
          <w:rFonts w:ascii="Verdana" w:hAnsi="Verdana" w:cs="Arial"/>
          <w:sz w:val="18"/>
          <w:szCs w:val="18"/>
        </w:rPr>
        <w:t>.</w:t>
      </w:r>
      <w:r w:rsidR="00484F24" w:rsidRPr="00484F24">
        <w:rPr>
          <w:rFonts w:ascii="Verdana" w:hAnsi="Verdana" w:cs="Arial"/>
          <w:sz w:val="18"/>
          <w:szCs w:val="18"/>
        </w:rPr>
        <w:t>277</w:t>
      </w:r>
      <w:r w:rsidR="009317AE" w:rsidRPr="00FD6CD4">
        <w:rPr>
          <w:rFonts w:ascii="Verdana" w:hAnsi="Verdana" w:cs="Arial"/>
          <w:sz w:val="18"/>
          <w:szCs w:val="18"/>
        </w:rPr>
        <w:t>,</w:t>
      </w:r>
      <w:r w:rsidR="00484F24" w:rsidRPr="00484F24">
        <w:rPr>
          <w:rFonts w:ascii="Verdana" w:hAnsi="Verdana" w:cs="Arial"/>
          <w:sz w:val="18"/>
          <w:szCs w:val="18"/>
        </w:rPr>
        <w:t>7</w:t>
      </w:r>
      <w:r w:rsidR="009317AE" w:rsidRPr="00FD6CD4">
        <w:rPr>
          <w:rFonts w:ascii="Verdana" w:hAnsi="Verdana" w:cs="Arial"/>
          <w:sz w:val="18"/>
          <w:szCs w:val="18"/>
        </w:rPr>
        <w:t xml:space="preserve"> million. </w:t>
      </w:r>
      <w:r w:rsidRPr="00FD6CD4">
        <w:rPr>
          <w:rFonts w:ascii="Verdana" w:hAnsi="Verdana" w:cs="Arial"/>
          <w:sz w:val="18"/>
          <w:szCs w:val="18"/>
        </w:rPr>
        <w:t xml:space="preserve">Significant increases were also observed </w:t>
      </w:r>
      <w:r w:rsidRPr="00FD6CD4">
        <w:rPr>
          <w:rFonts w:ascii="Verdana" w:hAnsi="Verdana" w:cs="Arial"/>
          <w:sz w:val="18"/>
          <w:szCs w:val="18"/>
        </w:rPr>
        <w:lastRenderedPageBreak/>
        <w:t xml:space="preserve">in administrative and support service activities by </w:t>
      </w:r>
      <w:r w:rsidR="00484F24" w:rsidRPr="00484F24">
        <w:rPr>
          <w:rFonts w:ascii="Verdana" w:hAnsi="Verdana" w:cs="Arial"/>
          <w:sz w:val="18"/>
          <w:szCs w:val="18"/>
        </w:rPr>
        <w:t>16</w:t>
      </w:r>
      <w:r w:rsidRPr="00FD6CD4">
        <w:rPr>
          <w:rFonts w:ascii="Verdana" w:hAnsi="Verdana" w:cs="Arial"/>
          <w:sz w:val="18"/>
          <w:szCs w:val="18"/>
        </w:rPr>
        <w:t>,</w:t>
      </w:r>
      <w:r w:rsidR="00484F24" w:rsidRPr="00484F24">
        <w:rPr>
          <w:rFonts w:ascii="Verdana" w:hAnsi="Verdana" w:cs="Arial"/>
          <w:sz w:val="18"/>
          <w:szCs w:val="18"/>
        </w:rPr>
        <w:t>5</w:t>
      </w:r>
      <w:r w:rsidRPr="00FD6CD4">
        <w:rPr>
          <w:rFonts w:ascii="Verdana" w:hAnsi="Verdana" w:cs="Arial"/>
          <w:sz w:val="18"/>
          <w:szCs w:val="18"/>
        </w:rPr>
        <w:t>% to €</w:t>
      </w:r>
      <w:r w:rsidR="00484F24" w:rsidRPr="00484F24">
        <w:rPr>
          <w:rFonts w:ascii="Verdana" w:hAnsi="Verdana" w:cs="Arial"/>
          <w:sz w:val="18"/>
          <w:szCs w:val="18"/>
        </w:rPr>
        <w:t>719</w:t>
      </w:r>
      <w:r w:rsidRPr="00FD6CD4">
        <w:rPr>
          <w:rFonts w:ascii="Verdana" w:hAnsi="Verdana" w:cs="Arial"/>
          <w:sz w:val="18"/>
          <w:szCs w:val="18"/>
        </w:rPr>
        <w:t>,</w:t>
      </w:r>
      <w:r w:rsidR="00484F24" w:rsidRPr="00484F24">
        <w:rPr>
          <w:rFonts w:ascii="Verdana" w:hAnsi="Verdana" w:cs="Arial"/>
          <w:sz w:val="18"/>
          <w:szCs w:val="18"/>
        </w:rPr>
        <w:t>4</w:t>
      </w:r>
      <w:r w:rsidRPr="00FD6CD4">
        <w:rPr>
          <w:rFonts w:ascii="Verdana" w:hAnsi="Verdana" w:cs="Arial"/>
          <w:sz w:val="18"/>
          <w:szCs w:val="18"/>
        </w:rPr>
        <w:t xml:space="preserve"> million, </w:t>
      </w:r>
      <w:r w:rsidR="009D338B" w:rsidRPr="00FD6CD4">
        <w:rPr>
          <w:rFonts w:ascii="Verdana" w:hAnsi="Verdana" w:cs="Arial"/>
          <w:sz w:val="18"/>
          <w:szCs w:val="18"/>
        </w:rPr>
        <w:t>in transportation and storage by 1</w:t>
      </w:r>
      <w:r w:rsidR="00484F24" w:rsidRPr="00484F24">
        <w:rPr>
          <w:rFonts w:ascii="Verdana" w:hAnsi="Verdana" w:cs="Arial"/>
          <w:sz w:val="18"/>
          <w:szCs w:val="18"/>
        </w:rPr>
        <w:t>5</w:t>
      </w:r>
      <w:r w:rsidR="009D338B" w:rsidRPr="00FD6CD4">
        <w:rPr>
          <w:rFonts w:ascii="Verdana" w:hAnsi="Verdana" w:cs="Arial"/>
          <w:sz w:val="18"/>
          <w:szCs w:val="18"/>
        </w:rPr>
        <w:t>,</w:t>
      </w:r>
      <w:r w:rsidR="00484F24" w:rsidRPr="00484F24">
        <w:rPr>
          <w:rFonts w:ascii="Verdana" w:hAnsi="Verdana" w:cs="Arial"/>
          <w:sz w:val="18"/>
          <w:szCs w:val="18"/>
        </w:rPr>
        <w:t>8</w:t>
      </w:r>
      <w:r w:rsidR="009D338B" w:rsidRPr="00FD6CD4">
        <w:rPr>
          <w:rFonts w:ascii="Verdana" w:hAnsi="Verdana" w:cs="Arial"/>
          <w:sz w:val="18"/>
          <w:szCs w:val="18"/>
        </w:rPr>
        <w:t>% to €</w:t>
      </w:r>
      <w:r w:rsidR="00484F24" w:rsidRPr="00484F24">
        <w:rPr>
          <w:rFonts w:ascii="Verdana" w:hAnsi="Verdana" w:cs="Arial"/>
          <w:sz w:val="18"/>
          <w:szCs w:val="18"/>
        </w:rPr>
        <w:t>1.099</w:t>
      </w:r>
      <w:r w:rsidR="009D338B" w:rsidRPr="00FD6CD4">
        <w:rPr>
          <w:rFonts w:ascii="Verdana" w:hAnsi="Verdana" w:cs="Arial"/>
          <w:sz w:val="18"/>
          <w:szCs w:val="18"/>
        </w:rPr>
        <w:t>,</w:t>
      </w:r>
      <w:r w:rsidR="00484F24" w:rsidRPr="00484F24">
        <w:rPr>
          <w:rFonts w:ascii="Verdana" w:hAnsi="Verdana" w:cs="Arial"/>
          <w:sz w:val="18"/>
          <w:szCs w:val="18"/>
        </w:rPr>
        <w:t>5</w:t>
      </w:r>
      <w:r w:rsidR="009D338B" w:rsidRPr="00FD6CD4">
        <w:rPr>
          <w:rFonts w:ascii="Verdana" w:hAnsi="Verdana" w:cs="Arial"/>
          <w:sz w:val="18"/>
          <w:szCs w:val="18"/>
        </w:rPr>
        <w:t xml:space="preserve"> million and in</w:t>
      </w:r>
      <w:r w:rsidR="00484F24" w:rsidRPr="00651CA6">
        <w:rPr>
          <w:rFonts w:ascii="Verdana" w:hAnsi="Verdana" w:cs="Arial"/>
          <w:sz w:val="18"/>
          <w:szCs w:val="18"/>
        </w:rPr>
        <w:t xml:space="preserve"> real estate activities</w:t>
      </w:r>
      <w:r w:rsidR="009D338B" w:rsidRPr="00FD6CD4">
        <w:rPr>
          <w:rFonts w:ascii="Verdana" w:hAnsi="Verdana" w:cs="Arial"/>
          <w:sz w:val="18"/>
          <w:szCs w:val="18"/>
        </w:rPr>
        <w:t xml:space="preserve"> </w:t>
      </w:r>
      <w:r w:rsidRPr="00FD6CD4">
        <w:rPr>
          <w:rFonts w:ascii="Verdana" w:hAnsi="Verdana" w:cs="Arial"/>
          <w:sz w:val="18"/>
          <w:szCs w:val="18"/>
        </w:rPr>
        <w:t xml:space="preserve">by </w:t>
      </w:r>
      <w:r w:rsidR="009D338B" w:rsidRPr="00FD6CD4">
        <w:rPr>
          <w:rFonts w:ascii="Verdana" w:hAnsi="Verdana" w:cs="Arial"/>
          <w:sz w:val="18"/>
          <w:szCs w:val="18"/>
        </w:rPr>
        <w:t>15</w:t>
      </w:r>
      <w:r w:rsidRPr="00FD6CD4">
        <w:rPr>
          <w:rFonts w:ascii="Verdana" w:hAnsi="Verdana" w:cs="Arial"/>
          <w:sz w:val="18"/>
          <w:szCs w:val="18"/>
        </w:rPr>
        <w:t>,</w:t>
      </w:r>
      <w:r w:rsidR="00484F24" w:rsidRPr="00484F24">
        <w:rPr>
          <w:rFonts w:ascii="Verdana" w:hAnsi="Verdana" w:cs="Arial"/>
          <w:sz w:val="18"/>
          <w:szCs w:val="18"/>
        </w:rPr>
        <w:t>6</w:t>
      </w:r>
      <w:r w:rsidRPr="00FD6CD4">
        <w:rPr>
          <w:rFonts w:ascii="Verdana" w:hAnsi="Verdana" w:cs="Arial"/>
          <w:sz w:val="18"/>
          <w:szCs w:val="18"/>
        </w:rPr>
        <w:t>% to €</w:t>
      </w:r>
      <w:r w:rsidR="00484F24" w:rsidRPr="00484F24">
        <w:rPr>
          <w:rFonts w:ascii="Verdana" w:hAnsi="Verdana" w:cs="Arial"/>
          <w:sz w:val="18"/>
          <w:szCs w:val="18"/>
        </w:rPr>
        <w:t>213</w:t>
      </w:r>
      <w:r w:rsidRPr="00FD6CD4">
        <w:rPr>
          <w:rFonts w:ascii="Verdana" w:hAnsi="Verdana" w:cs="Arial"/>
          <w:sz w:val="18"/>
          <w:szCs w:val="18"/>
        </w:rPr>
        <w:t>,</w:t>
      </w:r>
      <w:r w:rsidR="00484F24" w:rsidRPr="00484F24">
        <w:rPr>
          <w:rFonts w:ascii="Verdana" w:hAnsi="Verdana" w:cs="Arial"/>
          <w:sz w:val="18"/>
          <w:szCs w:val="18"/>
        </w:rPr>
        <w:t>0</w:t>
      </w:r>
      <w:r w:rsidRPr="00FD6CD4">
        <w:rPr>
          <w:rFonts w:ascii="Verdana" w:hAnsi="Verdana" w:cs="Arial"/>
          <w:sz w:val="18"/>
          <w:szCs w:val="18"/>
        </w:rPr>
        <w:t xml:space="preserve"> million</w:t>
      </w:r>
      <w:r w:rsidR="009D338B" w:rsidRPr="00FD6CD4">
        <w:rPr>
          <w:rFonts w:ascii="Verdana" w:hAnsi="Verdana" w:cs="Arial"/>
          <w:sz w:val="18"/>
          <w:szCs w:val="18"/>
        </w:rPr>
        <w:t>.</w:t>
      </w:r>
      <w:r w:rsidRPr="00FD6CD4">
        <w:rPr>
          <w:rFonts w:ascii="Verdana" w:hAnsi="Verdana" w:cs="Arial"/>
          <w:sz w:val="18"/>
          <w:szCs w:val="18"/>
        </w:rPr>
        <w:t xml:space="preserve"> </w:t>
      </w:r>
    </w:p>
    <w:p w14:paraId="3940A63D" w14:textId="77777777" w:rsidR="00132612" w:rsidRPr="00FD6CD4" w:rsidRDefault="00132612" w:rsidP="00132612">
      <w:pPr>
        <w:jc w:val="both"/>
        <w:rPr>
          <w:rFonts w:ascii="Verdana" w:hAnsi="Verdana" w:cs="Arial"/>
          <w:sz w:val="18"/>
          <w:szCs w:val="18"/>
        </w:rPr>
      </w:pPr>
    </w:p>
    <w:p w14:paraId="5227A5FC" w14:textId="004D35D5" w:rsidR="00D12F51" w:rsidRPr="00132612" w:rsidRDefault="00132612" w:rsidP="00D12F51">
      <w:pPr>
        <w:jc w:val="both"/>
        <w:rPr>
          <w:rFonts w:ascii="Verdana" w:hAnsi="Verdana" w:cs="Arial"/>
          <w:sz w:val="18"/>
          <w:szCs w:val="18"/>
        </w:rPr>
      </w:pPr>
      <w:r w:rsidRPr="00132612">
        <w:rPr>
          <w:rFonts w:ascii="Verdana" w:hAnsi="Verdana" w:cs="Arial"/>
          <w:sz w:val="18"/>
          <w:szCs w:val="18"/>
        </w:rPr>
        <w:t>In 202</w:t>
      </w:r>
      <w:r w:rsidR="007A18C0" w:rsidRPr="007A18C0">
        <w:rPr>
          <w:rFonts w:ascii="Verdana" w:hAnsi="Verdana" w:cs="Arial"/>
          <w:sz w:val="18"/>
          <w:szCs w:val="18"/>
        </w:rPr>
        <w:t>3</w:t>
      </w:r>
      <w:r w:rsidRPr="00132612">
        <w:rPr>
          <w:rFonts w:ascii="Verdana" w:hAnsi="Verdana" w:cs="Arial"/>
          <w:sz w:val="18"/>
          <w:szCs w:val="18"/>
        </w:rPr>
        <w:t xml:space="preserve">, </w:t>
      </w:r>
      <w:r w:rsidR="0086725D">
        <w:rPr>
          <w:rFonts w:ascii="Verdana" w:hAnsi="Verdana" w:cs="Arial"/>
          <w:sz w:val="18"/>
          <w:szCs w:val="18"/>
        </w:rPr>
        <w:t>employment</w:t>
      </w:r>
      <w:r w:rsidRPr="00132612">
        <w:rPr>
          <w:rFonts w:ascii="Verdana" w:hAnsi="Verdana" w:cs="Arial"/>
          <w:sz w:val="18"/>
          <w:szCs w:val="18"/>
        </w:rPr>
        <w:t xml:space="preserve"> increased in all </w:t>
      </w:r>
      <w:r w:rsidR="00F64742">
        <w:rPr>
          <w:rFonts w:ascii="Verdana" w:hAnsi="Verdana" w:cs="Arial"/>
          <w:sz w:val="18"/>
          <w:szCs w:val="18"/>
        </w:rPr>
        <w:t>economic</w:t>
      </w:r>
      <w:r w:rsidRPr="00132612">
        <w:rPr>
          <w:rFonts w:ascii="Verdana" w:hAnsi="Verdana" w:cs="Arial"/>
          <w:sz w:val="18"/>
          <w:szCs w:val="18"/>
        </w:rPr>
        <w:t xml:space="preserve"> sectors. The highest employment is re</w:t>
      </w:r>
      <w:r w:rsidR="00F64742">
        <w:rPr>
          <w:rFonts w:ascii="Verdana" w:hAnsi="Verdana" w:cs="Arial"/>
          <w:sz w:val="18"/>
          <w:szCs w:val="18"/>
        </w:rPr>
        <w:t>gistered</w:t>
      </w:r>
      <w:r w:rsidRPr="00132612">
        <w:rPr>
          <w:rFonts w:ascii="Verdana" w:hAnsi="Verdana" w:cs="Arial"/>
          <w:sz w:val="18"/>
          <w:szCs w:val="18"/>
        </w:rPr>
        <w:t xml:space="preserve"> in accommodation and food service activities with </w:t>
      </w:r>
      <w:r w:rsidR="009317AE">
        <w:rPr>
          <w:rFonts w:ascii="Verdana" w:hAnsi="Verdana" w:cs="Arial"/>
          <w:sz w:val="18"/>
          <w:szCs w:val="18"/>
        </w:rPr>
        <w:t>5</w:t>
      </w:r>
      <w:r w:rsidR="007A18C0" w:rsidRPr="007A18C0">
        <w:rPr>
          <w:rFonts w:ascii="Verdana" w:hAnsi="Verdana" w:cs="Arial"/>
          <w:sz w:val="18"/>
          <w:szCs w:val="18"/>
        </w:rPr>
        <w:t>6</w:t>
      </w:r>
      <w:r>
        <w:rPr>
          <w:rFonts w:ascii="Verdana" w:hAnsi="Verdana" w:cs="Arial"/>
          <w:sz w:val="18"/>
          <w:szCs w:val="18"/>
        </w:rPr>
        <w:t>.</w:t>
      </w:r>
      <w:r w:rsidR="007A18C0" w:rsidRPr="007A18C0">
        <w:rPr>
          <w:rFonts w:ascii="Verdana" w:hAnsi="Verdana" w:cs="Arial"/>
          <w:sz w:val="18"/>
          <w:szCs w:val="18"/>
        </w:rPr>
        <w:t>483</w:t>
      </w:r>
      <w:r w:rsidRPr="0013261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persons</w:t>
      </w:r>
      <w:r w:rsidRPr="00132612">
        <w:rPr>
          <w:rFonts w:ascii="Verdana" w:hAnsi="Verdana" w:cs="Arial"/>
          <w:sz w:val="18"/>
          <w:szCs w:val="18"/>
        </w:rPr>
        <w:t xml:space="preserve">, followed by professional, scientific, and technical activities with </w:t>
      </w:r>
      <w:r w:rsidR="007A18C0" w:rsidRPr="007A18C0">
        <w:rPr>
          <w:rFonts w:ascii="Verdana" w:hAnsi="Verdana" w:cs="Arial"/>
          <w:sz w:val="18"/>
          <w:szCs w:val="18"/>
        </w:rPr>
        <w:t>41</w:t>
      </w:r>
      <w:r>
        <w:rPr>
          <w:rFonts w:ascii="Verdana" w:hAnsi="Verdana" w:cs="Arial"/>
          <w:sz w:val="18"/>
          <w:szCs w:val="18"/>
        </w:rPr>
        <w:t>.</w:t>
      </w:r>
      <w:r w:rsidR="007A18C0" w:rsidRPr="007A18C0">
        <w:rPr>
          <w:rFonts w:ascii="Verdana" w:hAnsi="Verdana" w:cs="Arial"/>
          <w:sz w:val="18"/>
          <w:szCs w:val="18"/>
        </w:rPr>
        <w:t>667</w:t>
      </w:r>
      <w:r w:rsidRPr="0013261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persons</w:t>
      </w:r>
      <w:r w:rsidRPr="00132612">
        <w:rPr>
          <w:rFonts w:ascii="Verdana" w:hAnsi="Verdana" w:cs="Arial"/>
          <w:sz w:val="18"/>
          <w:szCs w:val="18"/>
        </w:rPr>
        <w:t xml:space="preserve">, </w:t>
      </w:r>
      <w:r w:rsidR="009317AE" w:rsidRPr="00132612">
        <w:rPr>
          <w:rFonts w:ascii="Verdana" w:hAnsi="Verdana" w:cs="Arial"/>
          <w:sz w:val="18"/>
          <w:szCs w:val="18"/>
        </w:rPr>
        <w:t xml:space="preserve">information and communication with </w:t>
      </w:r>
      <w:r w:rsidR="009317AE">
        <w:rPr>
          <w:rFonts w:ascii="Verdana" w:hAnsi="Verdana" w:cs="Arial"/>
          <w:sz w:val="18"/>
          <w:szCs w:val="18"/>
        </w:rPr>
        <w:t>2</w:t>
      </w:r>
      <w:r w:rsidR="007A18C0" w:rsidRPr="007A18C0">
        <w:rPr>
          <w:rFonts w:ascii="Verdana" w:hAnsi="Verdana" w:cs="Arial"/>
          <w:sz w:val="18"/>
          <w:szCs w:val="18"/>
        </w:rPr>
        <w:t>6</w:t>
      </w:r>
      <w:r w:rsidR="009317AE">
        <w:rPr>
          <w:rFonts w:ascii="Verdana" w:hAnsi="Verdana" w:cs="Arial"/>
          <w:sz w:val="18"/>
          <w:szCs w:val="18"/>
        </w:rPr>
        <w:t>.</w:t>
      </w:r>
      <w:r w:rsidR="007A18C0" w:rsidRPr="007A18C0">
        <w:rPr>
          <w:rFonts w:ascii="Verdana" w:hAnsi="Verdana" w:cs="Arial"/>
          <w:sz w:val="18"/>
          <w:szCs w:val="18"/>
        </w:rPr>
        <w:t>258</w:t>
      </w:r>
      <w:r w:rsidR="009317AE" w:rsidRPr="00132612">
        <w:rPr>
          <w:rFonts w:ascii="Verdana" w:hAnsi="Verdana" w:cs="Arial"/>
          <w:sz w:val="18"/>
          <w:szCs w:val="18"/>
        </w:rPr>
        <w:t xml:space="preserve"> </w:t>
      </w:r>
      <w:r w:rsidR="009317AE">
        <w:rPr>
          <w:rFonts w:ascii="Verdana" w:hAnsi="Verdana" w:cs="Arial"/>
          <w:sz w:val="18"/>
          <w:szCs w:val="18"/>
        </w:rPr>
        <w:t>persons,</w:t>
      </w:r>
      <w:r w:rsidR="009317AE" w:rsidRPr="00132612">
        <w:rPr>
          <w:rFonts w:ascii="Verdana" w:hAnsi="Verdana" w:cs="Arial"/>
          <w:sz w:val="18"/>
          <w:szCs w:val="18"/>
        </w:rPr>
        <w:t xml:space="preserve"> </w:t>
      </w:r>
      <w:r w:rsidRPr="00132612">
        <w:rPr>
          <w:rFonts w:ascii="Verdana" w:hAnsi="Verdana" w:cs="Arial"/>
          <w:sz w:val="18"/>
          <w:szCs w:val="18"/>
        </w:rPr>
        <w:t xml:space="preserve">transportation and storage with </w:t>
      </w:r>
      <w:r w:rsidR="009317AE">
        <w:rPr>
          <w:rFonts w:ascii="Verdana" w:hAnsi="Verdana" w:cs="Arial"/>
          <w:sz w:val="18"/>
          <w:szCs w:val="18"/>
        </w:rPr>
        <w:t>2</w:t>
      </w:r>
      <w:r w:rsidR="007A18C0" w:rsidRPr="007A18C0">
        <w:rPr>
          <w:rFonts w:ascii="Verdana" w:hAnsi="Verdana" w:cs="Arial"/>
          <w:sz w:val="18"/>
          <w:szCs w:val="18"/>
        </w:rPr>
        <w:t>2</w:t>
      </w:r>
      <w:r w:rsidR="0035056A">
        <w:rPr>
          <w:rFonts w:ascii="Verdana" w:hAnsi="Verdana" w:cs="Arial"/>
          <w:sz w:val="18"/>
          <w:szCs w:val="18"/>
        </w:rPr>
        <w:t>.</w:t>
      </w:r>
      <w:r w:rsidR="007A18C0" w:rsidRPr="007A18C0">
        <w:rPr>
          <w:rFonts w:ascii="Verdana" w:hAnsi="Verdana" w:cs="Arial"/>
          <w:sz w:val="18"/>
          <w:szCs w:val="18"/>
        </w:rPr>
        <w:t>482</w:t>
      </w:r>
      <w:r w:rsidR="009D338B" w:rsidRPr="009D338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persons</w:t>
      </w:r>
      <w:r w:rsidRPr="00132612">
        <w:rPr>
          <w:rFonts w:ascii="Verdana" w:hAnsi="Verdana" w:cs="Arial"/>
          <w:sz w:val="18"/>
          <w:szCs w:val="18"/>
        </w:rPr>
        <w:t xml:space="preserve"> and administrative and support service activities with 1</w:t>
      </w:r>
      <w:r w:rsidR="007A18C0" w:rsidRPr="007A18C0">
        <w:rPr>
          <w:rFonts w:ascii="Verdana" w:hAnsi="Verdana" w:cs="Arial"/>
          <w:sz w:val="18"/>
          <w:szCs w:val="18"/>
        </w:rPr>
        <w:t>9</w:t>
      </w:r>
      <w:r>
        <w:rPr>
          <w:rFonts w:ascii="Verdana" w:hAnsi="Verdana" w:cs="Arial"/>
          <w:sz w:val="18"/>
          <w:szCs w:val="18"/>
        </w:rPr>
        <w:t>.</w:t>
      </w:r>
      <w:r w:rsidR="009317AE">
        <w:rPr>
          <w:rFonts w:ascii="Verdana" w:hAnsi="Verdana" w:cs="Arial"/>
          <w:sz w:val="18"/>
          <w:szCs w:val="18"/>
        </w:rPr>
        <w:t>9</w:t>
      </w:r>
      <w:r w:rsidR="007A18C0" w:rsidRPr="007A18C0">
        <w:rPr>
          <w:rFonts w:ascii="Verdana" w:hAnsi="Verdana" w:cs="Arial"/>
          <w:sz w:val="18"/>
          <w:szCs w:val="18"/>
        </w:rPr>
        <w:t>39</w:t>
      </w:r>
      <w:r w:rsidRPr="0013261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persons</w:t>
      </w:r>
      <w:r w:rsidRPr="00132612">
        <w:rPr>
          <w:rFonts w:ascii="Verdana" w:hAnsi="Verdana" w:cs="Arial"/>
          <w:sz w:val="18"/>
          <w:szCs w:val="18"/>
        </w:rPr>
        <w:t>.</w:t>
      </w:r>
    </w:p>
    <w:p w14:paraId="52A2D480" w14:textId="77777777" w:rsidR="00760887" w:rsidRDefault="00760887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A70A435" w14:textId="77777777" w:rsidR="007907DD" w:rsidRDefault="007907DD" w:rsidP="00D12F51">
      <w:pPr>
        <w:jc w:val="both"/>
        <w:rPr>
          <w:rFonts w:ascii="Verdana" w:hAnsi="Verdana" w:cs="Arial"/>
          <w:b/>
          <w:i/>
          <w:color w:val="365F91"/>
          <w:sz w:val="16"/>
          <w:szCs w:val="16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18"/>
        <w:gridCol w:w="1776"/>
        <w:gridCol w:w="1417"/>
        <w:gridCol w:w="851"/>
        <w:gridCol w:w="1134"/>
        <w:gridCol w:w="992"/>
        <w:gridCol w:w="1276"/>
        <w:gridCol w:w="992"/>
      </w:tblGrid>
      <w:tr w:rsidR="00BD02D9" w:rsidRPr="00BD02D9" w14:paraId="073A1533" w14:textId="77777777" w:rsidTr="00BD02D9">
        <w:trPr>
          <w:trHeight w:hRule="exact" w:val="315"/>
          <w:jc w:val="center"/>
        </w:trPr>
        <w:tc>
          <w:tcPr>
            <w:tcW w:w="9356" w:type="dxa"/>
            <w:gridSpan w:val="8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02C2D38A" w14:textId="178A597B" w:rsidR="007907DD" w:rsidRPr="00BD02D9" w:rsidRDefault="007907DD" w:rsidP="004820E1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>Table</w:t>
            </w:r>
            <w:r w:rsidR="00523ECC" w:rsidRPr="00BD02D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/>
              </w:rPr>
              <w:t xml:space="preserve">: </w:t>
            </w:r>
            <w:r w:rsidR="00523ECC" w:rsidRPr="00BD02D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>Main Aggregates for 202</w:t>
            </w:r>
            <w:r w:rsidR="00F371DA" w:rsidRPr="00BD02D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>3</w:t>
            </w:r>
          </w:p>
        </w:tc>
      </w:tr>
      <w:tr w:rsidR="00BD02D9" w:rsidRPr="00BD02D9" w14:paraId="36F846CA" w14:textId="77777777" w:rsidTr="00BD02D9">
        <w:trPr>
          <w:trHeight w:val="675"/>
          <w:jc w:val="center"/>
        </w:trPr>
        <w:tc>
          <w:tcPr>
            <w:tcW w:w="918" w:type="dxa"/>
            <w:vMerge w:val="restart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5A4C049E" w14:textId="4638C122" w:rsidR="007907DD" w:rsidRPr="00BD02D9" w:rsidRDefault="007907DD" w:rsidP="004820E1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/>
              </w:rPr>
              <w:t>NACE Rev.2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33CAD492" w14:textId="77777777" w:rsidR="007907DD" w:rsidRPr="00BD02D9" w:rsidRDefault="007907DD" w:rsidP="004820E1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>Economic</w:t>
            </w:r>
          </w:p>
          <w:p w14:paraId="315A0FFC" w14:textId="14652D86" w:rsidR="007907DD" w:rsidRPr="00BD02D9" w:rsidRDefault="007907DD" w:rsidP="004820E1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>Activity</w:t>
            </w:r>
          </w:p>
        </w:tc>
        <w:tc>
          <w:tcPr>
            <w:tcW w:w="2268" w:type="dxa"/>
            <w:gridSpan w:val="2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672404FF" w14:textId="2F87DD1A" w:rsidR="007907DD" w:rsidRPr="00BD02D9" w:rsidRDefault="00356958" w:rsidP="004820E1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 xml:space="preserve">Employment </w:t>
            </w:r>
          </w:p>
        </w:tc>
        <w:tc>
          <w:tcPr>
            <w:tcW w:w="2126" w:type="dxa"/>
            <w:gridSpan w:val="2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6BE08B4B" w14:textId="0A3A06CA" w:rsidR="007907DD" w:rsidRPr="00BD02D9" w:rsidRDefault="00356958" w:rsidP="004820E1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>Production</w:t>
            </w:r>
            <w:r w:rsidRPr="00BD02D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/>
              </w:rPr>
              <w:t xml:space="preserve"> </w:t>
            </w:r>
            <w:r w:rsidRPr="00BD02D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>Value</w:t>
            </w:r>
          </w:p>
        </w:tc>
        <w:tc>
          <w:tcPr>
            <w:tcW w:w="2268" w:type="dxa"/>
            <w:gridSpan w:val="2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204CA23A" w14:textId="16FEE814" w:rsidR="007907DD" w:rsidRPr="00BD02D9" w:rsidRDefault="00356958" w:rsidP="004820E1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>Value Added at Current Prices</w:t>
            </w:r>
          </w:p>
        </w:tc>
      </w:tr>
      <w:tr w:rsidR="00BD02D9" w:rsidRPr="00BD02D9" w14:paraId="164EEBC4" w14:textId="77777777" w:rsidTr="00BD02D9">
        <w:trPr>
          <w:trHeight w:val="315"/>
          <w:jc w:val="center"/>
        </w:trPr>
        <w:tc>
          <w:tcPr>
            <w:tcW w:w="918" w:type="dxa"/>
            <w:vMerge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6DC0844E" w14:textId="77777777" w:rsidR="007907DD" w:rsidRPr="00BD02D9" w:rsidRDefault="007907DD" w:rsidP="004820E1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  <w:tc>
          <w:tcPr>
            <w:tcW w:w="1776" w:type="dxa"/>
            <w:vMerge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0DA084C6" w14:textId="77777777" w:rsidR="007907DD" w:rsidRPr="00BD02D9" w:rsidRDefault="007907DD" w:rsidP="004820E1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62124AB6" w14:textId="541C7DC9" w:rsidR="007907DD" w:rsidRPr="00BD02D9" w:rsidRDefault="00356958" w:rsidP="004820E1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Number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72C91D74" w14:textId="00D63115" w:rsidR="007907DD" w:rsidRPr="00BD02D9" w:rsidRDefault="0011142F" w:rsidP="004820E1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 xml:space="preserve">   </w:t>
            </w:r>
            <w:r w:rsidR="007907DD"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%*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287BD637" w14:textId="73BD8469" w:rsidR="007907DD" w:rsidRPr="00BD02D9" w:rsidRDefault="007907DD" w:rsidP="004820E1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€</w:t>
            </w:r>
            <w:proofErr w:type="spellStart"/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mn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31D5C530" w14:textId="61D5387E" w:rsidR="007907DD" w:rsidRPr="00BD02D9" w:rsidRDefault="0011142F" w:rsidP="004820E1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 xml:space="preserve">       </w:t>
            </w:r>
            <w:r w:rsidR="007907DD"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%*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70FA87AB" w14:textId="79B2B4A6" w:rsidR="007907DD" w:rsidRPr="00BD02D9" w:rsidRDefault="0011142F" w:rsidP="004820E1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 xml:space="preserve">  </w:t>
            </w:r>
            <w:r w:rsidR="00356958"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€</w:t>
            </w:r>
            <w:proofErr w:type="spellStart"/>
            <w:r w:rsidR="00356958"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mn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5633A507" w14:textId="67F6C9D7" w:rsidR="007907DD" w:rsidRPr="00BD02D9" w:rsidRDefault="0011142F" w:rsidP="004820E1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 xml:space="preserve">      </w:t>
            </w:r>
            <w:r w:rsidR="007907DD"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%*</w:t>
            </w:r>
          </w:p>
        </w:tc>
      </w:tr>
      <w:tr w:rsidR="00BD02D9" w:rsidRPr="00BD02D9" w14:paraId="13D3B0FF" w14:textId="77777777" w:rsidTr="00BD02D9">
        <w:trPr>
          <w:trHeight w:val="807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7918" w14:textId="77777777" w:rsidR="00366A1D" w:rsidRPr="00BD02D9" w:rsidRDefault="00366A1D" w:rsidP="00366A1D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bookmarkStart w:id="1" w:name="_Hlk139445518"/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H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D8514" w14:textId="6E81EBC9" w:rsidR="00366A1D" w:rsidRPr="00BD02D9" w:rsidRDefault="00366A1D" w:rsidP="00366A1D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hAnsi="Verdana"/>
                <w:color w:val="366092"/>
                <w:sz w:val="18"/>
                <w:szCs w:val="18"/>
              </w:rPr>
              <w:t>Transportation and Storage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737BD" w14:textId="19FA5FF2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22.482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678247F1" w14:textId="62B6B86D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ED32D" w14:textId="79AC9D99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5.105,7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2FC82B08" w14:textId="6535AD07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7A8E6" w14:textId="2BF00FD7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1.099,5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54F9" w14:textId="16BC088E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15,8</w:t>
            </w:r>
          </w:p>
        </w:tc>
      </w:tr>
      <w:tr w:rsidR="00BD02D9" w:rsidRPr="00BD02D9" w14:paraId="3FBCF14E" w14:textId="77777777" w:rsidTr="00BD02D9">
        <w:trPr>
          <w:trHeight w:val="995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9E6A0" w14:textId="77777777" w:rsidR="00366A1D" w:rsidRPr="00BD02D9" w:rsidRDefault="00366A1D" w:rsidP="00366A1D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I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669C" w14:textId="5B9A59CB" w:rsidR="00366A1D" w:rsidRPr="00BD02D9" w:rsidRDefault="00366A1D" w:rsidP="00366A1D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hAnsi="Verdana"/>
                <w:color w:val="366092"/>
                <w:sz w:val="18"/>
                <w:szCs w:val="18"/>
              </w:rPr>
              <w:t>Accommodation and Food Service Activities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A4A62" w14:textId="25F165F3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56.483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79647806" w14:textId="2892D84C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8A00" w14:textId="764B2AA4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3.682,0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0583D362" w14:textId="3D3F52B8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0FE9D" w14:textId="7C1FD4C1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1.736,9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4A6BA" w14:textId="504522F9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24,3</w:t>
            </w:r>
          </w:p>
        </w:tc>
      </w:tr>
      <w:bookmarkEnd w:id="1"/>
      <w:tr w:rsidR="00BD02D9" w:rsidRPr="00BD02D9" w14:paraId="47D2C4F9" w14:textId="77777777" w:rsidTr="00BD02D9">
        <w:trPr>
          <w:trHeight w:val="854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1EF8" w14:textId="77777777" w:rsidR="00366A1D" w:rsidRPr="00BD02D9" w:rsidRDefault="00366A1D" w:rsidP="00366A1D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J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ADD91" w14:textId="58389D40" w:rsidR="00366A1D" w:rsidRPr="00BD02D9" w:rsidRDefault="00366A1D" w:rsidP="00366A1D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hAnsi="Verdana"/>
                <w:color w:val="366092"/>
                <w:sz w:val="18"/>
                <w:szCs w:val="18"/>
              </w:rPr>
              <w:t>Information and Communication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2FCD5" w14:textId="5BCFB636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26.258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0DEA6CA5" w14:textId="71C66C58" w:rsidR="00366A1D" w:rsidRPr="00BD02D9" w:rsidRDefault="001A36FF" w:rsidP="00366A1D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 xml:space="preserve">   </w:t>
            </w:r>
            <w:r w:rsidR="00366A1D"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6B3C1" w14:textId="51F31CB8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12.064,6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1A3AEDB3" w14:textId="3225EF55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DA5CC" w14:textId="6EC32E3E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3.277,7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5EAC" w14:textId="2092D26D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18,6</w:t>
            </w:r>
          </w:p>
        </w:tc>
      </w:tr>
      <w:tr w:rsidR="00BD02D9" w:rsidRPr="00BD02D9" w14:paraId="1A3EB2C0" w14:textId="77777777" w:rsidTr="00BD02D9">
        <w:trPr>
          <w:trHeight w:val="559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B7226" w14:textId="77777777" w:rsidR="00366A1D" w:rsidRPr="00BD02D9" w:rsidRDefault="00366A1D" w:rsidP="00366A1D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L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71903" w14:textId="4C99D849" w:rsidR="00366A1D" w:rsidRPr="00BD02D9" w:rsidRDefault="00366A1D" w:rsidP="00366A1D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74FA6" w14:textId="6E1CC537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4.318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55C758B0" w14:textId="41192885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2396B" w14:textId="5BCB7681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360,9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7981A3C5" w14:textId="0F286B76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BDF7" w14:textId="0E19743A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A13F" w14:textId="05F504D5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15,6</w:t>
            </w:r>
          </w:p>
        </w:tc>
      </w:tr>
      <w:tr w:rsidR="00BD02D9" w:rsidRPr="00BD02D9" w14:paraId="5EB17D12" w14:textId="77777777" w:rsidTr="00BD02D9">
        <w:trPr>
          <w:trHeight w:val="1284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C2074" w14:textId="77777777" w:rsidR="00366A1D" w:rsidRPr="00BD02D9" w:rsidRDefault="00366A1D" w:rsidP="00366A1D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M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F588" w14:textId="372E9B3B" w:rsidR="00366A1D" w:rsidRPr="00BD02D9" w:rsidRDefault="00366A1D" w:rsidP="00366A1D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31C2" w14:textId="246DD849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41.667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12B6A0AB" w14:textId="51E3CE06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E74A6" w14:textId="294C3F43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3.842,5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0E0DC472" w14:textId="0C75713D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60F7A" w14:textId="7A1A2479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1.894,6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C7F6E" w14:textId="19386F49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11,1</w:t>
            </w:r>
          </w:p>
        </w:tc>
      </w:tr>
      <w:tr w:rsidR="00BD02D9" w:rsidRPr="00BD02D9" w14:paraId="35FF8FDF" w14:textId="77777777" w:rsidTr="00BD02D9">
        <w:trPr>
          <w:trHeight w:val="989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7FAC6" w14:textId="77777777" w:rsidR="00366A1D" w:rsidRPr="00BD02D9" w:rsidRDefault="00366A1D" w:rsidP="00366A1D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N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C5299" w14:textId="64AA408A" w:rsidR="00366A1D" w:rsidRPr="00BD02D9" w:rsidRDefault="00366A1D" w:rsidP="00366A1D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9B2A" w14:textId="3EF53286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19.939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08C25D19" w14:textId="1947359B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A3C75" w14:textId="45D0DFC4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1.294,2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236E2D12" w14:textId="22807A90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3D9D7" w14:textId="04206BCD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719,4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8DFD3" w14:textId="6BFEACF3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16,5</w:t>
            </w:r>
          </w:p>
        </w:tc>
      </w:tr>
      <w:tr w:rsidR="00BD02D9" w:rsidRPr="00BD02D9" w14:paraId="6A00984E" w14:textId="77777777" w:rsidTr="00BD02D9">
        <w:trPr>
          <w:trHeight w:val="578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F3F58" w14:textId="77777777" w:rsidR="00366A1D" w:rsidRPr="00BD02D9" w:rsidRDefault="00366A1D" w:rsidP="00366A1D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bookmarkStart w:id="2" w:name="_Hlk139445682"/>
            <w:bookmarkStart w:id="3" w:name="_Hlk139446272"/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P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DEAF0" w14:textId="5E555B59" w:rsidR="00366A1D" w:rsidRPr="00BD02D9" w:rsidRDefault="00366A1D" w:rsidP="00366A1D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Education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AB61B" w14:textId="729AF2A4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13.211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0D88F723" w14:textId="75A28544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DBE93" w14:textId="75DB265F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783,2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2504E479" w14:textId="29650AA6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DABFB" w14:textId="1CAFF06E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443,9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9499" w14:textId="47B9B2AF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3,6</w:t>
            </w:r>
          </w:p>
        </w:tc>
      </w:tr>
      <w:bookmarkEnd w:id="2"/>
      <w:tr w:rsidR="00BD02D9" w:rsidRPr="00BD02D9" w14:paraId="757BEA2E" w14:textId="77777777" w:rsidTr="00BD02D9">
        <w:trPr>
          <w:trHeight w:val="841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FE9AA" w14:textId="77777777" w:rsidR="00366A1D" w:rsidRPr="00BD02D9" w:rsidRDefault="00366A1D" w:rsidP="00366A1D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Q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E5DE" w14:textId="3FFF0C80" w:rsidR="00366A1D" w:rsidRPr="00BD02D9" w:rsidRDefault="00366A1D" w:rsidP="00366A1D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Human Health and Social Work Activities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63797" w14:textId="79B0FBB3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 xml:space="preserve"> 17.731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1A6F4957" w14:textId="5857CEE4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D4BE6" w14:textId="5A99E41B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1.190,8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2835805C" w14:textId="5248DA9E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A200A" w14:textId="6E5C0164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724,2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BF892" w14:textId="68C560BE" w:rsidR="00366A1D" w:rsidRPr="00BD02D9" w:rsidRDefault="00366A1D" w:rsidP="00366A1D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6,2</w:t>
            </w:r>
          </w:p>
        </w:tc>
      </w:tr>
      <w:tr w:rsidR="00BD02D9" w:rsidRPr="00BD02D9" w14:paraId="6E03C4E8" w14:textId="77777777" w:rsidTr="00BD02D9">
        <w:trPr>
          <w:trHeight w:val="1278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3CB57" w14:textId="77777777" w:rsidR="009970F3" w:rsidRPr="00BD02D9" w:rsidRDefault="009970F3" w:rsidP="009970F3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R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A059" w14:textId="0F40C791" w:rsidR="009970F3" w:rsidRPr="00BD02D9" w:rsidRDefault="009970F3" w:rsidP="009970F3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Arts, Entertainment and Recreation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44B6" w14:textId="273AE0AC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9.195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4328AD71" w14:textId="173C302F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2B227" w14:textId="5CB24EB6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735,6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38C93D70" w14:textId="0FB1131A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6BF2A" w14:textId="249C26F4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353,8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810F" w14:textId="31DB5F57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13,7</w:t>
            </w:r>
          </w:p>
        </w:tc>
      </w:tr>
      <w:tr w:rsidR="00BD02D9" w:rsidRPr="00BD02D9" w14:paraId="024AC625" w14:textId="77777777" w:rsidTr="00BD02D9">
        <w:trPr>
          <w:trHeight w:val="573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5FBC8" w14:textId="77777777" w:rsidR="009970F3" w:rsidRPr="00BD02D9" w:rsidRDefault="009970F3" w:rsidP="009970F3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8F91A" w14:textId="137F508A" w:rsidR="009970F3" w:rsidRPr="00BD02D9" w:rsidRDefault="009970F3" w:rsidP="009970F3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Other Service Activities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9454C" w14:textId="4561830E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13.426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462428FC" w14:textId="597575ED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5241C" w14:textId="6C4F4AA5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469,0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1B873AD6" w14:textId="5AC1CF23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8F68A" w14:textId="69E730E2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275,6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DAF5" w14:textId="144180EF" w:rsidR="009970F3" w:rsidRPr="00BD02D9" w:rsidRDefault="009970F3" w:rsidP="009970F3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10,8</w:t>
            </w:r>
          </w:p>
        </w:tc>
      </w:tr>
      <w:bookmarkEnd w:id="3"/>
      <w:tr w:rsidR="00BD02D9" w:rsidRPr="00BD02D9" w14:paraId="42B85B5F" w14:textId="77777777" w:rsidTr="00BD02D9">
        <w:trPr>
          <w:trHeight w:val="315"/>
          <w:jc w:val="center"/>
        </w:trPr>
        <w:tc>
          <w:tcPr>
            <w:tcW w:w="918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09A02474" w14:textId="77777777" w:rsidR="00356958" w:rsidRPr="00BD02D9" w:rsidRDefault="00356958" w:rsidP="00356958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5FA333A8" w14:textId="77777777" w:rsidR="00356958" w:rsidRPr="00BD02D9" w:rsidRDefault="00356958" w:rsidP="00356958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1301A9BD" w14:textId="77777777" w:rsidR="00356958" w:rsidRPr="00BD02D9" w:rsidRDefault="00356958" w:rsidP="00356958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41D96990" w14:textId="77777777" w:rsidR="00356958" w:rsidRPr="00BD02D9" w:rsidRDefault="00356958" w:rsidP="00356958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4CB3921A" w14:textId="77777777" w:rsidR="00356958" w:rsidRPr="00BD02D9" w:rsidRDefault="00356958" w:rsidP="00356958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1FF8D2A7" w14:textId="77777777" w:rsidR="00356958" w:rsidRPr="00BD02D9" w:rsidRDefault="00356958" w:rsidP="00356958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27B61707" w14:textId="77777777" w:rsidR="00356958" w:rsidRPr="00BD02D9" w:rsidRDefault="00356958" w:rsidP="00356958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0F9E3087" w14:textId="77777777" w:rsidR="00356958" w:rsidRPr="00BD02D9" w:rsidRDefault="00356958" w:rsidP="00356958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BD02D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 </w:t>
            </w:r>
          </w:p>
        </w:tc>
      </w:tr>
    </w:tbl>
    <w:p w14:paraId="31FF6E1E" w14:textId="77777777" w:rsidR="007907DD" w:rsidRDefault="007907DD" w:rsidP="00D12F51">
      <w:pPr>
        <w:jc w:val="both"/>
        <w:rPr>
          <w:rFonts w:ascii="Verdana" w:hAnsi="Verdana" w:cs="Arial"/>
          <w:b/>
          <w:i/>
          <w:color w:val="365F91"/>
          <w:sz w:val="16"/>
          <w:szCs w:val="16"/>
        </w:rPr>
      </w:pPr>
    </w:p>
    <w:p w14:paraId="4CBD80A2" w14:textId="7508B2D1" w:rsidR="00D12F51" w:rsidRPr="00BD02D9" w:rsidRDefault="00D12F51" w:rsidP="00D12F51">
      <w:pPr>
        <w:jc w:val="both"/>
        <w:rPr>
          <w:rFonts w:ascii="Verdana" w:hAnsi="Verdana" w:cs="Arial"/>
          <w:b/>
          <w:color w:val="365F91"/>
          <w:sz w:val="16"/>
          <w:szCs w:val="16"/>
        </w:rPr>
      </w:pPr>
      <w:r w:rsidRPr="00BD02D9">
        <w:rPr>
          <w:rFonts w:ascii="Verdana" w:hAnsi="Verdana" w:cs="Arial"/>
          <w:b/>
          <w:color w:val="365F91"/>
          <w:sz w:val="16"/>
          <w:szCs w:val="16"/>
        </w:rPr>
        <w:t>* Annual percentage change of 202</w:t>
      </w:r>
      <w:r w:rsidR="009970F3" w:rsidRPr="00BD02D9">
        <w:rPr>
          <w:rFonts w:ascii="Verdana" w:hAnsi="Verdana" w:cs="Arial"/>
          <w:b/>
          <w:color w:val="365F91"/>
          <w:sz w:val="16"/>
          <w:szCs w:val="16"/>
        </w:rPr>
        <w:t>3</w:t>
      </w:r>
      <w:r w:rsidRPr="00BD02D9">
        <w:rPr>
          <w:rFonts w:ascii="Verdana" w:hAnsi="Verdana" w:cs="Arial"/>
          <w:b/>
          <w:color w:val="365F91"/>
          <w:sz w:val="16"/>
          <w:szCs w:val="16"/>
        </w:rPr>
        <w:t xml:space="preserve"> compared to 20</w:t>
      </w:r>
      <w:r w:rsidR="007907DD" w:rsidRPr="00BD02D9">
        <w:rPr>
          <w:rFonts w:ascii="Verdana" w:hAnsi="Verdana" w:cs="Arial"/>
          <w:b/>
          <w:color w:val="365F91"/>
          <w:sz w:val="16"/>
          <w:szCs w:val="16"/>
        </w:rPr>
        <w:t>2</w:t>
      </w:r>
      <w:r w:rsidR="009970F3" w:rsidRPr="00BD02D9">
        <w:rPr>
          <w:rFonts w:ascii="Verdana" w:hAnsi="Verdana" w:cs="Arial"/>
          <w:b/>
          <w:color w:val="365F91"/>
          <w:sz w:val="16"/>
          <w:szCs w:val="16"/>
        </w:rPr>
        <w:t>2</w:t>
      </w:r>
      <w:r w:rsidRPr="00BD02D9">
        <w:rPr>
          <w:rFonts w:ascii="Verdana" w:hAnsi="Verdana" w:cs="Arial"/>
          <w:b/>
          <w:color w:val="365F91"/>
          <w:sz w:val="16"/>
          <w:szCs w:val="16"/>
        </w:rPr>
        <w:t>.</w:t>
      </w:r>
    </w:p>
    <w:p w14:paraId="647BAAE7" w14:textId="77777777" w:rsidR="00F26266" w:rsidRDefault="00F26266" w:rsidP="00D12F51">
      <w:pPr>
        <w:jc w:val="both"/>
        <w:rPr>
          <w:rFonts w:ascii="Verdana" w:hAnsi="Verdana" w:cs="Arial"/>
          <w:b/>
          <w:i/>
          <w:color w:val="365F91"/>
          <w:sz w:val="16"/>
          <w:szCs w:val="16"/>
        </w:rPr>
      </w:pPr>
    </w:p>
    <w:p w14:paraId="1C281AEF" w14:textId="77777777" w:rsidR="00FC1CDF" w:rsidRDefault="00FC1CDF" w:rsidP="00D12F51">
      <w:pPr>
        <w:jc w:val="both"/>
        <w:rPr>
          <w:rFonts w:ascii="Verdana" w:hAnsi="Verdana" w:cs="Arial"/>
          <w:b/>
          <w:i/>
          <w:color w:val="365F91"/>
          <w:sz w:val="16"/>
          <w:szCs w:val="16"/>
        </w:rPr>
      </w:pPr>
    </w:p>
    <w:p w14:paraId="3A4EA0AF" w14:textId="149667A9" w:rsidR="001A2739" w:rsidRDefault="001A2739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B5A611E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4CAC24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52CF3CE" w14:textId="77777777" w:rsidR="00BD02D9" w:rsidRDefault="00BD02D9" w:rsidP="00D12F51">
      <w:pPr>
        <w:jc w:val="center"/>
        <w:rPr>
          <w:rFonts w:ascii="Verdana" w:hAnsi="Verdana" w:cs="Arial"/>
          <w:b/>
          <w:u w:val="single"/>
        </w:rPr>
      </w:pPr>
    </w:p>
    <w:p w14:paraId="6D40D63F" w14:textId="77777777" w:rsidR="00072DB1" w:rsidRDefault="00072DB1" w:rsidP="00D12F51">
      <w:pPr>
        <w:jc w:val="center"/>
        <w:rPr>
          <w:rFonts w:ascii="Verdana" w:hAnsi="Verdana" w:cs="Arial"/>
          <w:b/>
          <w:u w:val="single"/>
        </w:rPr>
      </w:pPr>
    </w:p>
    <w:p w14:paraId="6B681443" w14:textId="77777777" w:rsidR="00072DB1" w:rsidRDefault="00072DB1" w:rsidP="00D12F51">
      <w:pPr>
        <w:jc w:val="center"/>
        <w:rPr>
          <w:rFonts w:ascii="Verdana" w:hAnsi="Verdana" w:cs="Arial"/>
          <w:b/>
          <w:u w:val="single"/>
        </w:rPr>
      </w:pPr>
    </w:p>
    <w:p w14:paraId="7974BECF" w14:textId="77777777" w:rsidR="00D12F51" w:rsidRPr="000B6F3B" w:rsidRDefault="00D12F51" w:rsidP="00D12F51">
      <w:pPr>
        <w:jc w:val="center"/>
        <w:rPr>
          <w:rFonts w:ascii="Verdana" w:hAnsi="Verdana" w:cs="Arial"/>
          <w:b/>
          <w:u w:val="single"/>
        </w:rPr>
      </w:pPr>
      <w:r w:rsidRPr="000B6F3B">
        <w:rPr>
          <w:rFonts w:ascii="Verdana" w:hAnsi="Verdana" w:cs="Arial"/>
          <w:b/>
          <w:u w:val="single"/>
        </w:rPr>
        <w:lastRenderedPageBreak/>
        <w:t>METHODOLOGICAL INFORMATION</w:t>
      </w:r>
    </w:p>
    <w:p w14:paraId="0EC91452" w14:textId="77777777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531D50D9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26B3847A" w14:textId="77777777" w:rsidR="00D12F51" w:rsidRPr="000B6F3B" w:rsidRDefault="00D12F51" w:rsidP="00D12F51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0B6F3B">
        <w:rPr>
          <w:rFonts w:ascii="Verdana" w:hAnsi="Verdana" w:cs="Arial"/>
          <w:b/>
          <w:sz w:val="18"/>
          <w:szCs w:val="18"/>
          <w:u w:val="single"/>
        </w:rPr>
        <w:t>Definitions</w:t>
      </w:r>
    </w:p>
    <w:p w14:paraId="4FEE0886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45B16348" w14:textId="77777777" w:rsidR="001935AD" w:rsidRDefault="001935AD" w:rsidP="001935AD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Employment</w:t>
      </w:r>
      <w:r>
        <w:rPr>
          <w:rFonts w:ascii="Verdana" w:eastAsia="Malgun Gothic" w:hAnsi="Verdana" w:cs="Arial"/>
          <w:sz w:val="18"/>
          <w:szCs w:val="18"/>
        </w:rPr>
        <w:t xml:space="preserve"> – The average number of employees and self-employed persons during the year, in full time equivalent terms.</w:t>
      </w:r>
    </w:p>
    <w:p w14:paraId="4DA7EFF7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6D59086F" w14:textId="22BDD982" w:rsidR="00B847F2" w:rsidRDefault="00D12F51" w:rsidP="00B847F2">
      <w:pPr>
        <w:jc w:val="both"/>
        <w:rPr>
          <w:rFonts w:ascii="Verdana" w:hAnsi="Verdana" w:cs="Arial"/>
          <w:sz w:val="18"/>
          <w:szCs w:val="18"/>
        </w:rPr>
      </w:pPr>
      <w:r w:rsidRPr="000B6F3B">
        <w:rPr>
          <w:rFonts w:ascii="Verdana" w:hAnsi="Verdana" w:cs="Arial"/>
          <w:b/>
          <w:sz w:val="18"/>
          <w:szCs w:val="18"/>
        </w:rPr>
        <w:t>Production value</w:t>
      </w:r>
      <w:r w:rsidRPr="000B6F3B">
        <w:rPr>
          <w:rFonts w:ascii="Verdana" w:hAnsi="Verdana" w:cs="Arial"/>
          <w:sz w:val="18"/>
          <w:szCs w:val="18"/>
        </w:rPr>
        <w:t xml:space="preserve"> –</w:t>
      </w:r>
      <w:r w:rsidRPr="000B6F3B">
        <w:rPr>
          <w:rFonts w:ascii="Verdana" w:hAnsi="Verdana" w:cs="Arial"/>
          <w:b/>
          <w:sz w:val="18"/>
          <w:szCs w:val="18"/>
        </w:rPr>
        <w:t xml:space="preserve"> </w:t>
      </w:r>
      <w:r w:rsidR="00B847F2">
        <w:rPr>
          <w:rFonts w:ascii="Verdana" w:hAnsi="Verdana" w:cs="Arial"/>
          <w:sz w:val="18"/>
          <w:szCs w:val="18"/>
        </w:rPr>
        <w:t>T</w:t>
      </w:r>
      <w:r w:rsidR="00B847F2" w:rsidRPr="00B847F2">
        <w:rPr>
          <w:rFonts w:ascii="Verdana" w:hAnsi="Verdana" w:cs="Arial"/>
          <w:sz w:val="18"/>
          <w:szCs w:val="18"/>
        </w:rPr>
        <w:t xml:space="preserve">he value of services and goods </w:t>
      </w:r>
      <w:proofErr w:type="gramStart"/>
      <w:r w:rsidR="00B847F2" w:rsidRPr="00B847F2">
        <w:rPr>
          <w:rFonts w:ascii="Verdana" w:hAnsi="Verdana" w:cs="Arial"/>
          <w:sz w:val="18"/>
          <w:szCs w:val="18"/>
        </w:rPr>
        <w:t>produced,</w:t>
      </w:r>
      <w:proofErr w:type="gramEnd"/>
      <w:r w:rsidR="00B847F2" w:rsidRPr="00B847F2">
        <w:rPr>
          <w:rFonts w:ascii="Verdana" w:hAnsi="Verdana" w:cs="Arial"/>
          <w:sz w:val="18"/>
          <w:szCs w:val="18"/>
        </w:rPr>
        <w:t xml:space="preserve"> net receipts from the sale of goods sold in the same condition as purchased, other operating income and changes in the value of work-in-progress at the end of the year.</w:t>
      </w:r>
    </w:p>
    <w:p w14:paraId="27E8A7E3" w14:textId="0BA56DE8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237D6DE2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  <w:r w:rsidRPr="000B6F3B">
        <w:rPr>
          <w:rFonts w:ascii="Verdana" w:hAnsi="Verdana" w:cs="Arial"/>
          <w:b/>
          <w:sz w:val="18"/>
          <w:szCs w:val="18"/>
        </w:rPr>
        <w:t>Value added</w:t>
      </w:r>
      <w:r w:rsidRPr="000B6F3B">
        <w:rPr>
          <w:rFonts w:ascii="Verdana" w:hAnsi="Verdana" w:cs="Arial"/>
          <w:sz w:val="18"/>
          <w:szCs w:val="18"/>
        </w:rPr>
        <w:t xml:space="preserve"> </w:t>
      </w:r>
      <w:r w:rsidRPr="00E8604A">
        <w:rPr>
          <w:rFonts w:ascii="Verdana" w:hAnsi="Verdana" w:cs="Arial"/>
          <w:b/>
          <w:sz w:val="18"/>
          <w:szCs w:val="18"/>
        </w:rPr>
        <w:t>at current prices</w:t>
      </w:r>
      <w:r>
        <w:rPr>
          <w:rFonts w:ascii="Verdana" w:hAnsi="Verdana" w:cs="Arial"/>
          <w:b/>
          <w:sz w:val="18"/>
          <w:szCs w:val="18"/>
        </w:rPr>
        <w:t xml:space="preserve"> </w:t>
      </w:r>
      <w:r w:rsidRPr="000B6F3B">
        <w:rPr>
          <w:rFonts w:ascii="Verdana" w:hAnsi="Verdana" w:cs="Arial"/>
          <w:sz w:val="18"/>
          <w:szCs w:val="18"/>
        </w:rPr>
        <w:t>– Derived by deducting from the production value the production expenses as well as the administrative expenses and rents paid for buildings and machinery.</w:t>
      </w:r>
    </w:p>
    <w:p w14:paraId="1DED3658" w14:textId="77777777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37152FE9" w14:textId="77777777" w:rsidR="00D12F51" w:rsidRPr="000B6F3B" w:rsidRDefault="00D12F51" w:rsidP="00D12F51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0B6F3B">
        <w:rPr>
          <w:rFonts w:ascii="Verdana" w:hAnsi="Verdana" w:cs="Arial"/>
          <w:b/>
          <w:sz w:val="18"/>
          <w:szCs w:val="18"/>
          <w:u w:val="single"/>
        </w:rPr>
        <w:t>Coverage and collection of data</w:t>
      </w:r>
    </w:p>
    <w:p w14:paraId="42DBE053" w14:textId="77777777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0839B276" w14:textId="5B359871" w:rsidR="00D12F51" w:rsidRPr="005D0CC7" w:rsidRDefault="00D12F51" w:rsidP="00D12F51">
      <w:pPr>
        <w:jc w:val="both"/>
        <w:rPr>
          <w:rFonts w:ascii="Verdana" w:eastAsia="Times New Roman" w:hAnsi="Verdana" w:cs="Calibri"/>
          <w:sz w:val="18"/>
          <w:szCs w:val="18"/>
          <w:lang w:eastAsia="en-CY"/>
        </w:rPr>
      </w:pPr>
      <w:r w:rsidRPr="005D0CC7">
        <w:rPr>
          <w:rFonts w:ascii="Verdana" w:hAnsi="Verdana" w:cs="Arial"/>
          <w:sz w:val="18"/>
          <w:szCs w:val="18"/>
        </w:rPr>
        <w:t>The Services and Transport Survey is carried out on an annual basis and covers enterprises with the main activity falling under sect</w:t>
      </w:r>
      <w:r w:rsidR="00E74EE7">
        <w:rPr>
          <w:rFonts w:ascii="Verdana" w:hAnsi="Verdana" w:cs="Arial"/>
          <w:sz w:val="18"/>
          <w:szCs w:val="18"/>
        </w:rPr>
        <w:t>or</w:t>
      </w:r>
      <w:r w:rsidRPr="005D0CC7">
        <w:rPr>
          <w:rFonts w:ascii="Verdana" w:hAnsi="Verdana" w:cs="Arial"/>
          <w:sz w:val="18"/>
          <w:szCs w:val="18"/>
        </w:rPr>
        <w:t>s H (Transportation and storage), I (Accommodation and food service activities), J (Information and communication), L (Real estate activities), M (Professional, scientific and technical activities)</w:t>
      </w:r>
      <w:r w:rsidR="00F21854" w:rsidRPr="00E74EE7">
        <w:rPr>
          <w:rFonts w:ascii="Verdana" w:hAnsi="Verdana" w:cs="Arial"/>
          <w:sz w:val="18"/>
          <w:szCs w:val="18"/>
        </w:rPr>
        <w:t>,</w:t>
      </w:r>
      <w:r w:rsidRPr="005D0CC7">
        <w:rPr>
          <w:rFonts w:ascii="Verdana" w:hAnsi="Verdana" w:cs="Arial"/>
          <w:sz w:val="18"/>
          <w:szCs w:val="18"/>
        </w:rPr>
        <w:t xml:space="preserve"> N (Administrative and support service activities)</w:t>
      </w:r>
      <w:r w:rsidR="007907DD" w:rsidRPr="005D0CC7">
        <w:rPr>
          <w:rFonts w:ascii="Verdana" w:hAnsi="Verdana" w:cs="Arial"/>
          <w:sz w:val="18"/>
          <w:szCs w:val="18"/>
        </w:rPr>
        <w:t>, P (education), Q (</w:t>
      </w:r>
      <w:r w:rsidR="007907DD" w:rsidRPr="005D0CC7">
        <w:rPr>
          <w:rFonts w:ascii="Verdana" w:eastAsia="Times New Roman" w:hAnsi="Verdana" w:cs="Calibri"/>
          <w:sz w:val="18"/>
          <w:szCs w:val="18"/>
          <w:lang w:eastAsia="en-CY"/>
        </w:rPr>
        <w:t>Human Health and Social Work Activities), R (Arts, Entertainment and Recreation)</w:t>
      </w:r>
      <w:r w:rsidR="00EB24AD" w:rsidRPr="005D0CC7">
        <w:rPr>
          <w:rFonts w:ascii="Verdana" w:eastAsia="Times New Roman" w:hAnsi="Verdana" w:cs="Calibri"/>
          <w:sz w:val="18"/>
          <w:szCs w:val="18"/>
          <w:lang w:eastAsia="en-CY"/>
        </w:rPr>
        <w:t xml:space="preserve"> and</w:t>
      </w:r>
      <w:r w:rsidR="007907DD" w:rsidRPr="005D0CC7">
        <w:rPr>
          <w:rFonts w:ascii="Verdana" w:eastAsia="Times New Roman" w:hAnsi="Verdana" w:cs="Calibri"/>
          <w:sz w:val="18"/>
          <w:szCs w:val="18"/>
          <w:lang w:eastAsia="en-CY"/>
        </w:rPr>
        <w:t xml:space="preserve"> S (Other Service Activities)</w:t>
      </w:r>
      <w:r w:rsidRPr="005D0CC7">
        <w:rPr>
          <w:rFonts w:ascii="Verdana" w:hAnsi="Verdana" w:cs="Arial"/>
          <w:sz w:val="18"/>
          <w:szCs w:val="18"/>
        </w:rPr>
        <w:t xml:space="preserve"> of the classification system of economic activities NACE Rev. 2 of the European Union.</w:t>
      </w:r>
    </w:p>
    <w:p w14:paraId="28801855" w14:textId="77777777" w:rsidR="00D12F51" w:rsidRPr="005D0CC7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17F59402" w14:textId="01487B07" w:rsidR="001935AD" w:rsidRDefault="00D12F51" w:rsidP="001935AD">
      <w:pPr>
        <w:jc w:val="both"/>
        <w:rPr>
          <w:rFonts w:ascii="Verdana" w:eastAsia="Malgun Gothic" w:hAnsi="Verdana" w:cs="Arial"/>
          <w:sz w:val="18"/>
          <w:szCs w:val="18"/>
        </w:rPr>
      </w:pPr>
      <w:r w:rsidRPr="005D0CC7">
        <w:rPr>
          <w:rFonts w:ascii="Verdana" w:hAnsi="Verdana" w:cs="Arial"/>
          <w:sz w:val="18"/>
          <w:szCs w:val="18"/>
        </w:rPr>
        <w:t>The Survey for 202</w:t>
      </w:r>
      <w:r w:rsidR="00943EBE">
        <w:rPr>
          <w:rFonts w:ascii="Verdana" w:hAnsi="Verdana" w:cs="Arial"/>
          <w:sz w:val="18"/>
          <w:szCs w:val="18"/>
        </w:rPr>
        <w:t>3</w:t>
      </w:r>
      <w:r w:rsidRPr="005D0CC7">
        <w:rPr>
          <w:rFonts w:ascii="Verdana" w:hAnsi="Verdana" w:cs="Arial"/>
          <w:sz w:val="18"/>
          <w:szCs w:val="18"/>
        </w:rPr>
        <w:t xml:space="preserve"> covered a sample of around </w:t>
      </w:r>
      <w:r w:rsidR="009970F3" w:rsidRPr="009970F3">
        <w:rPr>
          <w:rFonts w:ascii="Verdana" w:hAnsi="Verdana" w:cs="Arial"/>
          <w:sz w:val="18"/>
          <w:szCs w:val="18"/>
        </w:rPr>
        <w:t>4</w:t>
      </w:r>
      <w:r w:rsidRPr="005D0CC7">
        <w:rPr>
          <w:rFonts w:ascii="Verdana" w:hAnsi="Verdana" w:cs="Arial"/>
          <w:sz w:val="18"/>
          <w:szCs w:val="18"/>
        </w:rPr>
        <w:t>.</w:t>
      </w:r>
      <w:r w:rsidR="009970F3" w:rsidRPr="009970F3">
        <w:rPr>
          <w:rFonts w:ascii="Verdana" w:hAnsi="Verdana" w:cs="Arial"/>
          <w:sz w:val="18"/>
          <w:szCs w:val="18"/>
        </w:rPr>
        <w:t>0</w:t>
      </w:r>
      <w:r w:rsidR="00EB24AD" w:rsidRPr="005D0CC7">
        <w:rPr>
          <w:rFonts w:ascii="Verdana" w:hAnsi="Verdana" w:cs="Arial"/>
          <w:sz w:val="18"/>
          <w:szCs w:val="18"/>
        </w:rPr>
        <w:t>00</w:t>
      </w:r>
      <w:r w:rsidRPr="005D0CC7">
        <w:rPr>
          <w:rFonts w:ascii="Verdana" w:hAnsi="Verdana" w:cs="Arial"/>
          <w:sz w:val="18"/>
          <w:szCs w:val="18"/>
        </w:rPr>
        <w:t xml:space="preserve"> enterprises. </w:t>
      </w:r>
      <w:r w:rsidR="001935AD">
        <w:rPr>
          <w:rFonts w:ascii="Verdana" w:eastAsia="Malgun Gothic" w:hAnsi="Verdana" w:cs="Arial"/>
          <w:sz w:val="18"/>
          <w:szCs w:val="18"/>
        </w:rPr>
        <w:t>The collection of data by the Statistical Service is done by email, by personal interviews, by phone interviews and using administrative sources.</w:t>
      </w:r>
    </w:p>
    <w:p w14:paraId="0525647A" w14:textId="433BC26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068C59C4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1DA4676C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472067B6" w14:textId="77777777" w:rsidR="00D12F51" w:rsidRPr="000B6F3B" w:rsidRDefault="00D12F51" w:rsidP="00D12F51">
      <w:pPr>
        <w:contextualSpacing/>
        <w:jc w:val="both"/>
        <w:rPr>
          <w:rFonts w:ascii="Verdana" w:hAnsi="Verdana" w:cs="Arial"/>
          <w:b/>
          <w:i/>
          <w:sz w:val="18"/>
          <w:szCs w:val="18"/>
        </w:rPr>
      </w:pPr>
      <w:r w:rsidRPr="000B6F3B">
        <w:rPr>
          <w:rFonts w:ascii="Verdana" w:hAnsi="Verdana" w:cs="Arial"/>
          <w:b/>
          <w:i/>
          <w:sz w:val="18"/>
          <w:szCs w:val="18"/>
        </w:rPr>
        <w:t>For more information:</w:t>
      </w:r>
    </w:p>
    <w:p w14:paraId="413783EA" w14:textId="3205CFA8" w:rsidR="00D12F51" w:rsidRDefault="00D12F51" w:rsidP="00D12F51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val="en-GB"/>
        </w:rPr>
        <w:t xml:space="preserve">CYSTAT Portal, subtheme </w:t>
      </w:r>
      <w:hyperlink r:id="rId10" w:history="1">
        <w:r w:rsidRPr="005A2429">
          <w:rPr>
            <w:rStyle w:val="Hyperlink"/>
            <w:rFonts w:ascii="Verdana" w:eastAsia="Malgun Gothic" w:hAnsi="Verdana" w:cs="Arial"/>
            <w:sz w:val="18"/>
            <w:szCs w:val="18"/>
          </w:rPr>
          <w:t>Services</w:t>
        </w:r>
      </w:hyperlink>
      <w:r w:rsidRPr="006253F7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DB6C514" w14:textId="163307EC" w:rsidR="00AF5D4F" w:rsidRDefault="005040EB" w:rsidP="00AF5D4F">
      <w:pPr>
        <w:jc w:val="both"/>
        <w:rPr>
          <w:rFonts w:ascii="Verdana" w:eastAsia="Malgun Gothic" w:hAnsi="Verdana" w:cs="Arial"/>
          <w:bCs/>
          <w:sz w:val="18"/>
          <w:szCs w:val="18"/>
        </w:rPr>
      </w:pPr>
      <w:hyperlink r:id="rId11" w:history="1">
        <w:r w:rsidR="00AF5D4F" w:rsidRPr="00AF5D4F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="00AF5D4F">
        <w:rPr>
          <w:rFonts w:ascii="Verdana" w:hAnsi="Verdana"/>
          <w:sz w:val="18"/>
          <w:szCs w:val="18"/>
        </w:rPr>
        <w:t xml:space="preserve"> (Excel)</w:t>
      </w:r>
    </w:p>
    <w:p w14:paraId="25969ADB" w14:textId="0369EAC6" w:rsidR="001A2739" w:rsidRDefault="005040EB" w:rsidP="001A2739">
      <w:pPr>
        <w:jc w:val="both"/>
        <w:rPr>
          <w:rFonts w:ascii="Verdana" w:hAnsi="Verdana"/>
          <w:sz w:val="18"/>
          <w:szCs w:val="18"/>
        </w:rPr>
      </w:pPr>
      <w:hyperlink r:id="rId12" w:tooltip="Methodological Information" w:history="1">
        <w:r w:rsidR="001A2739" w:rsidRPr="001A2739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09CC76D6" w14:textId="77777777" w:rsidR="00D12F51" w:rsidRDefault="00D12F51" w:rsidP="00D12F51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03F7A685" w14:textId="77777777" w:rsidR="00D12F51" w:rsidRDefault="00D12F51" w:rsidP="00D12F51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4EBBE753" w14:textId="77777777" w:rsidR="00D12F51" w:rsidRPr="000B6F3B" w:rsidRDefault="00D12F51" w:rsidP="00D12F51">
      <w:pPr>
        <w:contextualSpacing/>
        <w:jc w:val="both"/>
        <w:rPr>
          <w:rFonts w:ascii="Verdana" w:hAnsi="Verdana"/>
          <w:sz w:val="18"/>
          <w:szCs w:val="18"/>
        </w:rPr>
      </w:pPr>
      <w:r w:rsidRPr="000B6F3B">
        <w:rPr>
          <w:rFonts w:ascii="Verdana" w:hAnsi="Verdana" w:cs="Arial"/>
          <w:sz w:val="18"/>
          <w:szCs w:val="18"/>
        </w:rPr>
        <w:t>Margarita Georgiou: Tel:</w:t>
      </w:r>
      <w:r w:rsidRPr="000B6F3B">
        <w:rPr>
          <w:rFonts w:ascii="Verdana" w:hAnsi="Verdana" w:cs="Arial"/>
          <w:color w:val="000000"/>
          <w:sz w:val="18"/>
          <w:szCs w:val="18"/>
        </w:rPr>
        <w:t xml:space="preserve"> +35722602217, Email: </w:t>
      </w:r>
      <w:hyperlink r:id="rId13" w:history="1">
        <w:r w:rsidRPr="000B6F3B">
          <w:rPr>
            <w:rFonts w:ascii="Verdana" w:hAnsi="Verdana" w:cs="Arial"/>
            <w:color w:val="0000FF"/>
            <w:sz w:val="18"/>
            <w:szCs w:val="18"/>
            <w:u w:val="single"/>
          </w:rPr>
          <w:t>mgeorgiou@cystat.mof.gov.cy</w:t>
        </w:r>
      </w:hyperlink>
    </w:p>
    <w:p w14:paraId="19A63F09" w14:textId="77777777" w:rsidR="00D12F51" w:rsidRPr="000B6F3B" w:rsidRDefault="00D12F51" w:rsidP="00D12F51">
      <w:pPr>
        <w:contextualSpacing/>
        <w:jc w:val="both"/>
        <w:rPr>
          <w:rFonts w:ascii="Arial" w:hAnsi="Arial" w:cs="Arial"/>
          <w:sz w:val="20"/>
          <w:szCs w:val="20"/>
        </w:rPr>
      </w:pPr>
      <w:r w:rsidRPr="000B6F3B">
        <w:rPr>
          <w:rFonts w:ascii="Verdana" w:hAnsi="Verdana"/>
          <w:sz w:val="18"/>
          <w:szCs w:val="18"/>
        </w:rPr>
        <w:t xml:space="preserve">Kalomyra Frangou: </w:t>
      </w:r>
      <w:r w:rsidRPr="000B6F3B">
        <w:rPr>
          <w:rFonts w:ascii="Verdana" w:hAnsi="Verdana" w:cs="Arial"/>
          <w:color w:val="000000"/>
          <w:sz w:val="18"/>
          <w:szCs w:val="18"/>
        </w:rPr>
        <w:t xml:space="preserve">Tel: +35722602220, Email: </w:t>
      </w:r>
      <w:hyperlink r:id="rId14" w:history="1">
        <w:r w:rsidRPr="000B6F3B">
          <w:rPr>
            <w:rFonts w:ascii="Verdana" w:hAnsi="Verdana" w:cs="Arial"/>
            <w:color w:val="0000FF"/>
            <w:sz w:val="18"/>
            <w:szCs w:val="18"/>
            <w:u w:val="single"/>
          </w:rPr>
          <w:t>kfrangou@cystat.mof.gov.cy</w:t>
        </w:r>
      </w:hyperlink>
    </w:p>
    <w:p w14:paraId="19CCF49E" w14:textId="77777777" w:rsidR="00D12F51" w:rsidRPr="008B5FF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6D11BA6" w14:textId="77777777" w:rsidR="00D12F51" w:rsidRPr="00377ABB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F1EAFBA" w14:textId="77777777" w:rsidR="00D12F51" w:rsidRPr="00377ABB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487F82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5091B2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4F2099F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467D5D5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E830147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2D4E3C6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C32FABE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ACA46BB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084993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1FB7DD8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817A175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D99E51C" w14:textId="77777777" w:rsidR="00D12F51" w:rsidRPr="00377ABB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F75AAF" w14:textId="77777777" w:rsidR="00D12F51" w:rsidRPr="00B66257" w:rsidRDefault="00D12F51" w:rsidP="00D12F51">
      <w:pPr>
        <w:rPr>
          <w:rFonts w:ascii="Arial" w:hAnsi="Arial" w:cs="Arial"/>
          <w:color w:val="FF0000"/>
          <w:sz w:val="20"/>
          <w:szCs w:val="20"/>
        </w:rPr>
      </w:pPr>
    </w:p>
    <w:p w14:paraId="77EE8272" w14:textId="77777777" w:rsidR="007437AB" w:rsidRPr="00D12F51" w:rsidRDefault="007437AB" w:rsidP="006F1E66">
      <w:pPr>
        <w:jc w:val="both"/>
        <w:rPr>
          <w:rFonts w:ascii="Verdana" w:hAnsi="Verdana" w:cs="Arial"/>
          <w:sz w:val="18"/>
          <w:szCs w:val="18"/>
        </w:rPr>
      </w:pPr>
    </w:p>
    <w:p w14:paraId="663F5B87" w14:textId="5FFBC9C2" w:rsidR="00972CA0" w:rsidRPr="00972CA0" w:rsidRDefault="00463214" w:rsidP="00C26329">
      <w:pPr>
        <w:jc w:val="both"/>
        <w:rPr>
          <w:rFonts w:ascii="Verdana" w:eastAsia="Malgun Gothic" w:hAnsi="Verdana" w:cs="Arial"/>
          <w:sz w:val="18"/>
          <w:szCs w:val="18"/>
        </w:rPr>
      </w:pPr>
      <w:r w:rsidRPr="00D12F51">
        <w:rPr>
          <w:rFonts w:ascii="Arial" w:hAnsi="Arial" w:cs="Arial"/>
          <w:sz w:val="20"/>
          <w:szCs w:val="20"/>
        </w:rPr>
        <w:tab/>
      </w:r>
      <w:r w:rsidRPr="00D12F51">
        <w:rPr>
          <w:rFonts w:ascii="Arial" w:hAnsi="Arial" w:cs="Arial"/>
          <w:sz w:val="18"/>
          <w:szCs w:val="18"/>
        </w:rPr>
        <w:tab/>
      </w:r>
    </w:p>
    <w:p w14:paraId="27A72E99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B37447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680B9B0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3604C0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2D84DB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4E7F67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F89882" w14:textId="77777777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C26329" w:rsidSect="005938ED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495BC" w14:textId="77777777" w:rsidR="005040EB" w:rsidRDefault="005040EB" w:rsidP="00FB398F">
      <w:r>
        <w:separator/>
      </w:r>
    </w:p>
  </w:endnote>
  <w:endnote w:type="continuationSeparator" w:id="0">
    <w:p w14:paraId="12B67EB2" w14:textId="77777777" w:rsidR="005040EB" w:rsidRDefault="005040EB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072DB1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6ECF8" w14:textId="743EEDC6" w:rsidR="00F613AE" w:rsidRPr="00BD02D9" w:rsidRDefault="00BD02D9" w:rsidP="00F613AE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>
      <w:rPr>
        <w:rFonts w:ascii="Verdana" w:hAnsi="Verdana" w:cs="Arial"/>
        <w:iCs/>
        <w:sz w:val="16"/>
        <w:szCs w:val="16"/>
      </w:rPr>
      <w:t>Address:</w:t>
    </w:r>
    <w:r w:rsidR="0060256A" w:rsidRPr="00BD02D9">
      <w:rPr>
        <w:rFonts w:ascii="Verdana" w:hAnsi="Verdana" w:cs="Arial"/>
        <w:iCs/>
        <w:sz w:val="16"/>
        <w:szCs w:val="16"/>
      </w:rPr>
      <w:t xml:space="preserve"> Micha</w:t>
    </w:r>
    <w:r w:rsidR="00EF6A66" w:rsidRPr="00BD02D9">
      <w:rPr>
        <w:rFonts w:ascii="Verdana" w:hAnsi="Verdana" w:cs="Arial"/>
        <w:iCs/>
        <w:sz w:val="16"/>
        <w:szCs w:val="16"/>
      </w:rPr>
      <w:t>el</w:t>
    </w:r>
    <w:r>
      <w:rPr>
        <w:rFonts w:ascii="Verdana" w:hAnsi="Verdana" w:cs="Arial"/>
        <w:iCs/>
        <w:sz w:val="16"/>
        <w:szCs w:val="16"/>
      </w:rPr>
      <w:t xml:space="preserve"> </w:t>
    </w:r>
    <w:proofErr w:type="spellStart"/>
    <w:r>
      <w:rPr>
        <w:rFonts w:ascii="Verdana" w:hAnsi="Verdana" w:cs="Arial"/>
        <w:iCs/>
        <w:sz w:val="16"/>
        <w:szCs w:val="16"/>
      </w:rPr>
      <w:t>Karaoli</w:t>
    </w:r>
    <w:proofErr w:type="spellEnd"/>
    <w:r w:rsidR="0060256A" w:rsidRPr="00BD02D9">
      <w:rPr>
        <w:rFonts w:ascii="Verdana" w:hAnsi="Verdana" w:cs="Arial"/>
        <w:iCs/>
        <w:sz w:val="16"/>
        <w:szCs w:val="16"/>
      </w:rPr>
      <w:t xml:space="preserve"> Str., 1444 Nicosia, Cyprus</w:t>
    </w:r>
    <w:r w:rsidR="00F613AE" w:rsidRPr="00BD02D9">
      <w:rPr>
        <w:rFonts w:ascii="Verdana" w:hAnsi="Verdana" w:cs="Arial"/>
        <w:iCs/>
        <w:sz w:val="16"/>
        <w:szCs w:val="16"/>
      </w:rPr>
      <w:t xml:space="preserve"> </w:t>
    </w:r>
  </w:p>
  <w:p w14:paraId="5BFB5428" w14:textId="0C93F975" w:rsidR="0060256A" w:rsidRPr="00BD02D9" w:rsidRDefault="00BD02D9" w:rsidP="00F613AE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>Tel.:</w:t>
    </w:r>
    <w:r w:rsidR="00122143" w:rsidRPr="00BD02D9">
      <w:rPr>
        <w:rFonts w:ascii="Verdana" w:hAnsi="Verdana" w:cs="Arial"/>
        <w:iCs/>
        <w:sz w:val="16"/>
        <w:szCs w:val="16"/>
        <w:lang w:val="pt-PT"/>
      </w:rPr>
      <w:t xml:space="preserve"> 22 602129</w:t>
    </w:r>
    <w:r>
      <w:rPr>
        <w:rFonts w:ascii="Verdana" w:hAnsi="Verdana" w:cs="Arial"/>
        <w:iCs/>
        <w:sz w:val="16"/>
        <w:szCs w:val="16"/>
        <w:lang w:val="pt-PT"/>
      </w:rPr>
      <w:t>, E-mail:</w:t>
    </w:r>
    <w:r w:rsidR="0060256A" w:rsidRPr="00BD02D9">
      <w:rPr>
        <w:rFonts w:ascii="Verdana" w:hAnsi="Verdana" w:cs="Arial"/>
        <w:iCs/>
        <w:sz w:val="16"/>
        <w:szCs w:val="16"/>
        <w:lang w:val="pt-PT"/>
      </w:rPr>
      <w:t xml:space="preserve"> </w:t>
    </w:r>
    <w:hyperlink r:id="rId1" w:history="1">
      <w:r w:rsidRPr="00766187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610703E3" w:rsidR="004E4F42" w:rsidRPr="00BD02D9" w:rsidRDefault="00BD02D9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iCs/>
        <w:sz w:val="16"/>
        <w:szCs w:val="16"/>
      </w:rPr>
      <w:t>Web Portal</w:t>
    </w:r>
    <w:r w:rsidR="0060256A" w:rsidRPr="00BD02D9">
      <w:rPr>
        <w:rFonts w:ascii="Verdana" w:hAnsi="Verdana" w:cs="Arial"/>
        <w:iCs/>
        <w:sz w:val="16"/>
        <w:szCs w:val="16"/>
      </w:rPr>
      <w:t xml:space="preserve">: </w:t>
    </w:r>
    <w:hyperlink r:id="rId2" w:history="1">
      <w:r w:rsidR="0060256A" w:rsidRPr="00BD02D9">
        <w:rPr>
          <w:rStyle w:val="Hyperlink"/>
          <w:rFonts w:ascii="Verdana" w:hAnsi="Verdana" w:cs="Arial"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5DFC5" w14:textId="77777777" w:rsidR="005040EB" w:rsidRDefault="005040EB" w:rsidP="00FB398F">
      <w:r>
        <w:separator/>
      </w:r>
    </w:p>
  </w:footnote>
  <w:footnote w:type="continuationSeparator" w:id="0">
    <w:p w14:paraId="29A3CB7C" w14:textId="77777777" w:rsidR="005040EB" w:rsidRDefault="005040EB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1BC7CBE5">
          <wp:simplePos x="0" y="0"/>
          <wp:positionH relativeFrom="column">
            <wp:posOffset>628650</wp:posOffset>
          </wp:positionH>
          <wp:positionV relativeFrom="paragraph">
            <wp:posOffset>159385</wp:posOffset>
          </wp:positionV>
          <wp:extent cx="676275" cy="676275"/>
          <wp:effectExtent l="0" t="0" r="9525" b="9525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BD02D9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4854F1DD" w:rsidR="0060256A" w:rsidRPr="00BD02D9" w:rsidRDefault="00BD02D9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D02D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</w:t>
                          </w:r>
                          <w:r w:rsidRPr="00BD02D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60256A" w:rsidRPr="00BD02D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SERVICE</w:t>
                          </w:r>
                        </w:p>
                        <w:p w14:paraId="2E0D10D7" w14:textId="77777777" w:rsidR="0060256A" w:rsidRPr="00BD02D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D02D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BD02D9">
                                <w:rPr>
                                  <w:rFonts w:ascii="Verdana" w:hAnsi="Verdana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464BD7D4" w14:textId="77777777" w:rsidR="0060256A" w:rsidRPr="00BD02D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BD02D9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" stroked="f">
              <v:textbox>
                <w:txbxContent>
                  <w:p w14:paraId="236D2ABB" w14:textId="4854F1DD" w:rsidR="0060256A" w:rsidRPr="00BD02D9" w:rsidRDefault="00BD02D9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D02D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</w:t>
                    </w:r>
                    <w:r w:rsidRPr="00BD02D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60256A" w:rsidRPr="00BD02D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SERVICE</w:t>
                    </w:r>
                  </w:p>
                  <w:p w14:paraId="2E0D10D7" w14:textId="77777777" w:rsidR="0060256A" w:rsidRPr="00BD02D9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D02D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BD02D9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BD02D9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BD02D9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BD02D9">
      <w:rPr>
        <w:rFonts w:ascii="Verdana" w:hAnsi="Verdana" w:cs="Arial"/>
        <w:bCs/>
        <w:sz w:val="20"/>
        <w:szCs w:val="18"/>
        <w:lang w:val="en-US"/>
      </w:rPr>
      <w:t>REPUBLIC OF CYPRUS</w:t>
    </w:r>
    <w:r w:rsidR="00364377" w:rsidRPr="00BD02D9">
      <w:rPr>
        <w:rFonts w:ascii="Verdana" w:hAnsi="Verdana"/>
        <w:b/>
        <w:bCs/>
        <w:sz w:val="22"/>
        <w:szCs w:val="20"/>
        <w:lang w:val="en-US"/>
      </w:rPr>
      <w:t xml:space="preserve"> </w:t>
    </w:r>
    <w:r w:rsidR="00364377" w:rsidRPr="00BD02D9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30239B9B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4F86"/>
    <w:rsid w:val="0000542E"/>
    <w:rsid w:val="00013E40"/>
    <w:rsid w:val="000161B1"/>
    <w:rsid w:val="00025A39"/>
    <w:rsid w:val="00027853"/>
    <w:rsid w:val="00030E18"/>
    <w:rsid w:val="00031D32"/>
    <w:rsid w:val="0003603D"/>
    <w:rsid w:val="00036174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2DB1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2FEA"/>
    <w:rsid w:val="000A3601"/>
    <w:rsid w:val="000A6FA8"/>
    <w:rsid w:val="000B6F3B"/>
    <w:rsid w:val="000C4E72"/>
    <w:rsid w:val="000D1E7A"/>
    <w:rsid w:val="000E24B1"/>
    <w:rsid w:val="000E2735"/>
    <w:rsid w:val="000E316A"/>
    <w:rsid w:val="000E32D6"/>
    <w:rsid w:val="000E57F2"/>
    <w:rsid w:val="000E72A7"/>
    <w:rsid w:val="000F1162"/>
    <w:rsid w:val="000F3467"/>
    <w:rsid w:val="000F38DE"/>
    <w:rsid w:val="000F5D6C"/>
    <w:rsid w:val="00100C90"/>
    <w:rsid w:val="00106852"/>
    <w:rsid w:val="00110F9D"/>
    <w:rsid w:val="0011142F"/>
    <w:rsid w:val="00114A67"/>
    <w:rsid w:val="00122143"/>
    <w:rsid w:val="001253B6"/>
    <w:rsid w:val="00127320"/>
    <w:rsid w:val="00127456"/>
    <w:rsid w:val="001312D8"/>
    <w:rsid w:val="0013137B"/>
    <w:rsid w:val="00132612"/>
    <w:rsid w:val="0015118B"/>
    <w:rsid w:val="001519CE"/>
    <w:rsid w:val="00160D03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935AD"/>
    <w:rsid w:val="001A2018"/>
    <w:rsid w:val="001A2739"/>
    <w:rsid w:val="001A36FF"/>
    <w:rsid w:val="001A3DD4"/>
    <w:rsid w:val="001B2C39"/>
    <w:rsid w:val="001B3675"/>
    <w:rsid w:val="001B54AB"/>
    <w:rsid w:val="001B5E10"/>
    <w:rsid w:val="001B6AB3"/>
    <w:rsid w:val="001B73D5"/>
    <w:rsid w:val="001B747A"/>
    <w:rsid w:val="001C0681"/>
    <w:rsid w:val="001C14B9"/>
    <w:rsid w:val="001C62B3"/>
    <w:rsid w:val="001C7C8C"/>
    <w:rsid w:val="001D0D6A"/>
    <w:rsid w:val="001D20A4"/>
    <w:rsid w:val="001E00D1"/>
    <w:rsid w:val="001E0E58"/>
    <w:rsid w:val="001E14F3"/>
    <w:rsid w:val="001E15ED"/>
    <w:rsid w:val="001E61AA"/>
    <w:rsid w:val="001E7D09"/>
    <w:rsid w:val="001F0E87"/>
    <w:rsid w:val="002006C7"/>
    <w:rsid w:val="0020309E"/>
    <w:rsid w:val="00205BA0"/>
    <w:rsid w:val="00210B58"/>
    <w:rsid w:val="0021730B"/>
    <w:rsid w:val="00222423"/>
    <w:rsid w:val="00225B28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102"/>
    <w:rsid w:val="0028338F"/>
    <w:rsid w:val="00285C24"/>
    <w:rsid w:val="002874C0"/>
    <w:rsid w:val="002915C4"/>
    <w:rsid w:val="0029633E"/>
    <w:rsid w:val="002A1D1C"/>
    <w:rsid w:val="002A4D64"/>
    <w:rsid w:val="002A7AA9"/>
    <w:rsid w:val="002B0834"/>
    <w:rsid w:val="002B6554"/>
    <w:rsid w:val="002D05F0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16A0C"/>
    <w:rsid w:val="003222D7"/>
    <w:rsid w:val="00322FBE"/>
    <w:rsid w:val="00325632"/>
    <w:rsid w:val="00327549"/>
    <w:rsid w:val="003342A5"/>
    <w:rsid w:val="00336C36"/>
    <w:rsid w:val="00343815"/>
    <w:rsid w:val="0035056A"/>
    <w:rsid w:val="003522BB"/>
    <w:rsid w:val="00352F6C"/>
    <w:rsid w:val="00353175"/>
    <w:rsid w:val="003556EA"/>
    <w:rsid w:val="00356958"/>
    <w:rsid w:val="00364377"/>
    <w:rsid w:val="00366A1D"/>
    <w:rsid w:val="00377ABB"/>
    <w:rsid w:val="003854F5"/>
    <w:rsid w:val="00386FC7"/>
    <w:rsid w:val="0038774C"/>
    <w:rsid w:val="00390A32"/>
    <w:rsid w:val="0039175C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A05"/>
    <w:rsid w:val="003E0CE2"/>
    <w:rsid w:val="003F49E4"/>
    <w:rsid w:val="003F4D2F"/>
    <w:rsid w:val="003F5E32"/>
    <w:rsid w:val="003F75F6"/>
    <w:rsid w:val="0040349F"/>
    <w:rsid w:val="00404670"/>
    <w:rsid w:val="00414CA0"/>
    <w:rsid w:val="00422F54"/>
    <w:rsid w:val="00431516"/>
    <w:rsid w:val="004361B3"/>
    <w:rsid w:val="0044249D"/>
    <w:rsid w:val="0044379F"/>
    <w:rsid w:val="00446FB1"/>
    <w:rsid w:val="0046078F"/>
    <w:rsid w:val="00463214"/>
    <w:rsid w:val="0046434D"/>
    <w:rsid w:val="004656FA"/>
    <w:rsid w:val="00471D77"/>
    <w:rsid w:val="00475587"/>
    <w:rsid w:val="0047639F"/>
    <w:rsid w:val="00480BC2"/>
    <w:rsid w:val="00484F24"/>
    <w:rsid w:val="004929C2"/>
    <w:rsid w:val="00493FDD"/>
    <w:rsid w:val="0049586B"/>
    <w:rsid w:val="004A12B6"/>
    <w:rsid w:val="004A3E44"/>
    <w:rsid w:val="004A7983"/>
    <w:rsid w:val="004B2896"/>
    <w:rsid w:val="004B38E9"/>
    <w:rsid w:val="004B3FBA"/>
    <w:rsid w:val="004B556F"/>
    <w:rsid w:val="004B6599"/>
    <w:rsid w:val="004C35CE"/>
    <w:rsid w:val="004C4B51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E7133"/>
    <w:rsid w:val="004F03FD"/>
    <w:rsid w:val="004F4DC9"/>
    <w:rsid w:val="004F52F0"/>
    <w:rsid w:val="004F56F1"/>
    <w:rsid w:val="004F6250"/>
    <w:rsid w:val="004F677C"/>
    <w:rsid w:val="004F6D8F"/>
    <w:rsid w:val="0050097D"/>
    <w:rsid w:val="005040EB"/>
    <w:rsid w:val="00505503"/>
    <w:rsid w:val="0051107B"/>
    <w:rsid w:val="00512F9C"/>
    <w:rsid w:val="005131BD"/>
    <w:rsid w:val="00523ECC"/>
    <w:rsid w:val="00527CDB"/>
    <w:rsid w:val="005317FB"/>
    <w:rsid w:val="005341C9"/>
    <w:rsid w:val="005369CA"/>
    <w:rsid w:val="00536DE9"/>
    <w:rsid w:val="005403DD"/>
    <w:rsid w:val="00540668"/>
    <w:rsid w:val="00541E08"/>
    <w:rsid w:val="00544255"/>
    <w:rsid w:val="00553761"/>
    <w:rsid w:val="0055789A"/>
    <w:rsid w:val="005618DB"/>
    <w:rsid w:val="005652D1"/>
    <w:rsid w:val="005660A0"/>
    <w:rsid w:val="00566A4F"/>
    <w:rsid w:val="00567D64"/>
    <w:rsid w:val="00572BC2"/>
    <w:rsid w:val="00580164"/>
    <w:rsid w:val="005938ED"/>
    <w:rsid w:val="0059478C"/>
    <w:rsid w:val="005978D4"/>
    <w:rsid w:val="005A0AD6"/>
    <w:rsid w:val="005A231D"/>
    <w:rsid w:val="005B2A67"/>
    <w:rsid w:val="005B3DCD"/>
    <w:rsid w:val="005B4AD4"/>
    <w:rsid w:val="005B5CC7"/>
    <w:rsid w:val="005C2798"/>
    <w:rsid w:val="005C36C3"/>
    <w:rsid w:val="005C56EE"/>
    <w:rsid w:val="005C5D4B"/>
    <w:rsid w:val="005D0CC7"/>
    <w:rsid w:val="005D1714"/>
    <w:rsid w:val="005D2D39"/>
    <w:rsid w:val="005D7638"/>
    <w:rsid w:val="005F12F5"/>
    <w:rsid w:val="005F4B4F"/>
    <w:rsid w:val="005F617B"/>
    <w:rsid w:val="005F7C7D"/>
    <w:rsid w:val="0060256A"/>
    <w:rsid w:val="006044B7"/>
    <w:rsid w:val="0060663E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335A"/>
    <w:rsid w:val="00644507"/>
    <w:rsid w:val="00646880"/>
    <w:rsid w:val="00647D2A"/>
    <w:rsid w:val="00651CA6"/>
    <w:rsid w:val="006537BB"/>
    <w:rsid w:val="0065711B"/>
    <w:rsid w:val="00671785"/>
    <w:rsid w:val="00672BA9"/>
    <w:rsid w:val="00673005"/>
    <w:rsid w:val="006804BE"/>
    <w:rsid w:val="0069008E"/>
    <w:rsid w:val="0069087E"/>
    <w:rsid w:val="00691191"/>
    <w:rsid w:val="006925C4"/>
    <w:rsid w:val="0069309C"/>
    <w:rsid w:val="006A02B7"/>
    <w:rsid w:val="006B46D5"/>
    <w:rsid w:val="006B46F4"/>
    <w:rsid w:val="006C7AF3"/>
    <w:rsid w:val="006D3D77"/>
    <w:rsid w:val="006D5E8A"/>
    <w:rsid w:val="006D6548"/>
    <w:rsid w:val="006E0E20"/>
    <w:rsid w:val="006E3378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332B7"/>
    <w:rsid w:val="007437AB"/>
    <w:rsid w:val="007534F8"/>
    <w:rsid w:val="007545AD"/>
    <w:rsid w:val="00760887"/>
    <w:rsid w:val="00762AC9"/>
    <w:rsid w:val="00763722"/>
    <w:rsid w:val="00764BC1"/>
    <w:rsid w:val="00770869"/>
    <w:rsid w:val="007738AA"/>
    <w:rsid w:val="00780A62"/>
    <w:rsid w:val="00783241"/>
    <w:rsid w:val="007838EC"/>
    <w:rsid w:val="00784BDC"/>
    <w:rsid w:val="007907DD"/>
    <w:rsid w:val="00792F28"/>
    <w:rsid w:val="0079543F"/>
    <w:rsid w:val="00795880"/>
    <w:rsid w:val="007A18C0"/>
    <w:rsid w:val="007A4367"/>
    <w:rsid w:val="007B0867"/>
    <w:rsid w:val="007B1AC1"/>
    <w:rsid w:val="007B5A08"/>
    <w:rsid w:val="007B693D"/>
    <w:rsid w:val="007D0338"/>
    <w:rsid w:val="007D3EAD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4368"/>
    <w:rsid w:val="00806EA2"/>
    <w:rsid w:val="00812A2B"/>
    <w:rsid w:val="00812C7B"/>
    <w:rsid w:val="00814A4C"/>
    <w:rsid w:val="00814C65"/>
    <w:rsid w:val="00831AAB"/>
    <w:rsid w:val="0083574E"/>
    <w:rsid w:val="0083640C"/>
    <w:rsid w:val="0084157B"/>
    <w:rsid w:val="00842BFB"/>
    <w:rsid w:val="00842DCE"/>
    <w:rsid w:val="00846B85"/>
    <w:rsid w:val="00847DC3"/>
    <w:rsid w:val="00847F49"/>
    <w:rsid w:val="008535C5"/>
    <w:rsid w:val="00853765"/>
    <w:rsid w:val="0085516F"/>
    <w:rsid w:val="00861278"/>
    <w:rsid w:val="00867186"/>
    <w:rsid w:val="0086725D"/>
    <w:rsid w:val="00870AF6"/>
    <w:rsid w:val="00881268"/>
    <w:rsid w:val="008832DA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71BF"/>
    <w:rsid w:val="008C7FE0"/>
    <w:rsid w:val="008D5717"/>
    <w:rsid w:val="008D757A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04EED"/>
    <w:rsid w:val="00914A23"/>
    <w:rsid w:val="00930754"/>
    <w:rsid w:val="00931164"/>
    <w:rsid w:val="009317AE"/>
    <w:rsid w:val="00934F68"/>
    <w:rsid w:val="00935542"/>
    <w:rsid w:val="009355AC"/>
    <w:rsid w:val="00935F38"/>
    <w:rsid w:val="00937586"/>
    <w:rsid w:val="00943EBE"/>
    <w:rsid w:val="00947889"/>
    <w:rsid w:val="0095405B"/>
    <w:rsid w:val="00960E98"/>
    <w:rsid w:val="00963A82"/>
    <w:rsid w:val="00972912"/>
    <w:rsid w:val="00972CA0"/>
    <w:rsid w:val="00976D1F"/>
    <w:rsid w:val="00981C81"/>
    <w:rsid w:val="00985128"/>
    <w:rsid w:val="00992209"/>
    <w:rsid w:val="009970F3"/>
    <w:rsid w:val="00997C50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D2611"/>
    <w:rsid w:val="009D338B"/>
    <w:rsid w:val="009D650F"/>
    <w:rsid w:val="009D79D2"/>
    <w:rsid w:val="009E247C"/>
    <w:rsid w:val="009E31BA"/>
    <w:rsid w:val="009F0528"/>
    <w:rsid w:val="009F0806"/>
    <w:rsid w:val="009F0B47"/>
    <w:rsid w:val="009F233B"/>
    <w:rsid w:val="00A05D16"/>
    <w:rsid w:val="00A0659F"/>
    <w:rsid w:val="00A079BA"/>
    <w:rsid w:val="00A33875"/>
    <w:rsid w:val="00A360A1"/>
    <w:rsid w:val="00A402B3"/>
    <w:rsid w:val="00A544B7"/>
    <w:rsid w:val="00A618CF"/>
    <w:rsid w:val="00A62770"/>
    <w:rsid w:val="00A62EEB"/>
    <w:rsid w:val="00A660FF"/>
    <w:rsid w:val="00A6625A"/>
    <w:rsid w:val="00A66266"/>
    <w:rsid w:val="00A73395"/>
    <w:rsid w:val="00A77311"/>
    <w:rsid w:val="00A82B4C"/>
    <w:rsid w:val="00A93A4C"/>
    <w:rsid w:val="00A94D5D"/>
    <w:rsid w:val="00AA1D9B"/>
    <w:rsid w:val="00AA2543"/>
    <w:rsid w:val="00AA3804"/>
    <w:rsid w:val="00AA55C2"/>
    <w:rsid w:val="00AB0ACA"/>
    <w:rsid w:val="00AB1D41"/>
    <w:rsid w:val="00AC292F"/>
    <w:rsid w:val="00AC5E9A"/>
    <w:rsid w:val="00AC704B"/>
    <w:rsid w:val="00AD553E"/>
    <w:rsid w:val="00AD5848"/>
    <w:rsid w:val="00AE5ADA"/>
    <w:rsid w:val="00AF5D4F"/>
    <w:rsid w:val="00AF6145"/>
    <w:rsid w:val="00B01386"/>
    <w:rsid w:val="00B01BB5"/>
    <w:rsid w:val="00B04AF4"/>
    <w:rsid w:val="00B05214"/>
    <w:rsid w:val="00B0736F"/>
    <w:rsid w:val="00B12479"/>
    <w:rsid w:val="00B30D97"/>
    <w:rsid w:val="00B31738"/>
    <w:rsid w:val="00B3181A"/>
    <w:rsid w:val="00B35A7C"/>
    <w:rsid w:val="00B450D1"/>
    <w:rsid w:val="00B53D47"/>
    <w:rsid w:val="00B54A25"/>
    <w:rsid w:val="00B60573"/>
    <w:rsid w:val="00B618C3"/>
    <w:rsid w:val="00B63652"/>
    <w:rsid w:val="00B64FC4"/>
    <w:rsid w:val="00B6525E"/>
    <w:rsid w:val="00B668B0"/>
    <w:rsid w:val="00B708CB"/>
    <w:rsid w:val="00B70F5C"/>
    <w:rsid w:val="00B71873"/>
    <w:rsid w:val="00B75AE5"/>
    <w:rsid w:val="00B800C0"/>
    <w:rsid w:val="00B8132B"/>
    <w:rsid w:val="00B847F2"/>
    <w:rsid w:val="00B84C5A"/>
    <w:rsid w:val="00B85876"/>
    <w:rsid w:val="00B858F5"/>
    <w:rsid w:val="00B85ADA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C555A"/>
    <w:rsid w:val="00BD02D9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4C0"/>
    <w:rsid w:val="00C64C6B"/>
    <w:rsid w:val="00C65138"/>
    <w:rsid w:val="00C66F2E"/>
    <w:rsid w:val="00C6785C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54FC"/>
    <w:rsid w:val="00C976E1"/>
    <w:rsid w:val="00CA148E"/>
    <w:rsid w:val="00CA3A9A"/>
    <w:rsid w:val="00CB6BC1"/>
    <w:rsid w:val="00CB7021"/>
    <w:rsid w:val="00CD3294"/>
    <w:rsid w:val="00CD4524"/>
    <w:rsid w:val="00CD784D"/>
    <w:rsid w:val="00CF40F8"/>
    <w:rsid w:val="00D008DA"/>
    <w:rsid w:val="00D0416F"/>
    <w:rsid w:val="00D05851"/>
    <w:rsid w:val="00D107AA"/>
    <w:rsid w:val="00D10FED"/>
    <w:rsid w:val="00D11736"/>
    <w:rsid w:val="00D12EE8"/>
    <w:rsid w:val="00D12F51"/>
    <w:rsid w:val="00D15FF1"/>
    <w:rsid w:val="00D167F4"/>
    <w:rsid w:val="00D2092A"/>
    <w:rsid w:val="00D2216D"/>
    <w:rsid w:val="00D30664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75FFA"/>
    <w:rsid w:val="00D830F8"/>
    <w:rsid w:val="00D836E9"/>
    <w:rsid w:val="00D843F4"/>
    <w:rsid w:val="00DB0CE7"/>
    <w:rsid w:val="00DB10F3"/>
    <w:rsid w:val="00DC23CF"/>
    <w:rsid w:val="00DC6562"/>
    <w:rsid w:val="00DD3927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EAE"/>
    <w:rsid w:val="00E41E23"/>
    <w:rsid w:val="00E436AC"/>
    <w:rsid w:val="00E44FF8"/>
    <w:rsid w:val="00E5066A"/>
    <w:rsid w:val="00E52CF9"/>
    <w:rsid w:val="00E63F34"/>
    <w:rsid w:val="00E6715A"/>
    <w:rsid w:val="00E74EE7"/>
    <w:rsid w:val="00E75DC9"/>
    <w:rsid w:val="00E81610"/>
    <w:rsid w:val="00E84910"/>
    <w:rsid w:val="00E8543E"/>
    <w:rsid w:val="00E85B28"/>
    <w:rsid w:val="00E91976"/>
    <w:rsid w:val="00E947A6"/>
    <w:rsid w:val="00E97FC7"/>
    <w:rsid w:val="00EA0690"/>
    <w:rsid w:val="00EA3956"/>
    <w:rsid w:val="00EA5571"/>
    <w:rsid w:val="00EA7231"/>
    <w:rsid w:val="00EB24AD"/>
    <w:rsid w:val="00EC02A5"/>
    <w:rsid w:val="00EC176B"/>
    <w:rsid w:val="00EC33CD"/>
    <w:rsid w:val="00EC5BE5"/>
    <w:rsid w:val="00ED2650"/>
    <w:rsid w:val="00ED721A"/>
    <w:rsid w:val="00EE393D"/>
    <w:rsid w:val="00EF01CF"/>
    <w:rsid w:val="00EF3C11"/>
    <w:rsid w:val="00EF5E0D"/>
    <w:rsid w:val="00EF6A66"/>
    <w:rsid w:val="00EF7AF9"/>
    <w:rsid w:val="00F01495"/>
    <w:rsid w:val="00F01EE6"/>
    <w:rsid w:val="00F10138"/>
    <w:rsid w:val="00F122F4"/>
    <w:rsid w:val="00F13F92"/>
    <w:rsid w:val="00F21854"/>
    <w:rsid w:val="00F22ECA"/>
    <w:rsid w:val="00F240E8"/>
    <w:rsid w:val="00F244FA"/>
    <w:rsid w:val="00F26266"/>
    <w:rsid w:val="00F3363A"/>
    <w:rsid w:val="00F366A2"/>
    <w:rsid w:val="00F371DA"/>
    <w:rsid w:val="00F44F43"/>
    <w:rsid w:val="00F450E1"/>
    <w:rsid w:val="00F50DF4"/>
    <w:rsid w:val="00F57AFE"/>
    <w:rsid w:val="00F613AE"/>
    <w:rsid w:val="00F6278E"/>
    <w:rsid w:val="00F636A0"/>
    <w:rsid w:val="00F63C41"/>
    <w:rsid w:val="00F63E96"/>
    <w:rsid w:val="00F64742"/>
    <w:rsid w:val="00F66F64"/>
    <w:rsid w:val="00F701E3"/>
    <w:rsid w:val="00F70546"/>
    <w:rsid w:val="00F71F8C"/>
    <w:rsid w:val="00F74ADF"/>
    <w:rsid w:val="00F778B4"/>
    <w:rsid w:val="00F80362"/>
    <w:rsid w:val="00F8143B"/>
    <w:rsid w:val="00F86AD4"/>
    <w:rsid w:val="00F92EE4"/>
    <w:rsid w:val="00FA0113"/>
    <w:rsid w:val="00FA12B2"/>
    <w:rsid w:val="00FA71B5"/>
    <w:rsid w:val="00FA7610"/>
    <w:rsid w:val="00FB02BD"/>
    <w:rsid w:val="00FB398F"/>
    <w:rsid w:val="00FB4EF8"/>
    <w:rsid w:val="00FB6692"/>
    <w:rsid w:val="00FB78DD"/>
    <w:rsid w:val="00FC125E"/>
    <w:rsid w:val="00FC1CDF"/>
    <w:rsid w:val="00FC3EF3"/>
    <w:rsid w:val="00FD2049"/>
    <w:rsid w:val="00FD2140"/>
    <w:rsid w:val="00FD39FD"/>
    <w:rsid w:val="00FD5BDE"/>
    <w:rsid w:val="00FD68EC"/>
    <w:rsid w:val="00FD6CD4"/>
    <w:rsid w:val="00FE0476"/>
    <w:rsid w:val="00FE24A5"/>
    <w:rsid w:val="00FE31E5"/>
    <w:rsid w:val="00FE484D"/>
    <w:rsid w:val="00FE4CBA"/>
    <w:rsid w:val="00FF18EC"/>
    <w:rsid w:val="00FF19AD"/>
    <w:rsid w:val="00FF1EB5"/>
    <w:rsid w:val="00FF292D"/>
    <w:rsid w:val="00FF298D"/>
    <w:rsid w:val="00FF4B55"/>
    <w:rsid w:val="00FF6287"/>
    <w:rsid w:val="00FF65B3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749E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5D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5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georgiou@cystat.mof.gov.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ystat.gov.cy/en/MethodologicalDetails?m=211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ystat.gov.cy/en/KeyFiguresList?s=5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ystat.gov.cy/en/SubthemeStatistics?s=5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kfrangou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333A4-559D-49E2-BBA4-A438BC7A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46</cp:revision>
  <cp:lastPrinted>2025-07-04T07:03:00Z</cp:lastPrinted>
  <dcterms:created xsi:type="dcterms:W3CDTF">2023-07-07T05:44:00Z</dcterms:created>
  <dcterms:modified xsi:type="dcterms:W3CDTF">2025-07-08T07:36:00Z</dcterms:modified>
</cp:coreProperties>
</file>