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8D022A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</w:p>
    <w:p w14:paraId="0EEDB81D" w14:textId="5E00D946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6A0305">
        <w:rPr>
          <w:rFonts w:ascii="Verdana" w:hAnsi="Verdana" w:cs="Arial"/>
          <w:sz w:val="18"/>
          <w:szCs w:val="18"/>
        </w:rPr>
        <w:t>4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6A0305">
        <w:rPr>
          <w:rFonts w:ascii="Verdana" w:hAnsi="Verdana" w:cs="Arial"/>
          <w:sz w:val="18"/>
          <w:szCs w:val="18"/>
        </w:rPr>
        <w:t>April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8D022A">
        <w:rPr>
          <w:rFonts w:ascii="Verdana" w:eastAsia="Malgun Gothic" w:hAnsi="Verdana" w:cs="Arial"/>
          <w:sz w:val="18"/>
          <w:szCs w:val="18"/>
        </w:rPr>
        <w:t>6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551D49B5" w:rsidR="00766260" w:rsidRPr="00407A77" w:rsidRDefault="006A0305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STATE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>EMPLO</w:t>
      </w:r>
      <w:r w:rsidR="002D57C4">
        <w:rPr>
          <w:rFonts w:ascii="Verdana" w:eastAsia="Malgun Gothic" w:hAnsi="Verdana" w:cs="Arial"/>
          <w:b w:val="0"/>
          <w:szCs w:val="22"/>
          <w:lang w:val="en-US"/>
        </w:rPr>
        <w:t>YEES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>
        <w:rPr>
          <w:rFonts w:ascii="Verdana" w:eastAsia="Malgun Gothic" w:hAnsi="Verdana" w:cs="Arial"/>
          <w:szCs w:val="22"/>
          <w:lang w:val="en-US"/>
        </w:rPr>
        <w:t>MARCH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szCs w:val="22"/>
          <w:lang w:val="en-US"/>
        </w:rPr>
        <w:t>202</w:t>
      </w:r>
      <w:r w:rsidR="00A15194">
        <w:rPr>
          <w:rFonts w:ascii="Verdana" w:eastAsia="Malgun Gothic" w:hAnsi="Verdana" w:cs="Arial"/>
          <w:szCs w:val="22"/>
          <w:lang w:val="en-US"/>
        </w:rPr>
        <w:t>6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716E0909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6A0305">
        <w:rPr>
          <w:rFonts w:ascii="Verdana" w:eastAsia="Malgun Gothic" w:hAnsi="Verdana" w:cs="Arial"/>
          <w:b/>
        </w:rPr>
        <w:t>367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47831E3B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6A0305">
        <w:rPr>
          <w:rFonts w:ascii="Verdana" w:hAnsi="Verdana" w:cs="Arial"/>
          <w:sz w:val="18"/>
          <w:szCs w:val="18"/>
        </w:rPr>
        <w:t>March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426D6">
        <w:rPr>
          <w:rFonts w:ascii="Verdana" w:hAnsi="Verdana" w:cs="Arial"/>
          <w:sz w:val="18"/>
          <w:szCs w:val="18"/>
        </w:rPr>
        <w:t>6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2D57C4">
        <w:rPr>
          <w:rFonts w:ascii="Verdana" w:hAnsi="Verdana" w:cs="Arial"/>
          <w:sz w:val="18"/>
          <w:szCs w:val="18"/>
        </w:rPr>
        <w:t xml:space="preserve">the </w:t>
      </w:r>
      <w:r w:rsidRPr="00FB49A0">
        <w:rPr>
          <w:rFonts w:ascii="Verdana" w:hAnsi="Verdana" w:cs="Arial"/>
          <w:sz w:val="18"/>
          <w:szCs w:val="18"/>
        </w:rPr>
        <w:t>total</w:t>
      </w:r>
      <w:r w:rsidR="002D57C4">
        <w:rPr>
          <w:rFonts w:ascii="Verdana" w:hAnsi="Verdana" w:cs="Arial"/>
          <w:sz w:val="18"/>
          <w:szCs w:val="18"/>
        </w:rPr>
        <w:t xml:space="preserve"> number of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S</w:t>
      </w:r>
      <w:r w:rsidR="006A0305">
        <w:rPr>
          <w:rFonts w:ascii="Verdana" w:hAnsi="Verdana" w:cs="Arial"/>
          <w:sz w:val="18"/>
          <w:szCs w:val="18"/>
        </w:rPr>
        <w:t>tate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E</w:t>
      </w:r>
      <w:r w:rsidRPr="00FB49A0">
        <w:rPr>
          <w:rFonts w:ascii="Verdana" w:hAnsi="Verdana" w:cs="Arial"/>
          <w:sz w:val="18"/>
          <w:szCs w:val="18"/>
        </w:rPr>
        <w:t>mploye</w:t>
      </w:r>
      <w:r w:rsidR="002D57C4">
        <w:rPr>
          <w:rFonts w:ascii="Verdana" w:hAnsi="Verdana" w:cs="Arial"/>
          <w:sz w:val="18"/>
          <w:szCs w:val="18"/>
        </w:rPr>
        <w:t>es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491E31">
        <w:rPr>
          <w:rFonts w:ascii="Verdana" w:hAnsi="Verdana" w:cs="Arial"/>
          <w:sz w:val="18"/>
          <w:szCs w:val="18"/>
        </w:rPr>
        <w:t>3</w:t>
      </w:r>
      <w:r w:rsidR="006A0305">
        <w:rPr>
          <w:rFonts w:ascii="Verdana" w:hAnsi="Verdana" w:cs="Arial"/>
          <w:sz w:val="18"/>
          <w:szCs w:val="18"/>
        </w:rPr>
        <w:t>67</w:t>
      </w:r>
      <w:r w:rsidR="00F85386">
        <w:rPr>
          <w:rFonts w:ascii="Verdana" w:hAnsi="Verdana" w:cs="Arial"/>
          <w:sz w:val="18"/>
          <w:szCs w:val="18"/>
        </w:rPr>
        <w:t xml:space="preserve">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990B07">
        <w:rPr>
          <w:rFonts w:ascii="Verdana" w:hAnsi="Verdana" w:cs="Arial"/>
          <w:sz w:val="18"/>
          <w:szCs w:val="18"/>
        </w:rPr>
        <w:t>n</w:t>
      </w:r>
      <w:r w:rsidR="005F6AD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1332F7">
        <w:rPr>
          <w:rFonts w:ascii="Verdana" w:hAnsi="Verdana" w:cs="Arial"/>
          <w:sz w:val="18"/>
          <w:szCs w:val="18"/>
        </w:rPr>
        <w:t xml:space="preserve"> </w:t>
      </w:r>
      <w:r w:rsidR="006A0305">
        <w:rPr>
          <w:rFonts w:ascii="Verdana" w:hAnsi="Verdana" w:cs="Arial"/>
          <w:sz w:val="18"/>
          <w:szCs w:val="18"/>
        </w:rPr>
        <w:t>42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1332F7">
        <w:rPr>
          <w:rFonts w:ascii="Verdana" w:hAnsi="Verdana" w:cs="Arial"/>
          <w:sz w:val="18"/>
          <w:szCs w:val="18"/>
        </w:rPr>
        <w:t>1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6A0305">
        <w:rPr>
          <w:rFonts w:ascii="Verdana" w:hAnsi="Verdana" w:cs="Arial"/>
          <w:sz w:val="18"/>
          <w:szCs w:val="18"/>
        </w:rPr>
        <w:t>March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426D6">
        <w:rPr>
          <w:rFonts w:ascii="Verdana" w:hAnsi="Verdana" w:cs="Arial"/>
          <w:sz w:val="18"/>
          <w:szCs w:val="18"/>
        </w:rPr>
        <w:t>5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and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42557">
        <w:rPr>
          <w:rFonts w:ascii="Verdana" w:hAnsi="Verdana" w:cs="Arial"/>
          <w:sz w:val="18"/>
          <w:szCs w:val="18"/>
        </w:rPr>
        <w:t xml:space="preserve">in the Security Forces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491E31">
        <w:rPr>
          <w:rFonts w:ascii="Verdana" w:hAnsi="Verdana" w:cs="Arial"/>
          <w:sz w:val="18"/>
          <w:szCs w:val="18"/>
        </w:rPr>
        <w:t>0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and 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 w:rsidR="00287C5F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respectively,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1332F7" w:rsidRPr="001332F7">
        <w:rPr>
          <w:rFonts w:ascii="Verdana" w:hAnsi="Verdana" w:cs="Arial"/>
          <w:sz w:val="18"/>
          <w:szCs w:val="18"/>
        </w:rPr>
        <w:t>1</w:t>
      </w:r>
      <w:r w:rsidR="004255D3">
        <w:rPr>
          <w:rFonts w:ascii="Verdana" w:hAnsi="Verdana" w:cs="Arial"/>
          <w:sz w:val="18"/>
          <w:szCs w:val="18"/>
        </w:rPr>
        <w:t>,</w:t>
      </w:r>
      <w:r w:rsidR="001332F7" w:rsidRPr="001332F7">
        <w:rPr>
          <w:rFonts w:ascii="Verdana" w:hAnsi="Verdana" w:cs="Arial"/>
          <w:sz w:val="18"/>
          <w:szCs w:val="18"/>
        </w:rPr>
        <w:t>8</w:t>
      </w:r>
      <w:r w:rsidR="004255D3">
        <w:rPr>
          <w:rFonts w:ascii="Verdana" w:hAnsi="Verdana" w:cs="Arial"/>
          <w:sz w:val="18"/>
          <w:szCs w:val="18"/>
        </w:rPr>
        <w:t>%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704F3A93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March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tate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mplo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>yees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definite duration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85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50F53DE5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85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FEDC3A6" w14:textId="323543BE" w:rsidR="00685F6E" w:rsidRPr="00AA240E" w:rsidRDefault="00685F6E" w:rsidP="00685F6E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March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26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average total number of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tate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increased by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0,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35C106D" w14:textId="77777777" w:rsidR="004255D3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21970104" w:rsidR="004255D3" w:rsidRDefault="00DE7AC0" w:rsidP="00DE7AC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68E143CD" wp14:editId="6FBF867B">
            <wp:extent cx="6084570" cy="3724910"/>
            <wp:effectExtent l="0" t="0" r="0" b="8890"/>
            <wp:docPr id="14532387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DE7AC0" w:rsidRPr="00DE7AC0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DE7AC0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DE7AC0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DE7AC0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DE7AC0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DE7AC0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DE7AC0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DE7AC0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DE7AC0" w:rsidRPr="00DE7AC0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DE7AC0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DE7AC0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DE7AC0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DE7AC0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DE7AC0" w:rsidRPr="00DE7AC0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DE7AC0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36A25687" w:rsidR="00BA688A" w:rsidRPr="00DE7AC0" w:rsidRDefault="006A0305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</w:t>
            </w:r>
          </w:p>
          <w:p w14:paraId="09802DF1" w14:textId="1B4FD5E8" w:rsidR="00BA688A" w:rsidRPr="00DE7AC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1BD7CC0B" w:rsidR="00BA688A" w:rsidRPr="00DE7AC0" w:rsidRDefault="006A0305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</w:t>
            </w:r>
          </w:p>
          <w:p w14:paraId="156F3EEF" w14:textId="5ECD0D93" w:rsidR="00BA688A" w:rsidRPr="00DE7AC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DE7AC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6E72B3D8" w:rsidR="00BA688A" w:rsidRPr="00DE7AC0" w:rsidRDefault="006A0305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  <w:r w:rsidR="00BA688A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BA688A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/ </w:t>
            </w: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  <w:r w:rsidR="00BA688A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6CFD73BF" w:rsidR="00BA688A" w:rsidRPr="00DE7AC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6A0305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 Jan-</w:t>
            </w:r>
            <w:r w:rsidR="006A0305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DE7AC0" w:rsidRPr="00DE7AC0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2D433619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23.198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59428F37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23.013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7FE94B5E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184774E0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</w:tr>
      <w:tr w:rsidR="00DE7AC0" w:rsidRPr="00DE7AC0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39BD77BC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11.951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0C97EEA0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11.934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0C91552D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6A29CB73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DE7AC0" w:rsidRPr="00DE7AC0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1A85B90B" w:rsidR="006A0305" w:rsidRPr="00DE7AC0" w:rsidRDefault="006A0305" w:rsidP="006A0305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4.158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248EA496" w:rsidR="006A0305" w:rsidRPr="00DE7AC0" w:rsidRDefault="006A0305" w:rsidP="006A030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4.030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1351C3E0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5E8AE860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</w:tr>
      <w:tr w:rsidR="00DE7AC0" w:rsidRPr="00DE7AC0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5FCE8C55" w:rsidR="006A0305" w:rsidRPr="00DE7AC0" w:rsidRDefault="006A0305" w:rsidP="006A0305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1.430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6B22E44C" w:rsidR="006A0305" w:rsidRPr="00DE7AC0" w:rsidRDefault="006A0305" w:rsidP="006A030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1.437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0B95F937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2845EEF5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DE7AC0" w:rsidRPr="00DE7AC0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2968BB6D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5.659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2271B214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5.612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12056803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1FCA7462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</w:tr>
      <w:tr w:rsidR="00DE7AC0" w:rsidRPr="00DE7AC0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008CC214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18.295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592D278B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18.620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6CB433FE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7E99D2CF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1,9</w:t>
            </w:r>
          </w:p>
        </w:tc>
      </w:tr>
      <w:tr w:rsidR="00DE7AC0" w:rsidRPr="00DE7AC0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26F2DC3D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12.462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397463B5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12.446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4FDDF475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162F2E9C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DE7AC0" w:rsidRPr="00DE7AC0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64E49CF0" w:rsidR="006A0305" w:rsidRPr="00DE7AC0" w:rsidRDefault="006A0305" w:rsidP="006A0305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948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22A48BBA" w:rsidR="006A0305" w:rsidRPr="00DE7AC0" w:rsidRDefault="006A0305" w:rsidP="006A030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1.184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64BB4202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24,9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79A41172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DE7AC0" w:rsidRPr="00DE7AC0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3B89106D" w:rsidR="006A0305" w:rsidRPr="00DE7AC0" w:rsidRDefault="006A0305" w:rsidP="006A0305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4.745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2647FE15" w:rsidR="006A0305" w:rsidRPr="00DE7AC0" w:rsidRDefault="006A0305" w:rsidP="006A030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4.843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0209757E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04A9905E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</w:tr>
      <w:tr w:rsidR="00DE7AC0" w:rsidRPr="00DE7AC0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38A04459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140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57116813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14090DB2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705C68D4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DE7AC0" w:rsidRPr="00DE7AC0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28D57020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13.832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4275A5F6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13.734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03A891F8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65ED63C4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-0,2</w:t>
            </w:r>
          </w:p>
        </w:tc>
      </w:tr>
      <w:tr w:rsidR="00DE7AC0" w:rsidRPr="00DE7AC0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699BEAE2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8.464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0A60031E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8.520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452E5937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041BFD2C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DE7AC0" w:rsidRPr="00DE7AC0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7333B97D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4.346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521DB121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4.403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0CB3414C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56964EE9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DE7AC0" w:rsidRPr="00DE7AC0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3A895D6E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269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13CEBACF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38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6B7EAF0F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-85,9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2EC3044D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-85,9</w:t>
            </w:r>
          </w:p>
        </w:tc>
      </w:tr>
      <w:tr w:rsidR="00DE7AC0" w:rsidRPr="00DE7AC0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3ADE0580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753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118E4BB3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773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201EC70E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10ED46CA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DE7AC0" w:rsidRPr="00DE7AC0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6A0305" w:rsidRPr="00DE7AC0" w:rsidRDefault="006A0305" w:rsidP="006A0305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DE7AC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0F4E2CA9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55.325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2DA1E0F5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55.367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4DB12405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18AC49BD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DE7AC0" w:rsidRPr="00DE7AC0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1A40B5C8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32.877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40AB536F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32.900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01DD37E3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3AC4230E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DE7AC0" w:rsidRPr="00DE7AC0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34F3AB32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9.452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01F1EB7B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9.617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0C8B374C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33488374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DE7AC0" w:rsidRPr="00DE7AC0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7B117ECD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6.444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03B30941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6.318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136AFF93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1C5FB5E8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DE7AC0" w:rsidRPr="00DE7AC0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6A0305" w:rsidRPr="00DE7AC0" w:rsidRDefault="006A0305" w:rsidP="006A030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6A0305" w:rsidRPr="00DE7AC0" w:rsidRDefault="006A0305" w:rsidP="006A030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7AC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01346386" w:rsidR="006A0305" w:rsidRPr="00DE7AC0" w:rsidRDefault="006A0305" w:rsidP="006A0305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6.552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50880BD5" w:rsidR="006A0305" w:rsidRPr="00DE7AC0" w:rsidRDefault="006A0305" w:rsidP="006A030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6.532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6A0305" w:rsidRPr="00DE7AC0" w:rsidRDefault="006A0305" w:rsidP="006A030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0077DF28" w:rsidR="006A0305" w:rsidRPr="00DE7AC0" w:rsidRDefault="006A0305" w:rsidP="006A030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75D121B9" w:rsidR="006A0305" w:rsidRPr="00DE7AC0" w:rsidRDefault="006A0305" w:rsidP="006A0305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7AC0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721A2753" w14:textId="77777777" w:rsidR="00533E90" w:rsidRDefault="00533E90" w:rsidP="00121FD9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15069B3" w14:textId="586D3F16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7EF28EA0" w:rsidR="00766260" w:rsidRDefault="006A0305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State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 w:rsidR="00766260">
        <w:rPr>
          <w:rFonts w:ascii="Verdana" w:eastAsia="Malgun Gothic" w:hAnsi="Verdana" w:cs="Arial"/>
          <w:sz w:val="18"/>
          <w:szCs w:val="18"/>
        </w:rPr>
        <w:t>mploy</w:t>
      </w:r>
      <w:r w:rsidR="00A24578">
        <w:rPr>
          <w:rFonts w:ascii="Verdana" w:eastAsia="Malgun Gothic" w:hAnsi="Verdana" w:cs="Arial"/>
          <w:sz w:val="18"/>
          <w:szCs w:val="18"/>
        </w:rPr>
        <w:t>ees</w:t>
      </w:r>
      <w:r w:rsidR="00766260">
        <w:rPr>
          <w:rFonts w:ascii="Verdana" w:eastAsia="Malgun Gothic" w:hAnsi="Verdana" w:cs="Arial"/>
          <w:sz w:val="18"/>
          <w:szCs w:val="18"/>
        </w:rPr>
        <w:t xml:space="preserve">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 w:rsidR="00766260"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 w:rsidR="00766260"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>
        <w:rPr>
          <w:rFonts w:ascii="Verdana" w:eastAsia="Malgun Gothic" w:hAnsi="Verdana" w:cs="Arial"/>
          <w:sz w:val="18"/>
          <w:szCs w:val="18"/>
        </w:rPr>
        <w:t xml:space="preserve">of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 w:rsidR="00766260">
        <w:rPr>
          <w:rFonts w:ascii="Verdana" w:eastAsia="Malgun Gothic" w:hAnsi="Verdana" w:cs="Arial"/>
          <w:sz w:val="18"/>
          <w:szCs w:val="18"/>
        </w:rPr>
        <w:t xml:space="preserve"> Cyprus</w:t>
      </w:r>
      <w:r w:rsidR="00766260" w:rsidRPr="008E302A">
        <w:rPr>
          <w:rFonts w:ascii="Verdana" w:eastAsia="Malgun Gothic" w:hAnsi="Verdana" w:cs="Arial"/>
          <w:sz w:val="18"/>
          <w:szCs w:val="18"/>
        </w:rPr>
        <w:t>.</w:t>
      </w:r>
      <w:r w:rsidR="00766260"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 w:rsidR="00766260">
        <w:rPr>
          <w:rFonts w:ascii="Verdana" w:eastAsia="Malgun Gothic" w:hAnsi="Verdana" w:cs="Arial"/>
          <w:sz w:val="18"/>
          <w:szCs w:val="18"/>
        </w:rPr>
        <w:t xml:space="preserve"> staff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1EAE13" w14:textId="77777777" w:rsidR="00121FD9" w:rsidRPr="008E302A" w:rsidRDefault="00121FD9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2478E906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</w:t>
      </w:r>
      <w:r w:rsidR="006A0305">
        <w:rPr>
          <w:rFonts w:ascii="Verdana" w:eastAsia="Malgun Gothic" w:hAnsi="Verdana" w:cs="Arial"/>
          <w:sz w:val="18"/>
          <w:szCs w:val="18"/>
        </w:rPr>
        <w:t>State</w:t>
      </w:r>
      <w:r w:rsidRPr="001D6A31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>
        <w:rPr>
          <w:rFonts w:ascii="Verdana" w:eastAsia="Malgun Gothic" w:hAnsi="Verdana" w:cs="Arial"/>
          <w:sz w:val="18"/>
          <w:szCs w:val="18"/>
        </w:rPr>
        <w:t>mplo</w:t>
      </w:r>
      <w:r w:rsidR="00A24578">
        <w:rPr>
          <w:rFonts w:ascii="Verdana" w:eastAsia="Malgun Gothic" w:hAnsi="Verdana" w:cs="Arial"/>
          <w:sz w:val="18"/>
          <w:szCs w:val="18"/>
        </w:rPr>
        <w:t>yees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C444EB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C9356D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A932065" w14:textId="21531B07" w:rsidR="00A24578" w:rsidRPr="00DE7AC0" w:rsidRDefault="00C95057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294EB3C3" w14:textId="77777777" w:rsidR="00A24578" w:rsidRPr="0017756A" w:rsidRDefault="00A24578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29D461C" w14:textId="69570BB9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A24578">
        <w:rPr>
          <w:rFonts w:ascii="Verdana" w:eastAsia="Malgun Gothic" w:hAnsi="Verdana" w:cs="Arial"/>
          <w:sz w:val="18"/>
          <w:szCs w:val="18"/>
        </w:rPr>
        <w:t xml:space="preserve">As of March 2026,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Government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has been replaced by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State Employees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for greater accuracy. The methodology and the comparability of the data over time are not affected</w:t>
      </w:r>
      <w:r>
        <w:rPr>
          <w:rFonts w:ascii="Verdana" w:eastAsia="Malgun Gothic" w:hAnsi="Verdana" w:cs="Arial"/>
          <w:sz w:val="18"/>
          <w:szCs w:val="18"/>
        </w:rPr>
        <w:t>.</w:t>
      </w:r>
    </w:p>
    <w:p w14:paraId="2EF1A70E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6BD0B37E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0D032BC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 xml:space="preserve">Maria </w:t>
      </w:r>
      <w:proofErr w:type="spellStart"/>
      <w:r w:rsidRPr="001417BA">
        <w:rPr>
          <w:rFonts w:ascii="Verdana" w:eastAsia="Malgun Gothic" w:hAnsi="Verdana" w:cs="Arial"/>
          <w:sz w:val="18"/>
          <w:szCs w:val="18"/>
        </w:rPr>
        <w:t>Kkoushi</w:t>
      </w:r>
      <w:proofErr w:type="spellEnd"/>
      <w:r w:rsidRPr="001417BA">
        <w:rPr>
          <w:rFonts w:ascii="Verdana" w:eastAsia="Malgun Gothic" w:hAnsi="Verdana" w:cs="Arial"/>
          <w:sz w:val="18"/>
          <w:szCs w:val="18"/>
        </w:rPr>
        <w:t>: Tel: +357-2</w:t>
      </w:r>
      <w:r w:rsidR="00A24578">
        <w:rPr>
          <w:rFonts w:ascii="Verdana" w:eastAsia="Malgun Gothic" w:hAnsi="Verdana" w:cs="Arial"/>
          <w:sz w:val="18"/>
          <w:szCs w:val="18"/>
        </w:rPr>
        <w:t>4205857</w:t>
      </w:r>
      <w:r w:rsidRPr="001417BA">
        <w:rPr>
          <w:rFonts w:ascii="Verdana" w:eastAsia="Malgun Gothic" w:hAnsi="Verdana" w:cs="Arial"/>
          <w:sz w:val="18"/>
          <w:szCs w:val="18"/>
        </w:rPr>
        <w:t xml:space="preserve">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45DD" w14:textId="77777777" w:rsidR="00BC6E4C" w:rsidRDefault="00BC6E4C" w:rsidP="00FB398F">
      <w:r>
        <w:separator/>
      </w:r>
    </w:p>
  </w:endnote>
  <w:endnote w:type="continuationSeparator" w:id="0">
    <w:p w14:paraId="6CE95760" w14:textId="77777777" w:rsidR="00BC6E4C" w:rsidRDefault="00BC6E4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9CA5" w14:textId="77777777" w:rsidR="00BC6E4C" w:rsidRDefault="00BC6E4C" w:rsidP="00FB398F">
      <w:r>
        <w:separator/>
      </w:r>
    </w:p>
  </w:footnote>
  <w:footnote w:type="continuationSeparator" w:id="0">
    <w:p w14:paraId="71014EF3" w14:textId="77777777" w:rsidR="00BC6E4C" w:rsidRDefault="00BC6E4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2F25BDB3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STATISTICAL SERVICE 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2F25BDB3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STATISTICAL SERVICE 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30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2F7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503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0789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57C4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C53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23DA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297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1363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3E90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1843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404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5F6E"/>
    <w:rsid w:val="0069008E"/>
    <w:rsid w:val="0069087E"/>
    <w:rsid w:val="00691191"/>
    <w:rsid w:val="006925C4"/>
    <w:rsid w:val="0069309C"/>
    <w:rsid w:val="006A02B7"/>
    <w:rsid w:val="006A0305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2F47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7F4B37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022A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1E72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0B07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5194"/>
    <w:rsid w:val="00A16134"/>
    <w:rsid w:val="00A239F2"/>
    <w:rsid w:val="00A24578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6E4C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4FE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5057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26D6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AC0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5C5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3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29</cp:revision>
  <cp:lastPrinted>2025-08-04T11:08:00Z</cp:lastPrinted>
  <dcterms:created xsi:type="dcterms:W3CDTF">2025-09-10T06:26:00Z</dcterms:created>
  <dcterms:modified xsi:type="dcterms:W3CDTF">2026-04-14T08:38:00Z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