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26E73EF4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4C6DAC" w:rsidRPr="00B421DD">
        <w:rPr>
          <w:rFonts w:ascii="Verdana" w:hAnsi="Verdana" w:cs="Arial"/>
          <w:sz w:val="18"/>
          <w:szCs w:val="18"/>
          <w:lang w:val="el-GR"/>
        </w:rPr>
        <w:t>1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4C6DAC">
        <w:rPr>
          <w:rFonts w:ascii="Verdana" w:hAnsi="Verdana" w:cs="Arial"/>
          <w:sz w:val="18"/>
          <w:szCs w:val="18"/>
          <w:lang w:val="el-GR"/>
        </w:rPr>
        <w:t>Ιουνίου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5E5E2B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2A0AC63D" w:rsidR="00833DCE" w:rsidRPr="005B206A" w:rsidRDefault="00B16B8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</w:rPr>
        <w:t>ΚΡΑΤΙΚΟΙ ΥΠΑΛΛΗΛΟΙ</w:t>
      </w:r>
      <w:r w:rsidR="00833DCE" w:rsidRPr="00BA679D">
        <w:rPr>
          <w:rFonts w:ascii="Verdana" w:eastAsia="Malgun Gothic" w:hAnsi="Verdana" w:cs="Arial"/>
          <w:b w:val="0"/>
          <w:szCs w:val="22"/>
        </w:rPr>
        <w:t xml:space="preserve"> </w:t>
      </w:r>
      <w:r w:rsidR="00846D07">
        <w:rPr>
          <w:rFonts w:ascii="Verdana" w:eastAsia="Malgun Gothic" w:hAnsi="Verdana" w:cs="Arial"/>
          <w:b w:val="0"/>
          <w:szCs w:val="22"/>
        </w:rPr>
        <w:t>ΚΑΤΑ</w:t>
      </w:r>
      <w:r w:rsidR="00833DCE" w:rsidRPr="00BA679D">
        <w:rPr>
          <w:rFonts w:ascii="Verdana" w:eastAsia="Malgun Gothic" w:hAnsi="Verdana" w:cs="Arial"/>
          <w:b w:val="0"/>
          <w:szCs w:val="22"/>
        </w:rPr>
        <w:t xml:space="preserve">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4C6DAC">
        <w:rPr>
          <w:rFonts w:ascii="Verdana" w:eastAsia="Malgun Gothic" w:hAnsi="Verdana" w:cs="Arial"/>
          <w:szCs w:val="22"/>
        </w:rPr>
        <w:t>ΜΑΪ</w:t>
      </w:r>
      <w:r w:rsidR="00846D07">
        <w:rPr>
          <w:rFonts w:ascii="Verdana" w:eastAsia="Malgun Gothic" w:hAnsi="Verdana" w:cs="Arial"/>
          <w:szCs w:val="22"/>
        </w:rPr>
        <w:t xml:space="preserve">ΟΣ </w:t>
      </w:r>
      <w:r w:rsidR="00833DCE">
        <w:rPr>
          <w:rFonts w:ascii="Verdana" w:eastAsia="Malgun Gothic" w:hAnsi="Verdana" w:cs="Arial"/>
          <w:szCs w:val="22"/>
        </w:rPr>
        <w:t>202</w:t>
      </w:r>
      <w:r w:rsidR="00846D07">
        <w:rPr>
          <w:rFonts w:ascii="Verdana" w:eastAsia="Malgun Gothic" w:hAnsi="Verdana" w:cs="Arial"/>
          <w:szCs w:val="22"/>
        </w:rPr>
        <w:t>6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0C7B73C1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55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4C6DAC">
        <w:rPr>
          <w:rFonts w:ascii="Verdana" w:eastAsia="Malgun Gothic" w:hAnsi="Verdana" w:cs="Arial"/>
          <w:b/>
          <w:color w:val="000000" w:themeColor="text1"/>
          <w:lang w:val="el-GR"/>
        </w:rPr>
        <w:t>382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486C7FC0" w:rsidR="00080FFE" w:rsidRDefault="00B16B8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Οι Κρατικοί Υπάλληλοι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τον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Μάιο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στα 5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382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77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μειώθηκε κατά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%, 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ενώ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στις Δυνάμεις Ασφαλείας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0,6%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11302F7E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</w:t>
      </w:r>
      <w:r w:rsidR="00B16B8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ων Κρατικών Υπαλλήλων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υς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Εργαζόμενους Αορίστου Χρόνου (ΕΑΧ)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σε σύγκριση με τον 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Μάιο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οναδική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μείωση (-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στους Εργαζόμενους Ορισμένου Χρόνου</w:t>
      </w:r>
      <w:r w:rsidR="0019255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(ΕΟΧ)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397EA571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bookmarkEnd w:id="0"/>
    <w:p w14:paraId="40BD7949" w14:textId="51D31D42" w:rsidR="0096126C" w:rsidRPr="0054335B" w:rsidRDefault="0096126C" w:rsidP="0096126C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Για την περίοδο Ιανουαρίου –</w:t>
      </w:r>
      <w:r w:rsidRPr="0096126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4C6DA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Μαΐου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 μέσος όρος </w:t>
      </w:r>
      <w:r w:rsidR="00B16B8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Κρατικών Υπαλλήλων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 κατά 0,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C5AD" w14:textId="77777777" w:rsidR="00BD3048" w:rsidRPr="00B83444" w:rsidRDefault="00BD3048" w:rsidP="00BD3048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75A0F3C4" w:rsidR="007F2051" w:rsidRDefault="005B206A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0CD5D26C" wp14:editId="190F28E7">
            <wp:extent cx="6078220" cy="3719195"/>
            <wp:effectExtent l="0" t="0" r="0" b="0"/>
            <wp:docPr id="3323961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62F1E" w14:textId="485E03D8" w:rsidR="00080FFE" w:rsidRPr="00B16B8E" w:rsidRDefault="00080FFE" w:rsidP="00665049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CD6FA0" w:rsidRPr="00CD6FA0" w14:paraId="0AD09E20" w14:textId="488D7B04" w:rsidTr="00580DD4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CD6FA0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CD6FA0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CD6FA0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CD6FA0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CD6FA0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CD6FA0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CD6FA0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CD6FA0" w:rsidRPr="00CD6FA0" w14:paraId="575BCA22" w14:textId="1F307A91" w:rsidTr="00580DD4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vAlign w:val="center"/>
          </w:tcPr>
          <w:p w14:paraId="114554BE" w14:textId="26917732" w:rsidR="00580DD4" w:rsidRPr="00CD6FA0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CD6FA0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CD6FA0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CD6FA0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CD6FA0" w:rsidRPr="00CD6FA0" w14:paraId="4A84001A" w14:textId="606C2571" w:rsidTr="00580DD4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CD6FA0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4B35A442" w:rsidR="00580DD4" w:rsidRPr="00CD6FA0" w:rsidRDefault="000D5B08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</w:p>
          <w:p w14:paraId="68E8EAC9" w14:textId="54229365" w:rsidR="00580DD4" w:rsidRPr="00CD6FA0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79627155" w:rsidR="00580DD4" w:rsidRPr="00CD6FA0" w:rsidRDefault="000D5B08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</w:p>
          <w:p w14:paraId="52A9A089" w14:textId="258CDE68" w:rsidR="00580DD4" w:rsidRPr="00CD6FA0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CD6FA0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CD6FA0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48C3F898" w:rsidR="00580DD4" w:rsidRPr="00CD6FA0" w:rsidRDefault="000D5B08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  <w:r w:rsidR="00580DD4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="00580DD4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7F012ACC" w14:textId="6AC35D7E" w:rsidR="00580DD4" w:rsidRPr="00CD6FA0" w:rsidRDefault="000D5B08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  <w:r w:rsidR="00580DD4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  <w:p w14:paraId="4AECE9B0" w14:textId="08CCD4D9" w:rsidR="00580DD4" w:rsidRPr="00CD6FA0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78AABAD0" w:rsidR="00580DD4" w:rsidRPr="00CD6FA0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</w:t>
            </w:r>
            <w:r w:rsidR="00665049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-</w:t>
            </w: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0D5B08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  <w:r w:rsidR="005E5E2B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6D2F5E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2FE546C7" w14:textId="7274DCA3" w:rsidR="00580DD4" w:rsidRPr="00CD6FA0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-</w:t>
            </w:r>
            <w:r w:rsidR="009B11FA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0D5B08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6D2F5E"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CD6FA0" w:rsidRPr="00CD6FA0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74BA61FA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23.407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1A2B0E7B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23.136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12E2E047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5D3CE0E4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</w:tr>
      <w:tr w:rsidR="00CD6FA0" w:rsidRPr="00CD6FA0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5B8F6EB2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11.955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30C017AA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11.896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3F969C69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32E60BD4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</w:tr>
      <w:tr w:rsidR="00CD6FA0" w:rsidRPr="00CD6FA0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66661553" w:rsidR="002F5BCC" w:rsidRPr="00CD6FA0" w:rsidRDefault="002F5BCC" w:rsidP="002F5BCC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4.135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267D7A4E" w:rsidR="002F5BCC" w:rsidRPr="00CD6FA0" w:rsidRDefault="002F5BCC" w:rsidP="002F5BCC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4.016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17505D61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-2,9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039D5BD5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-3,0</w:t>
            </w:r>
          </w:p>
        </w:tc>
      </w:tr>
      <w:tr w:rsidR="00CD6FA0" w:rsidRPr="00CD6FA0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759B23D9" w:rsidR="002F5BCC" w:rsidRPr="00CD6FA0" w:rsidRDefault="002F5BCC" w:rsidP="002F5BCC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1.472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3968321A" w:rsidR="002F5BCC" w:rsidRPr="00CD6FA0" w:rsidRDefault="002F5BCC" w:rsidP="002F5BCC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1.459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7EC9A7CC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76240439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</w:tr>
      <w:tr w:rsidR="00CD6FA0" w:rsidRPr="00CD6FA0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3AC1C15F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5.845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26B8CB06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5.765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76C044BC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-1,4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7FBB0C58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-1,1</w:t>
            </w:r>
          </w:p>
        </w:tc>
      </w:tr>
      <w:tr w:rsidR="00CD6FA0" w:rsidRPr="00CD6FA0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40079C94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18.189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73B67FD6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18.450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2E664F2D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3ED6FFBA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</w:tr>
      <w:tr w:rsidR="00CD6FA0" w:rsidRPr="00CD6FA0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02ACF375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12.457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0835C7F5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12.420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5410751A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6296F6DE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  <w:tr w:rsidR="00CD6FA0" w:rsidRPr="00CD6FA0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70018C37" w:rsidR="002F5BCC" w:rsidRPr="00CD6FA0" w:rsidRDefault="002F5BCC" w:rsidP="002F5BCC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946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22A38E0C" w:rsidR="002F5BCC" w:rsidRPr="00CD6FA0" w:rsidRDefault="002F5BCC" w:rsidP="002F5BCC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1.180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397C78F4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24,7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6071A23E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</w:tr>
      <w:tr w:rsidR="00CD6FA0" w:rsidRPr="00CD6FA0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7D90C19F" w:rsidR="002F5BCC" w:rsidRPr="00CD6FA0" w:rsidRDefault="002F5BCC" w:rsidP="002F5BCC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4.649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6392FF45" w:rsidR="002F5BCC" w:rsidRPr="00CD6FA0" w:rsidRDefault="002F5BCC" w:rsidP="002F5BCC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4.702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3A6F2381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487E0ACA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</w:tr>
      <w:tr w:rsidR="00CD6FA0" w:rsidRPr="00CD6FA0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597D5C0C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137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11BFD08E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148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4DFC6187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4B88CCF0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CD6FA0" w:rsidRPr="00CD6FA0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3DC55722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13.709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31F6E1E6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13.796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3E383BAB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11750FEE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0,0</w:t>
            </w:r>
          </w:p>
        </w:tc>
      </w:tr>
      <w:tr w:rsidR="00CD6FA0" w:rsidRPr="00CD6FA0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5FCD2449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8.412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0207251B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8.561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7C02338E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1525A8C1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CD6FA0" w:rsidRPr="00CD6FA0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6748BD1D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4.273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4CDEBE60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4.353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67CE0E02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763C11E1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1,2</w:t>
            </w:r>
          </w:p>
        </w:tc>
      </w:tr>
      <w:tr w:rsidR="00CD6FA0" w:rsidRPr="00CD6FA0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0C5DCC55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266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61C3A18B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44D65CA5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-89,8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7F2ADE53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-86,8</w:t>
            </w:r>
          </w:p>
        </w:tc>
      </w:tr>
      <w:tr w:rsidR="00CD6FA0" w:rsidRPr="00CD6FA0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455B5705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758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3E40BF6A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855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57D491D8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4480FC9B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</w:tr>
      <w:tr w:rsidR="00CD6FA0" w:rsidRPr="00CD6FA0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CD6FA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  <w:proofErr w:type="spellEnd"/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6659F5DD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55.305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64E80F4E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55.382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57979913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1CDABA7C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CD6FA0" w:rsidRPr="00CD6FA0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57BA6242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32.824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6CA6792A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32.877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03085AAF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70EE8C91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</w:tr>
      <w:tr w:rsidR="00CD6FA0" w:rsidRPr="00CD6FA0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484A6346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9.354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73BE2174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9.549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5A694EFC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6F5E341F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CD6FA0" w:rsidRPr="00CD6FA0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50FC16B0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6.387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6A4499D9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6.188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582F8E40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132F6343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-1,8</w:t>
            </w:r>
          </w:p>
        </w:tc>
      </w:tr>
      <w:tr w:rsidR="00CD6FA0" w:rsidRPr="00CD6FA0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2F5BCC" w:rsidRPr="00CD6FA0" w:rsidRDefault="002F5BCC" w:rsidP="002F5BC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2F5BCC" w:rsidRPr="00CD6FA0" w:rsidRDefault="002F5BCC" w:rsidP="002F5BC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6FA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7352948C" w:rsidR="002F5BCC" w:rsidRPr="00CD6FA0" w:rsidRDefault="002F5BCC" w:rsidP="002F5BCC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6.740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71CC0EA9" w:rsidR="002F5BCC" w:rsidRPr="00CD6FA0" w:rsidRDefault="002F5BCC" w:rsidP="002F5BC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6.768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3D01D980" w:rsidR="002F5BCC" w:rsidRPr="00CD6FA0" w:rsidRDefault="002F5BCC" w:rsidP="002F5BC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633031C8" w:rsidR="002F5BCC" w:rsidRPr="00CD6FA0" w:rsidRDefault="002F5BCC" w:rsidP="002F5BC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D6FA0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</w:tr>
    </w:tbl>
    <w:p w14:paraId="4ECF03A6" w14:textId="0DED5E97" w:rsidR="00FE0BAF" w:rsidRPr="005B206A" w:rsidRDefault="00FE0BAF" w:rsidP="005B206A">
      <w:pPr>
        <w:ind w:right="144"/>
        <w:jc w:val="both"/>
        <w:rPr>
          <w:rFonts w:ascii="Verdana" w:eastAsia="Malgun Gothic" w:hAnsi="Verdana" w:cs="Arial"/>
          <w:color w:val="365F91"/>
          <w:sz w:val="18"/>
          <w:szCs w:val="18"/>
          <w:lang w:val="el-GR"/>
        </w:rPr>
      </w:pPr>
      <w:bookmarkStart w:id="1" w:name="_Hlk158968486"/>
    </w:p>
    <w:p w14:paraId="2467A027" w14:textId="77777777" w:rsidR="00CE71A1" w:rsidRPr="005B206A" w:rsidRDefault="00CE71A1" w:rsidP="005B206A">
      <w:pPr>
        <w:jc w:val="both"/>
        <w:rPr>
          <w:rFonts w:ascii="Verdana" w:hAnsi="Verdana" w:cs="Arial"/>
          <w:sz w:val="18"/>
          <w:szCs w:val="18"/>
        </w:rPr>
      </w:pPr>
    </w:p>
    <w:p w14:paraId="2E7C59FA" w14:textId="77777777" w:rsidR="00665049" w:rsidRPr="005B206A" w:rsidRDefault="00665049" w:rsidP="005B206A">
      <w:pPr>
        <w:jc w:val="both"/>
        <w:rPr>
          <w:rFonts w:ascii="Verdana" w:hAnsi="Verdana" w:cs="Arial"/>
          <w:sz w:val="18"/>
          <w:szCs w:val="18"/>
        </w:rPr>
      </w:pPr>
    </w:p>
    <w:p w14:paraId="5AF76D8E" w14:textId="77777777" w:rsidR="00CE71A1" w:rsidRPr="005B206A" w:rsidRDefault="00CE71A1" w:rsidP="005B206A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5B206A" w:rsidRDefault="00A04A9C" w:rsidP="005B2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5B206A" w:rsidRDefault="00640D96" w:rsidP="005B206A">
      <w:pPr>
        <w:jc w:val="both"/>
        <w:rPr>
          <w:rFonts w:ascii="Verdana" w:hAnsi="Verdana" w:cs="Arial"/>
          <w:sz w:val="18"/>
          <w:szCs w:val="18"/>
        </w:rPr>
      </w:pPr>
      <w:r w:rsidRPr="005B206A"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68C920E1" w14:textId="77777777" w:rsidR="00C60AA3" w:rsidRPr="005B206A" w:rsidRDefault="00C60AA3" w:rsidP="005B206A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5DEA810" w14:textId="33B60420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E23599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42E9D810" w:rsidR="00833DCE" w:rsidRPr="009D7759" w:rsidRDefault="00B16B8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Στους Κρατικούς Υπάλληλους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 περιλαμβάνον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="00833DCE"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="00833DCE"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="00833DCE"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 xml:space="preserve">Και στις τρεις κατηγορίες οι υπάλληλοι διαχωρίζονται σε μόνιμους, </w:t>
      </w:r>
      <w:proofErr w:type="spellStart"/>
      <w:r w:rsidR="009D7759">
        <w:rPr>
          <w:rFonts w:ascii="Verdana" w:eastAsia="Malgun Gothic" w:hAnsi="Verdana" w:cs="Arial"/>
          <w:sz w:val="18"/>
          <w:szCs w:val="18"/>
          <w:lang w:val="el-GR"/>
        </w:rPr>
        <w:t>εργοδοτούμενους</w:t>
      </w:r>
      <w:proofErr w:type="spellEnd"/>
      <w:r w:rsidR="009D7759">
        <w:rPr>
          <w:rFonts w:ascii="Verdana" w:eastAsia="Malgun Gothic" w:hAnsi="Verdana" w:cs="Arial"/>
          <w:sz w:val="18"/>
          <w:szCs w:val="18"/>
          <w:lang w:val="el-GR"/>
        </w:rPr>
        <w:t xml:space="preserve">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32AFD111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387C4465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</w:t>
      </w:r>
      <w:r w:rsidR="00B16B8E">
        <w:rPr>
          <w:rFonts w:ascii="Verdana" w:eastAsia="Malgun Gothic" w:hAnsi="Verdana" w:cs="Arial"/>
          <w:sz w:val="18"/>
          <w:szCs w:val="18"/>
          <w:lang w:val="el-GR"/>
        </w:rPr>
        <w:t>τους Κρατικούς Υπαλλήλους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142E9" w14:textId="61C92532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proofErr w:type="spellStart"/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  <w:proofErr w:type="spellEnd"/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</w:t>
      </w:r>
      <w:proofErr w:type="spellStart"/>
      <w:r w:rsidRPr="00C732B0">
        <w:rPr>
          <w:rFonts w:ascii="Verdana" w:hAnsi="Verdana" w:cs="Arial"/>
          <w:sz w:val="18"/>
          <w:szCs w:val="18"/>
          <w:lang w:val="el-GR"/>
        </w:rPr>
        <w:t>εργοδοτούμενους</w:t>
      </w:r>
      <w:proofErr w:type="spellEnd"/>
      <w:r w:rsidRPr="00C732B0">
        <w:rPr>
          <w:rFonts w:ascii="Verdana" w:hAnsi="Verdana" w:cs="Arial"/>
          <w:sz w:val="18"/>
          <w:szCs w:val="18"/>
          <w:lang w:val="el-GR"/>
        </w:rPr>
        <w:t xml:space="preserve"> αορίστου χρόνου (ΕΑΧ), </w:t>
      </w:r>
      <w:proofErr w:type="spellStart"/>
      <w:r w:rsidRPr="00C732B0">
        <w:rPr>
          <w:rFonts w:ascii="Verdana" w:hAnsi="Verdana" w:cs="Arial"/>
          <w:sz w:val="18"/>
          <w:szCs w:val="18"/>
          <w:lang w:val="el-GR"/>
        </w:rPr>
        <w:t>εργοδοτούμενους</w:t>
      </w:r>
      <w:proofErr w:type="spellEnd"/>
      <w:r w:rsidRPr="00C732B0">
        <w:rPr>
          <w:rFonts w:ascii="Verdana" w:hAnsi="Verdana" w:cs="Arial"/>
          <w:sz w:val="18"/>
          <w:szCs w:val="18"/>
          <w:lang w:val="el-GR"/>
        </w:rPr>
        <w:t xml:space="preserve">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 xml:space="preserve">Συνεπώς, υπάρχει διακοπή στη </w:t>
      </w:r>
      <w:proofErr w:type="spellStart"/>
      <w:r w:rsidRPr="00C732B0">
        <w:rPr>
          <w:rFonts w:ascii="Verdana" w:hAnsi="Verdana" w:cs="Arial"/>
          <w:sz w:val="18"/>
          <w:szCs w:val="18"/>
          <w:lang w:val="el-GR"/>
        </w:rPr>
        <w:t>χρονοσειρά</w:t>
      </w:r>
      <w:bookmarkEnd w:id="2"/>
      <w:proofErr w:type="spellEnd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2823BF72" w14:textId="77777777" w:rsidR="00B16B8E" w:rsidRDefault="00B16B8E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210CD0" w14:textId="7750B843" w:rsidR="00B16B8E" w:rsidRPr="00A618CF" w:rsidRDefault="001503DB" w:rsidP="00B16B8E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</w:t>
      </w:r>
      <w:r w:rsidR="00B7371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ισμοί</w:t>
      </w:r>
    </w:p>
    <w:p w14:paraId="0FF58A3E" w14:textId="77777777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D4B32E4" w14:textId="7FD7DAB8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16B8E">
        <w:rPr>
          <w:rFonts w:ascii="Verdana" w:eastAsia="Malgun Gothic" w:hAnsi="Verdana" w:cs="Arial"/>
          <w:sz w:val="18"/>
          <w:szCs w:val="18"/>
          <w:lang w:val="el-GR"/>
        </w:rPr>
        <w:t>Από τον Μάρτιο του 2026, ο όρος «Κυβέρνηση» έχει αντικατασταθεί με τον όρο «Κρατικοί Υπάλληλοι», για</w:t>
      </w:r>
      <w:r w:rsidR="00B7371C">
        <w:rPr>
          <w:rFonts w:ascii="Verdana" w:eastAsia="Malgun Gothic" w:hAnsi="Verdana" w:cs="Arial"/>
          <w:sz w:val="18"/>
          <w:szCs w:val="18"/>
          <w:lang w:val="el-GR"/>
        </w:rPr>
        <w:t xml:space="preserve"> λόγους</w:t>
      </w:r>
      <w:r w:rsidRPr="00B16B8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μεγαλύτερης ακρίβειας. Η μεθοδολογία και η διαχρονική </w:t>
      </w:r>
      <w:proofErr w:type="spellStart"/>
      <w:r w:rsidRPr="00B16B8E">
        <w:rPr>
          <w:rFonts w:ascii="Verdana" w:eastAsia="Malgun Gothic" w:hAnsi="Verdana" w:cs="Arial"/>
          <w:sz w:val="18"/>
          <w:szCs w:val="18"/>
          <w:lang w:val="el-GR"/>
        </w:rPr>
        <w:t>συγκρισιμότητα</w:t>
      </w:r>
      <w:proofErr w:type="spellEnd"/>
      <w:r w:rsidRPr="00B16B8E">
        <w:rPr>
          <w:rFonts w:ascii="Verdana" w:eastAsia="Malgun Gothic" w:hAnsi="Verdana" w:cs="Arial"/>
          <w:sz w:val="18"/>
          <w:szCs w:val="18"/>
          <w:lang w:val="el-GR"/>
        </w:rPr>
        <w:t xml:space="preserve"> των στοιχείων δεν επηρεάζονται.</w:t>
      </w:r>
    </w:p>
    <w:p w14:paraId="1D8DAA35" w14:textId="77777777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76332C72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4A570E7D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Μαρία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Κκουσιή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: Τηλ:+357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16B8E">
        <w:rPr>
          <w:rFonts w:ascii="Verdana" w:eastAsia="Malgun Gothic" w:hAnsi="Verdana" w:cs="Arial"/>
          <w:sz w:val="18"/>
          <w:szCs w:val="18"/>
          <w:lang w:val="el-GR"/>
        </w:rPr>
        <w:t>4205857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, Ηλ. Ταχ.: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Pr="00BF3B3F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966A" w14:textId="77777777" w:rsidR="00D52E04" w:rsidRDefault="00D52E04" w:rsidP="00FB398F">
      <w:r>
        <w:separator/>
      </w:r>
    </w:p>
  </w:endnote>
  <w:endnote w:type="continuationSeparator" w:id="0">
    <w:p w14:paraId="748AE4F0" w14:textId="77777777" w:rsidR="00D52E04" w:rsidRDefault="00D52E0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Καραολή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>Ηλ.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29E7" w14:textId="77777777" w:rsidR="00D52E04" w:rsidRDefault="00D52E04" w:rsidP="00FB398F">
      <w:r>
        <w:separator/>
      </w:r>
    </w:p>
  </w:footnote>
  <w:footnote w:type="continuationSeparator" w:id="0">
    <w:p w14:paraId="2B72D08E" w14:textId="77777777" w:rsidR="00D52E04" w:rsidRDefault="00D52E0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5B08"/>
    <w:rsid w:val="000D779C"/>
    <w:rsid w:val="000E24B1"/>
    <w:rsid w:val="000E2735"/>
    <w:rsid w:val="000E304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17405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03DB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35"/>
    <w:rsid w:val="001712CF"/>
    <w:rsid w:val="00171462"/>
    <w:rsid w:val="001726D4"/>
    <w:rsid w:val="0017769A"/>
    <w:rsid w:val="00180CAC"/>
    <w:rsid w:val="00181417"/>
    <w:rsid w:val="00182968"/>
    <w:rsid w:val="00183DFC"/>
    <w:rsid w:val="00184384"/>
    <w:rsid w:val="00186717"/>
    <w:rsid w:val="00187FFC"/>
    <w:rsid w:val="0019255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07455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078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5BCC"/>
    <w:rsid w:val="002F6D26"/>
    <w:rsid w:val="0030231E"/>
    <w:rsid w:val="003042C4"/>
    <w:rsid w:val="00304CB4"/>
    <w:rsid w:val="00305F63"/>
    <w:rsid w:val="00313C53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27B5E"/>
    <w:rsid w:val="003342A5"/>
    <w:rsid w:val="00334616"/>
    <w:rsid w:val="00336C36"/>
    <w:rsid w:val="00337354"/>
    <w:rsid w:val="0034139D"/>
    <w:rsid w:val="00343815"/>
    <w:rsid w:val="00343B4A"/>
    <w:rsid w:val="003522BB"/>
    <w:rsid w:val="003525D4"/>
    <w:rsid w:val="00352F6C"/>
    <w:rsid w:val="003556EA"/>
    <w:rsid w:val="00356971"/>
    <w:rsid w:val="0036007A"/>
    <w:rsid w:val="00365251"/>
    <w:rsid w:val="00366D69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4297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96C23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C6DAC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48A4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445FA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FBC"/>
    <w:rsid w:val="005B206A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E5E2B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5049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2F5E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1243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B21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273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6D07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18BF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0EAB"/>
    <w:rsid w:val="00922C1F"/>
    <w:rsid w:val="009303EA"/>
    <w:rsid w:val="00930754"/>
    <w:rsid w:val="009307E7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880"/>
    <w:rsid w:val="00951C36"/>
    <w:rsid w:val="00954EE6"/>
    <w:rsid w:val="009575A3"/>
    <w:rsid w:val="00960C19"/>
    <w:rsid w:val="00960E98"/>
    <w:rsid w:val="0096126C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33ED"/>
    <w:rsid w:val="00984A05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07BC"/>
    <w:rsid w:val="00A33875"/>
    <w:rsid w:val="00A33CF6"/>
    <w:rsid w:val="00A35F9F"/>
    <w:rsid w:val="00A360A1"/>
    <w:rsid w:val="00A36E89"/>
    <w:rsid w:val="00A40176"/>
    <w:rsid w:val="00A402B3"/>
    <w:rsid w:val="00A44F35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19FE"/>
    <w:rsid w:val="00AC57F9"/>
    <w:rsid w:val="00AC5E9A"/>
    <w:rsid w:val="00AC704B"/>
    <w:rsid w:val="00AD12EB"/>
    <w:rsid w:val="00AD1A1D"/>
    <w:rsid w:val="00AD4BDD"/>
    <w:rsid w:val="00AD553E"/>
    <w:rsid w:val="00AD5848"/>
    <w:rsid w:val="00AE3C43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6B8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21DD"/>
    <w:rsid w:val="00B433EC"/>
    <w:rsid w:val="00B44ECD"/>
    <w:rsid w:val="00B450D1"/>
    <w:rsid w:val="00B479DB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371C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3B3F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1E22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AA3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74503"/>
    <w:rsid w:val="00C81DA9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493A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6FA0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2E04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3B01"/>
    <w:rsid w:val="00DE407C"/>
    <w:rsid w:val="00DE4A96"/>
    <w:rsid w:val="00DE4F2E"/>
    <w:rsid w:val="00DE7C7D"/>
    <w:rsid w:val="00DF229B"/>
    <w:rsid w:val="00DF2992"/>
    <w:rsid w:val="00DF2D0C"/>
    <w:rsid w:val="00DF2E43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A72C0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5C5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6F3B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C7E09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3EA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Employment%20in%20Public%20Sec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46</cp:revision>
  <cp:lastPrinted>2026-04-14T08:21:00Z</cp:lastPrinted>
  <dcterms:created xsi:type="dcterms:W3CDTF">2025-09-10T06:15:00Z</dcterms:created>
  <dcterms:modified xsi:type="dcterms:W3CDTF">2026-06-11T08:36:00Z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