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3283" w14:textId="3E1E455E" w:rsidR="007437AB" w:rsidRDefault="007437AB" w:rsidP="000E4CB0">
      <w:pPr>
        <w:jc w:val="both"/>
        <w:rPr>
          <w:rFonts w:ascii="Verdana" w:hAnsi="Verdana" w:cs="Arial"/>
          <w:sz w:val="18"/>
          <w:szCs w:val="18"/>
          <w:lang w:val="el-GR"/>
        </w:rPr>
      </w:pPr>
    </w:p>
    <w:p w14:paraId="07CDC66F" w14:textId="3DA8718B" w:rsidR="00C1357A" w:rsidRPr="00EA58AD" w:rsidRDefault="00550F87" w:rsidP="00C1357A">
      <w:pPr>
        <w:jc w:val="right"/>
        <w:rPr>
          <w:rFonts w:ascii="Verdana" w:hAnsi="Verdana" w:cs="Arial"/>
          <w:sz w:val="18"/>
          <w:szCs w:val="18"/>
          <w:lang w:val="el-GR"/>
        </w:rPr>
      </w:pPr>
      <w:r w:rsidRPr="00EA58AD">
        <w:rPr>
          <w:rFonts w:ascii="Verdana" w:hAnsi="Verdana" w:cs="Arial"/>
          <w:sz w:val="18"/>
          <w:szCs w:val="18"/>
          <w:lang w:val="el-GR"/>
        </w:rPr>
        <w:t>12</w:t>
      </w:r>
      <w:r w:rsidR="00C1357A" w:rsidRPr="0018667B">
        <w:rPr>
          <w:rFonts w:ascii="Verdana" w:hAnsi="Verdana" w:cs="Arial"/>
          <w:sz w:val="18"/>
          <w:szCs w:val="18"/>
          <w:lang w:val="el-GR"/>
        </w:rPr>
        <w:t xml:space="preserve"> Φεβρουαρίου, 202</w:t>
      </w:r>
      <w:r w:rsidRPr="00EA58AD">
        <w:rPr>
          <w:rFonts w:ascii="Verdana" w:hAnsi="Verdana" w:cs="Arial"/>
          <w:sz w:val="18"/>
          <w:szCs w:val="18"/>
          <w:lang w:val="el-GR"/>
        </w:rPr>
        <w:t>5</w:t>
      </w:r>
    </w:p>
    <w:p w14:paraId="5D8EDBF3" w14:textId="4C98EB18" w:rsidR="00C1357A" w:rsidRDefault="00C1357A" w:rsidP="00C1357A">
      <w:pPr>
        <w:jc w:val="right"/>
        <w:rPr>
          <w:rFonts w:ascii="Verdana" w:hAnsi="Verdana" w:cs="Arial"/>
          <w:sz w:val="18"/>
          <w:szCs w:val="18"/>
          <w:lang w:val="el-GR"/>
        </w:rPr>
      </w:pPr>
    </w:p>
    <w:p w14:paraId="3F15D271" w14:textId="790FF5B1" w:rsidR="00C1357A" w:rsidRDefault="00C1357A" w:rsidP="00C1357A">
      <w:pPr>
        <w:jc w:val="center"/>
        <w:rPr>
          <w:rFonts w:ascii="Verdana" w:eastAsia="Malgun Gothic" w:hAnsi="Verdana" w:cs="Arial"/>
          <w:b/>
          <w:sz w:val="24"/>
          <w:szCs w:val="24"/>
          <w:lang w:val="el-GR"/>
        </w:rPr>
      </w:pPr>
      <w:r w:rsidRPr="0018667B">
        <w:rPr>
          <w:rFonts w:ascii="Verdana" w:eastAsia="Malgun Gothic" w:hAnsi="Verdana" w:cs="Arial"/>
          <w:b/>
          <w:sz w:val="24"/>
          <w:szCs w:val="24"/>
          <w:lang w:val="el-GR"/>
        </w:rPr>
        <w:t>ΔΕΛΤΙΟ ΤΥΠΟΥ</w:t>
      </w:r>
    </w:p>
    <w:p w14:paraId="74516E06" w14:textId="72F6DD94" w:rsidR="00C1357A" w:rsidRDefault="00C1357A" w:rsidP="00C1357A">
      <w:pPr>
        <w:jc w:val="center"/>
        <w:rPr>
          <w:rFonts w:ascii="Verdana" w:eastAsia="Malgun Gothic" w:hAnsi="Verdana" w:cs="Arial"/>
          <w:b/>
          <w:sz w:val="24"/>
          <w:szCs w:val="24"/>
          <w:lang w:val="el-GR"/>
        </w:rPr>
      </w:pPr>
    </w:p>
    <w:p w14:paraId="51006685" w14:textId="0698E94B" w:rsidR="00C1357A" w:rsidRPr="00550F87" w:rsidRDefault="00C1357A" w:rsidP="00C1357A">
      <w:pPr>
        <w:rPr>
          <w:rFonts w:ascii="Verdana" w:eastAsia="Times New Roman" w:hAnsi="Verdana"/>
          <w:b/>
          <w:bCs/>
          <w:u w:val="single"/>
          <w:shd w:val="clear" w:color="auto" w:fill="FFFFFF"/>
          <w:lang w:val="el-GR"/>
        </w:rPr>
      </w:pPr>
      <w:bookmarkStart w:id="0" w:name="_Hlk57290677"/>
      <w:r w:rsidRPr="0018667B">
        <w:rPr>
          <w:rFonts w:ascii="Verdana" w:eastAsia="Times New Roman" w:hAnsi="Verdana"/>
          <w:u w:val="single"/>
          <w:shd w:val="clear" w:color="auto" w:fill="FFFFFF"/>
          <w:lang w:val="el-GR"/>
        </w:rPr>
        <w:t>ΠΙΝΑΚΕΣ ΠΡΟΣΦΟΡΑΣ, ΧΡΗΣΕΩΝ ΚΑΙ ΕΙΣΡΟΩΝ-ΕΚΡΟΩΝ</w:t>
      </w:r>
      <w:r w:rsidRPr="0018667B">
        <w:rPr>
          <w:rFonts w:ascii="Verdana" w:eastAsia="Times New Roman" w:hAnsi="Verdana"/>
          <w:bCs/>
          <w:u w:val="single"/>
          <w:shd w:val="clear" w:color="auto" w:fill="FFFFFF"/>
          <w:lang w:val="el-GR"/>
        </w:rPr>
        <w:t>:</w:t>
      </w:r>
      <w:bookmarkEnd w:id="0"/>
      <w:r w:rsidRPr="0018667B">
        <w:rPr>
          <w:rFonts w:ascii="Verdana" w:eastAsia="Times New Roman" w:hAnsi="Verdana"/>
          <w:b/>
          <w:bCs/>
          <w:u w:val="single"/>
          <w:shd w:val="clear" w:color="auto" w:fill="FFFFFF"/>
          <w:lang w:val="el-GR"/>
        </w:rPr>
        <w:t xml:space="preserve"> 20</w:t>
      </w:r>
      <w:r w:rsidR="007C511F" w:rsidRPr="007C511F">
        <w:rPr>
          <w:rFonts w:ascii="Verdana" w:eastAsia="Times New Roman" w:hAnsi="Verdana"/>
          <w:b/>
          <w:bCs/>
          <w:u w:val="single"/>
          <w:shd w:val="clear" w:color="auto" w:fill="FFFFFF"/>
          <w:lang w:val="el-GR"/>
        </w:rPr>
        <w:t>2</w:t>
      </w:r>
      <w:r w:rsidR="00550F87" w:rsidRPr="00550F87">
        <w:rPr>
          <w:rFonts w:ascii="Verdana" w:eastAsia="Times New Roman" w:hAnsi="Verdana"/>
          <w:b/>
          <w:bCs/>
          <w:u w:val="single"/>
          <w:shd w:val="clear" w:color="auto" w:fill="FFFFFF"/>
          <w:lang w:val="el-GR"/>
        </w:rPr>
        <w:t>1</w:t>
      </w:r>
    </w:p>
    <w:p w14:paraId="2A008368" w14:textId="70BDE5A6" w:rsidR="00C1357A" w:rsidRDefault="00C1357A" w:rsidP="00C1357A">
      <w:pPr>
        <w:rPr>
          <w:rFonts w:ascii="Verdana" w:eastAsia="Times New Roman" w:hAnsi="Verdana"/>
          <w:b/>
          <w:bCs/>
          <w:u w:val="single"/>
          <w:shd w:val="clear" w:color="auto" w:fill="FFFFFF"/>
          <w:lang w:val="el-GR"/>
        </w:rPr>
      </w:pPr>
    </w:p>
    <w:p w14:paraId="40200C56" w14:textId="7AD23AC8" w:rsidR="00C1357A" w:rsidRDefault="00C1357A" w:rsidP="00C1357A">
      <w:pPr>
        <w:ind w:right="-1"/>
        <w:jc w:val="center"/>
        <w:rPr>
          <w:rFonts w:ascii="Verdana" w:eastAsia="Malgun Gothic" w:hAnsi="Verdana" w:cs="Arial"/>
          <w:b/>
          <w:bCs/>
          <w:lang w:val="el-GR"/>
        </w:rPr>
      </w:pPr>
      <w:r w:rsidRPr="00C1357A">
        <w:rPr>
          <w:rFonts w:ascii="Verdana" w:eastAsia="Malgun Gothic" w:hAnsi="Verdana" w:cs="Arial"/>
          <w:b/>
          <w:bCs/>
          <w:lang w:val="el-GR"/>
        </w:rPr>
        <w:t xml:space="preserve">Η </w:t>
      </w:r>
      <w:r w:rsidR="00E12532">
        <w:rPr>
          <w:rFonts w:ascii="Verdana" w:eastAsia="Malgun Gothic" w:hAnsi="Verdana" w:cs="Arial"/>
          <w:b/>
          <w:bCs/>
          <w:lang w:val="el-GR"/>
        </w:rPr>
        <w:t>Σ</w:t>
      </w:r>
      <w:r w:rsidRPr="00C1357A">
        <w:rPr>
          <w:rFonts w:ascii="Verdana" w:eastAsia="Malgun Gothic" w:hAnsi="Verdana" w:cs="Arial"/>
          <w:b/>
          <w:bCs/>
          <w:lang w:val="el-GR"/>
        </w:rPr>
        <w:t xml:space="preserve">υνολική </w:t>
      </w:r>
      <w:r w:rsidR="00E12532">
        <w:rPr>
          <w:rFonts w:ascii="Verdana" w:eastAsia="Malgun Gothic" w:hAnsi="Verdana" w:cs="Arial"/>
          <w:b/>
          <w:bCs/>
          <w:lang w:val="el-GR"/>
        </w:rPr>
        <w:t>Π</w:t>
      </w:r>
      <w:r w:rsidRPr="00C1357A">
        <w:rPr>
          <w:rFonts w:ascii="Verdana" w:eastAsia="Malgun Gothic" w:hAnsi="Verdana" w:cs="Arial"/>
          <w:b/>
          <w:bCs/>
          <w:lang w:val="el-GR"/>
        </w:rPr>
        <w:t xml:space="preserve">ροσφορά και </w:t>
      </w:r>
      <w:r w:rsidR="00E12532">
        <w:rPr>
          <w:rFonts w:ascii="Verdana" w:eastAsia="Malgun Gothic" w:hAnsi="Verdana" w:cs="Arial"/>
          <w:b/>
          <w:bCs/>
          <w:lang w:val="el-GR"/>
        </w:rPr>
        <w:t>Χ</w:t>
      </w:r>
      <w:r w:rsidRPr="00C1357A">
        <w:rPr>
          <w:rFonts w:ascii="Verdana" w:eastAsia="Malgun Gothic" w:hAnsi="Verdana" w:cs="Arial"/>
          <w:b/>
          <w:bCs/>
          <w:lang w:val="el-GR"/>
        </w:rPr>
        <w:t xml:space="preserve">ρήση σε </w:t>
      </w:r>
      <w:r w:rsidR="00E12532">
        <w:rPr>
          <w:rFonts w:ascii="Verdana" w:eastAsia="Malgun Gothic" w:hAnsi="Verdana" w:cs="Arial"/>
          <w:b/>
          <w:bCs/>
          <w:lang w:val="el-GR"/>
        </w:rPr>
        <w:t>Τ</w:t>
      </w:r>
      <w:r w:rsidRPr="00C1357A">
        <w:rPr>
          <w:rFonts w:ascii="Verdana" w:eastAsia="Malgun Gothic" w:hAnsi="Verdana" w:cs="Arial"/>
          <w:b/>
          <w:bCs/>
          <w:lang w:val="el-GR"/>
        </w:rPr>
        <w:t xml:space="preserve">ιμές </w:t>
      </w:r>
      <w:r w:rsidR="00E12532">
        <w:rPr>
          <w:rFonts w:ascii="Verdana" w:eastAsia="Malgun Gothic" w:hAnsi="Verdana" w:cs="Arial"/>
          <w:b/>
          <w:bCs/>
          <w:lang w:val="el-GR"/>
        </w:rPr>
        <w:t>Α</w:t>
      </w:r>
      <w:r w:rsidRPr="00C1357A">
        <w:rPr>
          <w:rFonts w:ascii="Verdana" w:eastAsia="Malgun Gothic" w:hAnsi="Verdana" w:cs="Arial"/>
          <w:b/>
          <w:bCs/>
          <w:lang w:val="el-GR"/>
        </w:rPr>
        <w:t>γοραστή για το έτος 20</w:t>
      </w:r>
      <w:r w:rsidR="007C511F" w:rsidRPr="007C511F">
        <w:rPr>
          <w:rFonts w:ascii="Verdana" w:eastAsia="Malgun Gothic" w:hAnsi="Verdana" w:cs="Arial"/>
          <w:b/>
          <w:bCs/>
          <w:lang w:val="el-GR"/>
        </w:rPr>
        <w:t>2</w:t>
      </w:r>
      <w:r w:rsidR="00550F87" w:rsidRPr="00550F87">
        <w:rPr>
          <w:rFonts w:ascii="Verdana" w:eastAsia="Malgun Gothic" w:hAnsi="Verdana" w:cs="Arial"/>
          <w:b/>
          <w:bCs/>
          <w:lang w:val="el-GR"/>
        </w:rPr>
        <w:t>1</w:t>
      </w:r>
      <w:r w:rsidRPr="00C1357A">
        <w:rPr>
          <w:rFonts w:ascii="Verdana" w:eastAsia="Malgun Gothic" w:hAnsi="Verdana" w:cs="Arial"/>
          <w:b/>
          <w:bCs/>
          <w:lang w:val="el-GR"/>
        </w:rPr>
        <w:t xml:space="preserve">, </w:t>
      </w:r>
      <w:r w:rsidR="00E12532">
        <w:rPr>
          <w:rFonts w:ascii="Verdana" w:eastAsia="Malgun Gothic" w:hAnsi="Verdana" w:cs="Arial"/>
          <w:b/>
          <w:bCs/>
          <w:lang w:val="el-GR"/>
        </w:rPr>
        <w:t>Ι</w:t>
      </w:r>
      <w:r w:rsidRPr="00C1357A">
        <w:rPr>
          <w:rFonts w:ascii="Verdana" w:eastAsia="Malgun Gothic" w:hAnsi="Verdana" w:cs="Arial"/>
          <w:b/>
          <w:bCs/>
          <w:lang w:val="el-GR"/>
        </w:rPr>
        <w:t>σοσκελίζουν στα €</w:t>
      </w:r>
      <w:r w:rsidR="00550F87" w:rsidRPr="00550F87">
        <w:rPr>
          <w:rFonts w:ascii="Verdana" w:eastAsia="Malgun Gothic" w:hAnsi="Verdana" w:cs="Arial"/>
          <w:b/>
          <w:bCs/>
          <w:lang w:val="el-GR"/>
        </w:rPr>
        <w:t>77</w:t>
      </w:r>
      <w:r w:rsidR="007C511F" w:rsidRPr="007C511F">
        <w:rPr>
          <w:rFonts w:ascii="Verdana" w:eastAsia="Malgun Gothic" w:hAnsi="Verdana" w:cs="Arial"/>
          <w:b/>
          <w:bCs/>
          <w:lang w:val="el-GR"/>
        </w:rPr>
        <w:t>.</w:t>
      </w:r>
      <w:r w:rsidR="00550F87" w:rsidRPr="00550F87">
        <w:rPr>
          <w:rFonts w:ascii="Verdana" w:eastAsia="Malgun Gothic" w:hAnsi="Verdana" w:cs="Arial"/>
          <w:b/>
          <w:bCs/>
          <w:lang w:val="el-GR"/>
        </w:rPr>
        <w:t>758</w:t>
      </w:r>
      <w:r w:rsidR="007C511F" w:rsidRPr="007C511F">
        <w:rPr>
          <w:rFonts w:ascii="Verdana" w:eastAsia="Malgun Gothic" w:hAnsi="Verdana" w:cs="Arial"/>
          <w:b/>
          <w:bCs/>
          <w:lang w:val="el-GR"/>
        </w:rPr>
        <w:t>,</w:t>
      </w:r>
      <w:r w:rsidR="00550F87" w:rsidRPr="00550F87">
        <w:rPr>
          <w:rFonts w:ascii="Verdana" w:eastAsia="Malgun Gothic" w:hAnsi="Verdana" w:cs="Arial"/>
          <w:b/>
          <w:bCs/>
          <w:lang w:val="el-GR"/>
        </w:rPr>
        <w:t>9</w:t>
      </w:r>
      <w:r w:rsidR="007C511F" w:rsidRPr="007C511F">
        <w:rPr>
          <w:rFonts w:ascii="Verdana" w:eastAsia="Malgun Gothic" w:hAnsi="Verdana" w:cs="Arial"/>
          <w:b/>
          <w:bCs/>
          <w:lang w:val="el-GR"/>
        </w:rPr>
        <w:t xml:space="preserve"> </w:t>
      </w:r>
      <w:r w:rsidRPr="00C1357A">
        <w:rPr>
          <w:rFonts w:ascii="Verdana" w:eastAsia="Malgun Gothic" w:hAnsi="Verdana" w:cs="Arial"/>
          <w:b/>
          <w:bCs/>
          <w:lang w:val="el-GR"/>
        </w:rPr>
        <w:t>εκ.</w:t>
      </w:r>
    </w:p>
    <w:p w14:paraId="7AA0F75E" w14:textId="0C3EC092" w:rsidR="00C1357A" w:rsidRDefault="00C1357A" w:rsidP="00C1357A">
      <w:pPr>
        <w:ind w:right="-1"/>
        <w:jc w:val="center"/>
        <w:rPr>
          <w:rFonts w:ascii="Verdana" w:eastAsia="Malgun Gothic" w:hAnsi="Verdana" w:cs="Arial"/>
          <w:b/>
          <w:bCs/>
          <w:lang w:val="el-GR"/>
        </w:rPr>
      </w:pPr>
    </w:p>
    <w:p w14:paraId="203E155C" w14:textId="4CAA05DB" w:rsidR="00C1357A" w:rsidRPr="0018667B" w:rsidRDefault="00C1357A" w:rsidP="00C1357A">
      <w:pPr>
        <w:jc w:val="both"/>
        <w:rPr>
          <w:rFonts w:ascii="Verdana" w:hAnsi="Verdana" w:cs="Arial"/>
          <w:sz w:val="18"/>
          <w:szCs w:val="18"/>
          <w:lang w:val="el-GR"/>
        </w:rPr>
      </w:pPr>
      <w:r w:rsidRPr="0018667B">
        <w:rPr>
          <w:rFonts w:ascii="Verdana" w:hAnsi="Verdana" w:cs="Arial"/>
          <w:sz w:val="18"/>
          <w:szCs w:val="18"/>
          <w:lang w:val="el-GR"/>
        </w:rPr>
        <w:t>Η Στατιστική Υπηρεσία ανακοινώνει την</w:t>
      </w:r>
      <w:r w:rsidRPr="00C1357A">
        <w:rPr>
          <w:rFonts w:ascii="Verdana" w:hAnsi="Verdana" w:cs="Arial"/>
          <w:sz w:val="18"/>
          <w:szCs w:val="18"/>
          <w:lang w:val="el-GR"/>
        </w:rPr>
        <w:t xml:space="preserve"> </w:t>
      </w:r>
      <w:r w:rsidRPr="0018667B">
        <w:rPr>
          <w:rFonts w:ascii="Verdana" w:hAnsi="Verdana" w:cs="Arial"/>
          <w:sz w:val="18"/>
          <w:szCs w:val="18"/>
          <w:lang w:val="el-GR"/>
        </w:rPr>
        <w:t>δημοσίευση των πινάκων Προσφοράς, Χρήσεων και Εισροών-Εκροών της Κύπρου, για τ</w:t>
      </w:r>
      <w:r>
        <w:rPr>
          <w:rFonts w:ascii="Verdana" w:hAnsi="Verdana" w:cs="Arial"/>
          <w:sz w:val="18"/>
          <w:szCs w:val="18"/>
          <w:lang w:val="el-GR"/>
        </w:rPr>
        <w:t>ο</w:t>
      </w:r>
      <w:r w:rsidRPr="0018667B">
        <w:rPr>
          <w:rFonts w:ascii="Verdana" w:hAnsi="Verdana" w:cs="Arial"/>
          <w:sz w:val="18"/>
          <w:szCs w:val="18"/>
          <w:lang w:val="el-GR"/>
        </w:rPr>
        <w:t xml:space="preserve"> έτ</w:t>
      </w:r>
      <w:r>
        <w:rPr>
          <w:rFonts w:ascii="Verdana" w:hAnsi="Verdana" w:cs="Arial"/>
          <w:sz w:val="18"/>
          <w:szCs w:val="18"/>
          <w:lang w:val="el-GR"/>
        </w:rPr>
        <w:t>ος</w:t>
      </w:r>
      <w:r w:rsidRPr="0018667B">
        <w:rPr>
          <w:rFonts w:ascii="Verdana" w:hAnsi="Verdana" w:cs="Arial"/>
          <w:sz w:val="18"/>
          <w:szCs w:val="18"/>
          <w:lang w:val="el-GR"/>
        </w:rPr>
        <w:t xml:space="preserve"> 20</w:t>
      </w:r>
      <w:r w:rsidR="007C511F" w:rsidRPr="007C511F">
        <w:rPr>
          <w:rFonts w:ascii="Verdana" w:hAnsi="Verdana" w:cs="Arial"/>
          <w:sz w:val="18"/>
          <w:szCs w:val="18"/>
          <w:lang w:val="el-GR"/>
        </w:rPr>
        <w:t>2</w:t>
      </w:r>
      <w:r w:rsidR="00550F87" w:rsidRPr="00550F87">
        <w:rPr>
          <w:rFonts w:ascii="Verdana" w:hAnsi="Verdana" w:cs="Arial"/>
          <w:sz w:val="18"/>
          <w:szCs w:val="18"/>
          <w:lang w:val="el-GR"/>
        </w:rPr>
        <w:t>1</w:t>
      </w:r>
      <w:r w:rsidRPr="0018667B">
        <w:rPr>
          <w:rFonts w:ascii="Verdana" w:hAnsi="Verdana" w:cs="Arial"/>
          <w:sz w:val="18"/>
          <w:szCs w:val="18"/>
          <w:lang w:val="el-GR"/>
        </w:rPr>
        <w:t xml:space="preserve"> σε τρέχουσες τιμές και</w:t>
      </w:r>
      <w:r>
        <w:rPr>
          <w:rFonts w:ascii="Verdana" w:hAnsi="Verdana" w:cs="Arial"/>
          <w:sz w:val="18"/>
          <w:szCs w:val="18"/>
          <w:lang w:val="el-GR"/>
        </w:rPr>
        <w:t xml:space="preserve"> </w:t>
      </w:r>
      <w:r w:rsidRPr="0018667B">
        <w:rPr>
          <w:rFonts w:ascii="Verdana" w:hAnsi="Verdana" w:cs="Arial"/>
          <w:sz w:val="18"/>
          <w:szCs w:val="18"/>
          <w:lang w:val="el-GR"/>
        </w:rPr>
        <w:t xml:space="preserve">σε τιμές προηγούμενου έτους. Σημειώνεται ότι </w:t>
      </w:r>
      <w:r w:rsidR="0024766E">
        <w:rPr>
          <w:rFonts w:ascii="Verdana" w:hAnsi="Verdana" w:cs="Arial"/>
          <w:sz w:val="18"/>
          <w:szCs w:val="18"/>
          <w:lang w:val="el-GR"/>
        </w:rPr>
        <w:t>τα στοιχεία για τ</w:t>
      </w:r>
      <w:r w:rsidR="00550F87">
        <w:rPr>
          <w:rFonts w:ascii="Verdana" w:hAnsi="Verdana" w:cs="Arial"/>
          <w:sz w:val="18"/>
          <w:szCs w:val="18"/>
          <w:lang w:val="el-GR"/>
        </w:rPr>
        <w:t>ο</w:t>
      </w:r>
      <w:r w:rsidR="0024766E">
        <w:rPr>
          <w:rFonts w:ascii="Verdana" w:hAnsi="Verdana" w:cs="Arial"/>
          <w:sz w:val="18"/>
          <w:szCs w:val="18"/>
          <w:lang w:val="el-GR"/>
        </w:rPr>
        <w:t xml:space="preserve"> έτ</w:t>
      </w:r>
      <w:r w:rsidR="00550F87">
        <w:rPr>
          <w:rFonts w:ascii="Verdana" w:hAnsi="Verdana" w:cs="Arial"/>
          <w:sz w:val="18"/>
          <w:szCs w:val="18"/>
          <w:lang w:val="el-GR"/>
        </w:rPr>
        <w:t>ος</w:t>
      </w:r>
      <w:r w:rsidR="0024766E">
        <w:rPr>
          <w:rFonts w:ascii="Verdana" w:hAnsi="Verdana" w:cs="Arial"/>
          <w:sz w:val="18"/>
          <w:szCs w:val="18"/>
          <w:lang w:val="el-GR"/>
        </w:rPr>
        <w:t xml:space="preserve"> 20</w:t>
      </w:r>
      <w:r w:rsidR="00550F87">
        <w:rPr>
          <w:rFonts w:ascii="Verdana" w:hAnsi="Verdana" w:cs="Arial"/>
          <w:sz w:val="18"/>
          <w:szCs w:val="18"/>
          <w:lang w:val="el-GR"/>
        </w:rPr>
        <w:t>20</w:t>
      </w:r>
      <w:r w:rsidR="0024766E">
        <w:rPr>
          <w:rFonts w:ascii="Verdana" w:hAnsi="Verdana" w:cs="Arial"/>
          <w:sz w:val="18"/>
          <w:szCs w:val="18"/>
          <w:lang w:val="el-GR"/>
        </w:rPr>
        <w:t xml:space="preserve"> έχουν αναθεωρηθεί.</w:t>
      </w:r>
    </w:p>
    <w:p w14:paraId="08C63A86" w14:textId="77777777" w:rsidR="00C1357A" w:rsidRPr="0018667B" w:rsidRDefault="00C1357A" w:rsidP="00C1357A">
      <w:pPr>
        <w:jc w:val="both"/>
        <w:rPr>
          <w:rFonts w:ascii="Verdana" w:hAnsi="Verdana" w:cs="Arial"/>
          <w:sz w:val="18"/>
          <w:szCs w:val="18"/>
          <w:lang w:val="el-GR"/>
        </w:rPr>
      </w:pPr>
    </w:p>
    <w:p w14:paraId="0012E296" w14:textId="695139FD" w:rsidR="001712CF" w:rsidRDefault="00C1357A" w:rsidP="000E4CB0">
      <w:pPr>
        <w:jc w:val="both"/>
        <w:rPr>
          <w:rFonts w:ascii="Verdana" w:hAnsi="Verdana" w:cs="Arial"/>
          <w:sz w:val="18"/>
          <w:szCs w:val="18"/>
          <w:lang w:val="el-GR"/>
        </w:rPr>
      </w:pPr>
      <w:r w:rsidRPr="0018667B">
        <w:rPr>
          <w:rFonts w:ascii="Verdana" w:hAnsi="Verdana" w:cs="Arial"/>
          <w:sz w:val="18"/>
          <w:szCs w:val="18"/>
          <w:lang w:val="el-GR"/>
        </w:rPr>
        <w:t>Για το έτος 20</w:t>
      </w:r>
      <w:r w:rsidR="007C511F" w:rsidRPr="007C511F">
        <w:rPr>
          <w:rFonts w:ascii="Verdana" w:hAnsi="Verdana" w:cs="Arial"/>
          <w:sz w:val="18"/>
          <w:szCs w:val="18"/>
          <w:lang w:val="el-GR"/>
        </w:rPr>
        <w:t>2</w:t>
      </w:r>
      <w:r w:rsidR="00550F87">
        <w:rPr>
          <w:rFonts w:ascii="Verdana" w:hAnsi="Verdana" w:cs="Arial"/>
          <w:sz w:val="18"/>
          <w:szCs w:val="18"/>
          <w:lang w:val="el-GR"/>
        </w:rPr>
        <w:t>1</w:t>
      </w:r>
      <w:r w:rsidRPr="0018667B">
        <w:rPr>
          <w:rFonts w:ascii="Verdana" w:hAnsi="Verdana" w:cs="Arial"/>
          <w:sz w:val="18"/>
          <w:szCs w:val="18"/>
          <w:lang w:val="el-GR"/>
        </w:rPr>
        <w:t>, η συνολική προσφορά και χρήση σε τιμές αγοραστή ισοσκελίζουν στα €</w:t>
      </w:r>
      <w:r w:rsidR="00550F87">
        <w:rPr>
          <w:rFonts w:ascii="Verdana" w:hAnsi="Verdana" w:cs="Arial"/>
          <w:sz w:val="18"/>
          <w:szCs w:val="18"/>
          <w:lang w:val="el-GR"/>
        </w:rPr>
        <w:t>77</w:t>
      </w:r>
      <w:r w:rsidR="007C511F" w:rsidRPr="007C511F">
        <w:rPr>
          <w:rFonts w:ascii="Verdana" w:hAnsi="Verdana" w:cs="Arial"/>
          <w:sz w:val="18"/>
          <w:szCs w:val="18"/>
          <w:lang w:val="el-GR"/>
        </w:rPr>
        <w:t>.</w:t>
      </w:r>
      <w:r w:rsidR="00550F87">
        <w:rPr>
          <w:rFonts w:ascii="Verdana" w:hAnsi="Verdana" w:cs="Arial"/>
          <w:sz w:val="18"/>
          <w:szCs w:val="18"/>
          <w:lang w:val="el-GR"/>
        </w:rPr>
        <w:t>758</w:t>
      </w:r>
      <w:r w:rsidR="007C511F" w:rsidRPr="007C511F">
        <w:rPr>
          <w:rFonts w:ascii="Verdana" w:hAnsi="Verdana" w:cs="Arial"/>
          <w:sz w:val="18"/>
          <w:szCs w:val="18"/>
          <w:lang w:val="el-GR"/>
        </w:rPr>
        <w:t>,</w:t>
      </w:r>
      <w:r w:rsidR="00550F87">
        <w:rPr>
          <w:rFonts w:ascii="Verdana" w:hAnsi="Verdana" w:cs="Arial"/>
          <w:sz w:val="18"/>
          <w:szCs w:val="18"/>
          <w:lang w:val="el-GR"/>
        </w:rPr>
        <w:t>9</w:t>
      </w:r>
      <w:r w:rsidRPr="0018667B">
        <w:rPr>
          <w:rFonts w:ascii="Verdana" w:hAnsi="Verdana" w:cs="Arial"/>
          <w:sz w:val="18"/>
          <w:szCs w:val="18"/>
          <w:lang w:val="el-GR"/>
        </w:rPr>
        <w:t xml:space="preserve"> εκ. Οι επιχειρηματικές υπηρεσίες αποτελούν το </w:t>
      </w:r>
      <w:r w:rsidR="00F63360">
        <w:rPr>
          <w:rFonts w:ascii="Verdana" w:hAnsi="Verdana" w:cs="Arial"/>
          <w:sz w:val="18"/>
          <w:szCs w:val="18"/>
          <w:lang w:val="el-GR"/>
        </w:rPr>
        <w:t>4</w:t>
      </w:r>
      <w:r w:rsidR="00DF5885">
        <w:rPr>
          <w:rFonts w:ascii="Verdana" w:hAnsi="Verdana" w:cs="Arial"/>
          <w:sz w:val="18"/>
          <w:szCs w:val="18"/>
          <w:lang w:val="el-GR"/>
        </w:rPr>
        <w:t>7</w:t>
      </w:r>
      <w:r w:rsidRPr="0018667B">
        <w:rPr>
          <w:rFonts w:ascii="Verdana" w:hAnsi="Verdana" w:cs="Arial"/>
          <w:sz w:val="18"/>
          <w:szCs w:val="18"/>
          <w:lang w:val="el-GR"/>
        </w:rPr>
        <w:t>,</w:t>
      </w:r>
      <w:r w:rsidR="00DF5885">
        <w:rPr>
          <w:rFonts w:ascii="Verdana" w:hAnsi="Verdana" w:cs="Arial"/>
          <w:sz w:val="18"/>
          <w:szCs w:val="18"/>
          <w:lang w:val="el-GR"/>
        </w:rPr>
        <w:t>1</w:t>
      </w:r>
      <w:r w:rsidRPr="0018667B">
        <w:rPr>
          <w:rFonts w:ascii="Verdana" w:hAnsi="Verdana" w:cs="Arial"/>
          <w:sz w:val="18"/>
          <w:szCs w:val="18"/>
          <w:lang w:val="el-GR"/>
        </w:rPr>
        <w:t xml:space="preserve">% της συνολικής προσφοράς, ακολουθούμενες από τα προϊόντα μεταποίησης με </w:t>
      </w:r>
      <w:r w:rsidR="00F63360">
        <w:rPr>
          <w:rFonts w:ascii="Verdana" w:hAnsi="Verdana" w:cs="Arial"/>
          <w:sz w:val="18"/>
          <w:szCs w:val="18"/>
          <w:lang w:val="el-GR"/>
        </w:rPr>
        <w:t>2</w:t>
      </w:r>
      <w:r w:rsidR="00DF5885">
        <w:rPr>
          <w:rFonts w:ascii="Verdana" w:hAnsi="Verdana" w:cs="Arial"/>
          <w:sz w:val="18"/>
          <w:szCs w:val="18"/>
          <w:lang w:val="el-GR"/>
        </w:rPr>
        <w:t>4</w:t>
      </w:r>
      <w:r w:rsidRPr="0018667B">
        <w:rPr>
          <w:rFonts w:ascii="Verdana" w:hAnsi="Verdana" w:cs="Arial"/>
          <w:sz w:val="18"/>
          <w:szCs w:val="18"/>
          <w:lang w:val="el-GR"/>
        </w:rPr>
        <w:t>,</w:t>
      </w:r>
      <w:r w:rsidR="00DF5885">
        <w:rPr>
          <w:rFonts w:ascii="Verdana" w:hAnsi="Verdana" w:cs="Arial"/>
          <w:sz w:val="18"/>
          <w:szCs w:val="18"/>
          <w:lang w:val="el-GR"/>
        </w:rPr>
        <w:t>8</w:t>
      </w:r>
      <w:r w:rsidRPr="0018667B">
        <w:rPr>
          <w:rFonts w:ascii="Verdana" w:hAnsi="Verdana" w:cs="Arial"/>
          <w:sz w:val="18"/>
          <w:szCs w:val="18"/>
          <w:lang w:val="el-GR"/>
        </w:rPr>
        <w:t>% και τις υπηρεσίες διανομής και μεταφορών με 1</w:t>
      </w:r>
      <w:r w:rsidR="007C511F" w:rsidRPr="007C511F">
        <w:rPr>
          <w:rFonts w:ascii="Verdana" w:hAnsi="Verdana" w:cs="Arial"/>
          <w:sz w:val="18"/>
          <w:szCs w:val="18"/>
          <w:lang w:val="el-GR"/>
        </w:rPr>
        <w:t>0</w:t>
      </w:r>
      <w:r w:rsidRPr="0018667B">
        <w:rPr>
          <w:rFonts w:ascii="Verdana" w:hAnsi="Verdana" w:cs="Arial"/>
          <w:sz w:val="18"/>
          <w:szCs w:val="18"/>
          <w:lang w:val="el-GR"/>
        </w:rPr>
        <w:t>,</w:t>
      </w:r>
      <w:r w:rsidR="00DF5885">
        <w:rPr>
          <w:rFonts w:ascii="Verdana" w:hAnsi="Verdana" w:cs="Arial"/>
          <w:sz w:val="18"/>
          <w:szCs w:val="18"/>
          <w:lang w:val="el-GR"/>
        </w:rPr>
        <w:t>3</w:t>
      </w:r>
      <w:r w:rsidRPr="0018667B">
        <w:rPr>
          <w:rFonts w:ascii="Verdana" w:hAnsi="Verdana" w:cs="Arial"/>
          <w:sz w:val="18"/>
          <w:szCs w:val="18"/>
          <w:lang w:val="el-GR"/>
        </w:rPr>
        <w:t xml:space="preserve">%. Το ποσοστό των άλλων υπηρεσιών στη συνολική προσφορά είναι </w:t>
      </w:r>
      <w:r w:rsidR="00DF5885">
        <w:rPr>
          <w:rFonts w:ascii="Verdana" w:hAnsi="Verdana" w:cs="Arial"/>
          <w:sz w:val="18"/>
          <w:szCs w:val="18"/>
          <w:lang w:val="el-GR"/>
        </w:rPr>
        <w:t>9</w:t>
      </w:r>
      <w:r w:rsidRPr="0018667B">
        <w:rPr>
          <w:rFonts w:ascii="Verdana" w:hAnsi="Verdana" w:cs="Arial"/>
          <w:sz w:val="18"/>
          <w:szCs w:val="18"/>
          <w:lang w:val="el-GR"/>
        </w:rPr>
        <w:t>,</w:t>
      </w:r>
      <w:r w:rsidR="00DF5885">
        <w:rPr>
          <w:rFonts w:ascii="Verdana" w:hAnsi="Verdana" w:cs="Arial"/>
          <w:sz w:val="18"/>
          <w:szCs w:val="18"/>
          <w:lang w:val="el-GR"/>
        </w:rPr>
        <w:t>2</w:t>
      </w:r>
      <w:r w:rsidRPr="0018667B">
        <w:rPr>
          <w:rFonts w:ascii="Verdana" w:hAnsi="Verdana" w:cs="Arial"/>
          <w:sz w:val="18"/>
          <w:szCs w:val="18"/>
          <w:lang w:val="el-GR"/>
        </w:rPr>
        <w:t xml:space="preserve">%, των κατασκευαστικών εργασιών </w:t>
      </w:r>
      <w:r w:rsidR="00F63360">
        <w:rPr>
          <w:rFonts w:ascii="Verdana" w:hAnsi="Verdana" w:cs="Arial"/>
          <w:sz w:val="18"/>
          <w:szCs w:val="18"/>
          <w:lang w:val="el-GR"/>
        </w:rPr>
        <w:t>7</w:t>
      </w:r>
      <w:r w:rsidRPr="0018667B">
        <w:rPr>
          <w:rFonts w:ascii="Verdana" w:hAnsi="Verdana" w:cs="Arial"/>
          <w:sz w:val="18"/>
          <w:szCs w:val="18"/>
          <w:lang w:val="el-GR"/>
        </w:rPr>
        <w:t>,</w:t>
      </w:r>
      <w:r w:rsidR="00DF5885">
        <w:rPr>
          <w:rFonts w:ascii="Verdana" w:hAnsi="Verdana" w:cs="Arial"/>
          <w:sz w:val="18"/>
          <w:szCs w:val="18"/>
          <w:lang w:val="el-GR"/>
        </w:rPr>
        <w:t>0</w:t>
      </w:r>
      <w:r w:rsidRPr="0018667B">
        <w:rPr>
          <w:rFonts w:ascii="Verdana" w:hAnsi="Verdana" w:cs="Arial"/>
          <w:sz w:val="18"/>
          <w:szCs w:val="18"/>
          <w:lang w:val="el-GR"/>
        </w:rPr>
        <w:t>% και των προϊόντων γεωργίας, δασοκομίας και αλιείας 1,</w:t>
      </w:r>
      <w:r w:rsidR="00DF5885">
        <w:rPr>
          <w:rFonts w:ascii="Verdana" w:hAnsi="Verdana" w:cs="Arial"/>
          <w:sz w:val="18"/>
          <w:szCs w:val="18"/>
          <w:lang w:val="el-GR"/>
        </w:rPr>
        <w:t>6</w:t>
      </w:r>
      <w:r w:rsidRPr="0018667B">
        <w:rPr>
          <w:rFonts w:ascii="Verdana" w:hAnsi="Verdana" w:cs="Arial"/>
          <w:sz w:val="18"/>
          <w:szCs w:val="18"/>
          <w:lang w:val="el-GR"/>
        </w:rPr>
        <w:t>%.</w:t>
      </w:r>
    </w:p>
    <w:p w14:paraId="2DD605AE" w14:textId="77777777" w:rsidR="0052083B" w:rsidRDefault="0052083B" w:rsidP="000E4CB0">
      <w:pPr>
        <w:jc w:val="both"/>
        <w:rPr>
          <w:rFonts w:ascii="Verdana" w:hAnsi="Verdana" w:cs="Arial"/>
          <w:sz w:val="18"/>
          <w:szCs w:val="18"/>
          <w:lang w:val="el-GR"/>
        </w:rPr>
      </w:pPr>
    </w:p>
    <w:p w14:paraId="67D394FA" w14:textId="4275E6C8" w:rsidR="002650D5" w:rsidRDefault="00A61CDD" w:rsidP="00EA58AD">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669DD87A" wp14:editId="4E237CC1">
            <wp:extent cx="6169660" cy="4737100"/>
            <wp:effectExtent l="0" t="0" r="2540" b="6350"/>
            <wp:docPr id="4272252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9660" cy="4737100"/>
                    </a:xfrm>
                    <a:prstGeom prst="rect">
                      <a:avLst/>
                    </a:prstGeom>
                    <a:noFill/>
                  </pic:spPr>
                </pic:pic>
              </a:graphicData>
            </a:graphic>
          </wp:inline>
        </w:drawing>
      </w:r>
    </w:p>
    <w:p w14:paraId="273A81A9" w14:textId="384DA1EE" w:rsidR="001712CF" w:rsidRDefault="001712CF" w:rsidP="000E4CB0">
      <w:pPr>
        <w:jc w:val="both"/>
        <w:rPr>
          <w:rFonts w:ascii="Verdana" w:hAnsi="Verdana" w:cs="Arial"/>
          <w:sz w:val="18"/>
          <w:szCs w:val="18"/>
          <w:lang w:val="el-GR"/>
        </w:rPr>
      </w:pPr>
    </w:p>
    <w:p w14:paraId="452DF5AA" w14:textId="6E767EAF" w:rsidR="00066BF9" w:rsidRDefault="00066BF9" w:rsidP="00066BF9">
      <w:pPr>
        <w:jc w:val="both"/>
        <w:rPr>
          <w:rFonts w:ascii="Verdana" w:hAnsi="Verdana" w:cs="Arial"/>
          <w:sz w:val="18"/>
          <w:szCs w:val="18"/>
          <w:lang w:val="el-GR"/>
        </w:rPr>
      </w:pPr>
      <w:r w:rsidRPr="0018667B">
        <w:rPr>
          <w:rFonts w:ascii="Verdana" w:hAnsi="Verdana" w:cs="Arial"/>
          <w:sz w:val="18"/>
          <w:szCs w:val="18"/>
          <w:lang w:val="el-GR"/>
        </w:rPr>
        <w:lastRenderedPageBreak/>
        <w:t xml:space="preserve">Ο </w:t>
      </w:r>
      <w:r w:rsidR="00F0148B">
        <w:rPr>
          <w:rFonts w:ascii="Verdana" w:hAnsi="Verdana" w:cs="Arial"/>
          <w:sz w:val="18"/>
          <w:szCs w:val="18"/>
          <w:lang w:val="el-GR"/>
        </w:rPr>
        <w:t>πιο κάτω</w:t>
      </w:r>
      <w:r w:rsidRPr="0018667B">
        <w:rPr>
          <w:rFonts w:ascii="Verdana" w:hAnsi="Verdana" w:cs="Arial"/>
          <w:sz w:val="18"/>
          <w:szCs w:val="18"/>
          <w:lang w:val="el-GR"/>
        </w:rPr>
        <w:t xml:space="preserve"> πίνακας </w:t>
      </w:r>
      <w:r w:rsidR="00F0148B">
        <w:rPr>
          <w:rFonts w:ascii="Verdana" w:hAnsi="Verdana" w:cs="Arial"/>
          <w:sz w:val="18"/>
          <w:szCs w:val="18"/>
          <w:lang w:val="el-GR"/>
        </w:rPr>
        <w:t>παρουσιάζει</w:t>
      </w:r>
      <w:r w:rsidRPr="0018667B">
        <w:rPr>
          <w:rFonts w:ascii="Verdana" w:hAnsi="Verdana" w:cs="Arial"/>
          <w:sz w:val="18"/>
          <w:szCs w:val="18"/>
          <w:lang w:val="el-GR"/>
        </w:rPr>
        <w:t xml:space="preserve"> μία συγκεντρωτική έκδοση του πίνακα Προσφοράς για το έτος 20</w:t>
      </w:r>
      <w:r w:rsidR="00E002D0" w:rsidRPr="00E002D0">
        <w:rPr>
          <w:rFonts w:ascii="Verdana" w:hAnsi="Verdana" w:cs="Arial"/>
          <w:sz w:val="18"/>
          <w:szCs w:val="18"/>
          <w:lang w:val="el-GR"/>
        </w:rPr>
        <w:t>2</w:t>
      </w:r>
      <w:r w:rsidR="00BC2CEE">
        <w:rPr>
          <w:rFonts w:ascii="Verdana" w:hAnsi="Verdana" w:cs="Arial"/>
          <w:sz w:val="18"/>
          <w:szCs w:val="18"/>
          <w:lang w:val="el-GR"/>
        </w:rPr>
        <w:t>1</w:t>
      </w:r>
      <w:r w:rsidRPr="0018667B">
        <w:rPr>
          <w:rFonts w:ascii="Verdana" w:hAnsi="Verdana" w:cs="Arial"/>
          <w:sz w:val="18"/>
          <w:szCs w:val="18"/>
          <w:lang w:val="el-GR"/>
        </w:rPr>
        <w:t>, σε τρέχουσες τιμές. Η συνολική εγχώρια παραγωγή σε βασικές τιμές είναι €</w:t>
      </w:r>
      <w:r w:rsidR="00BC2CEE">
        <w:rPr>
          <w:rFonts w:ascii="Verdana" w:hAnsi="Verdana" w:cs="Arial"/>
          <w:sz w:val="18"/>
          <w:szCs w:val="18"/>
          <w:lang w:val="el-GR"/>
        </w:rPr>
        <w:t>53</w:t>
      </w:r>
      <w:r w:rsidRPr="0018667B">
        <w:rPr>
          <w:rFonts w:ascii="Verdana" w:hAnsi="Verdana" w:cs="Arial"/>
          <w:sz w:val="18"/>
          <w:szCs w:val="18"/>
          <w:lang w:val="el-GR"/>
        </w:rPr>
        <w:t>.</w:t>
      </w:r>
      <w:r w:rsidR="00BC2CEE">
        <w:rPr>
          <w:rFonts w:ascii="Verdana" w:hAnsi="Verdana" w:cs="Arial"/>
          <w:sz w:val="18"/>
          <w:szCs w:val="18"/>
          <w:lang w:val="el-GR"/>
        </w:rPr>
        <w:t>391</w:t>
      </w:r>
      <w:r w:rsidRPr="0018667B">
        <w:rPr>
          <w:rFonts w:ascii="Verdana" w:hAnsi="Verdana" w:cs="Arial"/>
          <w:sz w:val="18"/>
          <w:szCs w:val="18"/>
          <w:lang w:val="el-GR"/>
        </w:rPr>
        <w:t>,</w:t>
      </w:r>
      <w:r w:rsidR="00BC2CEE">
        <w:rPr>
          <w:rFonts w:ascii="Verdana" w:hAnsi="Verdana" w:cs="Arial"/>
          <w:sz w:val="18"/>
          <w:szCs w:val="18"/>
          <w:lang w:val="el-GR"/>
        </w:rPr>
        <w:t>0</w:t>
      </w:r>
      <w:r w:rsidRPr="0018667B">
        <w:rPr>
          <w:rFonts w:ascii="Verdana" w:hAnsi="Verdana" w:cs="Arial"/>
          <w:sz w:val="18"/>
          <w:szCs w:val="18"/>
          <w:lang w:val="el-GR"/>
        </w:rPr>
        <w:t xml:space="preserve"> εκ. το 20</w:t>
      </w:r>
      <w:r w:rsidR="00E002D0" w:rsidRPr="00E002D0">
        <w:rPr>
          <w:rFonts w:ascii="Verdana" w:hAnsi="Verdana" w:cs="Arial"/>
          <w:sz w:val="18"/>
          <w:szCs w:val="18"/>
          <w:lang w:val="el-GR"/>
        </w:rPr>
        <w:t>2</w:t>
      </w:r>
      <w:r w:rsidR="00BC2CEE">
        <w:rPr>
          <w:rFonts w:ascii="Verdana" w:hAnsi="Verdana" w:cs="Arial"/>
          <w:sz w:val="18"/>
          <w:szCs w:val="18"/>
          <w:lang w:val="el-GR"/>
        </w:rPr>
        <w:t>1</w:t>
      </w:r>
      <w:r w:rsidRPr="0018667B">
        <w:rPr>
          <w:rFonts w:ascii="Verdana" w:hAnsi="Verdana" w:cs="Arial"/>
          <w:sz w:val="18"/>
          <w:szCs w:val="18"/>
          <w:lang w:val="el-GR"/>
        </w:rPr>
        <w:t>, οι συνολικές εισαγωγές €</w:t>
      </w:r>
      <w:r w:rsidR="00BC2CEE">
        <w:rPr>
          <w:rFonts w:ascii="Verdana" w:hAnsi="Verdana" w:cs="Arial"/>
          <w:sz w:val="18"/>
          <w:szCs w:val="18"/>
          <w:lang w:val="el-GR"/>
        </w:rPr>
        <w:t>21</w:t>
      </w:r>
      <w:r w:rsidRPr="0018667B">
        <w:rPr>
          <w:rFonts w:ascii="Verdana" w:hAnsi="Verdana" w:cs="Arial"/>
          <w:sz w:val="18"/>
          <w:szCs w:val="18"/>
          <w:lang w:val="el-GR"/>
        </w:rPr>
        <w:t>.</w:t>
      </w:r>
      <w:r w:rsidR="00BC2CEE">
        <w:rPr>
          <w:rFonts w:ascii="Verdana" w:hAnsi="Verdana" w:cs="Arial"/>
          <w:sz w:val="18"/>
          <w:szCs w:val="18"/>
          <w:lang w:val="el-GR"/>
        </w:rPr>
        <w:t>484</w:t>
      </w:r>
      <w:r w:rsidRPr="0018667B">
        <w:rPr>
          <w:rFonts w:ascii="Verdana" w:hAnsi="Verdana" w:cs="Arial"/>
          <w:sz w:val="18"/>
          <w:szCs w:val="18"/>
          <w:lang w:val="el-GR"/>
        </w:rPr>
        <w:t>,</w:t>
      </w:r>
      <w:r w:rsidR="00BC2CEE">
        <w:rPr>
          <w:rFonts w:ascii="Verdana" w:hAnsi="Verdana" w:cs="Arial"/>
          <w:sz w:val="18"/>
          <w:szCs w:val="18"/>
          <w:lang w:val="el-GR"/>
        </w:rPr>
        <w:t>7</w:t>
      </w:r>
      <w:r w:rsidRPr="0018667B">
        <w:rPr>
          <w:rFonts w:ascii="Verdana" w:hAnsi="Verdana" w:cs="Arial"/>
          <w:sz w:val="18"/>
          <w:szCs w:val="18"/>
          <w:lang w:val="el-GR"/>
        </w:rPr>
        <w:t xml:space="preserve"> εκ. και οι καθαροί φόροι προϊόντων €2.</w:t>
      </w:r>
      <w:r w:rsidR="00BC2CEE">
        <w:rPr>
          <w:rFonts w:ascii="Verdana" w:hAnsi="Verdana" w:cs="Arial"/>
          <w:sz w:val="18"/>
          <w:szCs w:val="18"/>
          <w:lang w:val="el-GR"/>
        </w:rPr>
        <w:t>883</w:t>
      </w:r>
      <w:r w:rsidRPr="0018667B">
        <w:rPr>
          <w:rFonts w:ascii="Verdana" w:hAnsi="Verdana" w:cs="Arial"/>
          <w:sz w:val="18"/>
          <w:szCs w:val="18"/>
          <w:lang w:val="el-GR"/>
        </w:rPr>
        <w:t>,</w:t>
      </w:r>
      <w:r w:rsidR="00BC2CEE">
        <w:rPr>
          <w:rFonts w:ascii="Verdana" w:hAnsi="Verdana" w:cs="Arial"/>
          <w:sz w:val="18"/>
          <w:szCs w:val="18"/>
          <w:lang w:val="el-GR"/>
        </w:rPr>
        <w:t>2</w:t>
      </w:r>
      <w:r w:rsidRPr="0018667B">
        <w:rPr>
          <w:rFonts w:ascii="Verdana" w:hAnsi="Verdana" w:cs="Arial"/>
          <w:sz w:val="18"/>
          <w:szCs w:val="18"/>
          <w:lang w:val="el-GR"/>
        </w:rPr>
        <w:t xml:space="preserve"> εκ.</w:t>
      </w:r>
    </w:p>
    <w:p w14:paraId="04BB9A4B" w14:textId="77777777" w:rsidR="00066BF9" w:rsidRPr="0018667B" w:rsidRDefault="00066BF9" w:rsidP="00066BF9">
      <w:pPr>
        <w:jc w:val="both"/>
        <w:rPr>
          <w:rFonts w:ascii="Verdana" w:hAnsi="Verdana" w:cs="Arial"/>
          <w:sz w:val="18"/>
          <w:szCs w:val="18"/>
          <w:lang w:val="el-GR"/>
        </w:rPr>
      </w:pPr>
    </w:p>
    <w:tbl>
      <w:tblPr>
        <w:tblpPr w:leftFromText="180" w:rightFromText="180" w:vertAnchor="page" w:horzAnchor="margin" w:tblpXSpec="center" w:tblpY="1576"/>
        <w:tblW w:w="10773" w:type="dxa"/>
        <w:tblLook w:val="04A0" w:firstRow="1" w:lastRow="0" w:firstColumn="1" w:lastColumn="0" w:noHBand="0" w:noVBand="1"/>
      </w:tblPr>
      <w:tblGrid>
        <w:gridCol w:w="3937"/>
        <w:gridCol w:w="1418"/>
        <w:gridCol w:w="1319"/>
        <w:gridCol w:w="1261"/>
        <w:gridCol w:w="1305"/>
        <w:gridCol w:w="1533"/>
      </w:tblGrid>
      <w:tr w:rsidR="0043115C" w:rsidRPr="00EA58AD" w14:paraId="558BB65B" w14:textId="77777777" w:rsidTr="00EA58AD">
        <w:trPr>
          <w:trHeight w:val="300"/>
        </w:trPr>
        <w:tc>
          <w:tcPr>
            <w:tcW w:w="10206" w:type="dxa"/>
            <w:gridSpan w:val="6"/>
            <w:tcBorders>
              <w:top w:val="nil"/>
              <w:left w:val="nil"/>
              <w:bottom w:val="single" w:sz="4" w:space="0" w:color="2F5496" w:themeColor="accent1" w:themeShade="BF"/>
              <w:right w:val="nil"/>
            </w:tcBorders>
            <w:shd w:val="clear" w:color="auto" w:fill="auto"/>
            <w:noWrap/>
            <w:vAlign w:val="center"/>
            <w:hideMark/>
          </w:tcPr>
          <w:p w14:paraId="1618EEBE" w14:textId="3774F490" w:rsidR="00491700" w:rsidRPr="00EA58AD" w:rsidRDefault="00491700" w:rsidP="00723A50">
            <w:pPr>
              <w:ind w:right="-113"/>
              <w:jc w:val="both"/>
              <w:rPr>
                <w:rFonts w:ascii="Verdana" w:eastAsia="Times New Roman" w:hAnsi="Verdana" w:cs="Arial"/>
                <w:b/>
                <w:bCs/>
                <w:color w:val="2F5496" w:themeColor="accent1" w:themeShade="BF"/>
                <w:sz w:val="18"/>
                <w:szCs w:val="18"/>
                <w:lang w:val="el-GR"/>
              </w:rPr>
            </w:pPr>
            <w:r w:rsidRPr="00EA58AD">
              <w:rPr>
                <w:rFonts w:ascii="Verdana" w:eastAsia="Malgun Gothic" w:hAnsi="Verdana" w:cs="Arial"/>
                <w:b/>
                <w:bCs/>
                <w:color w:val="2F5496" w:themeColor="accent1" w:themeShade="BF"/>
                <w:sz w:val="18"/>
                <w:szCs w:val="18"/>
                <w:lang w:val="el-GR"/>
              </w:rPr>
              <w:t>Πίνακας</w:t>
            </w:r>
            <w:r w:rsidR="0043115C" w:rsidRPr="00EA58AD">
              <w:rPr>
                <w:rFonts w:ascii="Verdana" w:eastAsia="Malgun Gothic" w:hAnsi="Verdana" w:cs="Arial"/>
                <w:b/>
                <w:bCs/>
                <w:color w:val="2F5496" w:themeColor="accent1" w:themeShade="BF"/>
                <w:sz w:val="18"/>
                <w:szCs w:val="18"/>
                <w:lang w:val="el-GR"/>
              </w:rPr>
              <w:t xml:space="preserve"> 1:</w:t>
            </w:r>
            <w:r w:rsidRPr="00EA58AD">
              <w:rPr>
                <w:rFonts w:ascii="Verdana" w:hAnsi="Verdana"/>
                <w:b/>
                <w:bCs/>
                <w:color w:val="2F5496" w:themeColor="accent1" w:themeShade="BF"/>
                <w:sz w:val="18"/>
                <w:szCs w:val="18"/>
                <w:lang w:val="el-GR"/>
              </w:rPr>
              <w:t xml:space="preserve"> </w:t>
            </w:r>
            <w:r w:rsidRPr="00EA58AD">
              <w:rPr>
                <w:rFonts w:ascii="Verdana" w:eastAsia="Malgun Gothic" w:hAnsi="Verdana" w:cs="Arial"/>
                <w:b/>
                <w:bCs/>
                <w:color w:val="2F5496" w:themeColor="accent1" w:themeShade="BF"/>
                <w:sz w:val="18"/>
                <w:szCs w:val="18"/>
                <w:lang w:val="el-GR"/>
              </w:rPr>
              <w:t>Προσφορά, 20</w:t>
            </w:r>
            <w:r w:rsidR="007C511F" w:rsidRPr="00EA58AD">
              <w:rPr>
                <w:rFonts w:ascii="Verdana" w:eastAsia="Malgun Gothic" w:hAnsi="Verdana" w:cs="Arial"/>
                <w:b/>
                <w:bCs/>
                <w:color w:val="2F5496" w:themeColor="accent1" w:themeShade="BF"/>
                <w:sz w:val="18"/>
                <w:szCs w:val="18"/>
              </w:rPr>
              <w:t>2</w:t>
            </w:r>
            <w:r w:rsidR="00A61CDD" w:rsidRPr="00EA58AD">
              <w:rPr>
                <w:rFonts w:ascii="Verdana" w:eastAsia="Malgun Gothic" w:hAnsi="Verdana" w:cs="Arial"/>
                <w:b/>
                <w:bCs/>
                <w:color w:val="2F5496" w:themeColor="accent1" w:themeShade="BF"/>
                <w:sz w:val="18"/>
                <w:szCs w:val="18"/>
              </w:rPr>
              <w:t>1</w:t>
            </w:r>
            <w:r w:rsidRPr="00EA58AD">
              <w:rPr>
                <w:rFonts w:ascii="Verdana" w:eastAsia="Malgun Gothic" w:hAnsi="Verdana" w:cs="Arial"/>
                <w:b/>
                <w:bCs/>
                <w:color w:val="2F5496" w:themeColor="accent1" w:themeShade="BF"/>
                <w:sz w:val="18"/>
                <w:szCs w:val="18"/>
                <w:lang w:val="el-GR"/>
              </w:rPr>
              <w:t xml:space="preserve"> €εκ.</w:t>
            </w:r>
          </w:p>
        </w:tc>
      </w:tr>
      <w:tr w:rsidR="0043115C" w:rsidRPr="00EA58AD" w14:paraId="2E66AF49" w14:textId="77777777" w:rsidTr="00EA58AD">
        <w:trPr>
          <w:trHeight w:val="679"/>
        </w:trPr>
        <w:tc>
          <w:tcPr>
            <w:tcW w:w="3730" w:type="dxa"/>
            <w:tcBorders>
              <w:top w:val="single" w:sz="4" w:space="0" w:color="2F5496" w:themeColor="accent1" w:themeShade="BF"/>
              <w:bottom w:val="single" w:sz="4" w:space="0" w:color="2F5496" w:themeColor="accent1" w:themeShade="BF"/>
            </w:tcBorders>
            <w:shd w:val="clear" w:color="auto" w:fill="auto"/>
            <w:noWrap/>
            <w:vAlign w:val="center"/>
            <w:hideMark/>
          </w:tcPr>
          <w:p w14:paraId="6BDFA58E" w14:textId="77777777" w:rsidR="00491700" w:rsidRPr="00EA58AD" w:rsidRDefault="00491700" w:rsidP="00491700">
            <w:pPr>
              <w:ind w:left="-247"/>
              <w:jc w:val="center"/>
              <w:rPr>
                <w:rFonts w:ascii="Verdana" w:eastAsia="Times New Roman" w:hAnsi="Verdana" w:cs="Calibri"/>
                <w:b/>
                <w:bCs/>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Κατηγορίες Προϊόντων (CPA)</w:t>
            </w:r>
          </w:p>
        </w:tc>
        <w:tc>
          <w:tcPr>
            <w:tcW w:w="1343" w:type="dxa"/>
            <w:tcBorders>
              <w:top w:val="single" w:sz="4" w:space="0" w:color="2F5496" w:themeColor="accent1" w:themeShade="BF"/>
              <w:bottom w:val="single" w:sz="4" w:space="0" w:color="2F5496" w:themeColor="accent1" w:themeShade="BF"/>
            </w:tcBorders>
            <w:shd w:val="clear" w:color="auto" w:fill="auto"/>
            <w:vAlign w:val="center"/>
            <w:hideMark/>
          </w:tcPr>
          <w:p w14:paraId="7DDF20CF" w14:textId="77777777" w:rsidR="00491700" w:rsidRPr="00EA58AD" w:rsidRDefault="00491700" w:rsidP="00491700">
            <w:pPr>
              <w:ind w:left="-142"/>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Εγχώρια Παραγωγή</w:t>
            </w:r>
          </w:p>
        </w:tc>
        <w:tc>
          <w:tcPr>
            <w:tcW w:w="1250" w:type="dxa"/>
            <w:tcBorders>
              <w:top w:val="single" w:sz="4" w:space="0" w:color="2F5496" w:themeColor="accent1" w:themeShade="BF"/>
              <w:bottom w:val="single" w:sz="4" w:space="0" w:color="2F5496" w:themeColor="accent1" w:themeShade="BF"/>
            </w:tcBorders>
            <w:shd w:val="clear" w:color="auto" w:fill="auto"/>
            <w:vAlign w:val="center"/>
            <w:hideMark/>
          </w:tcPr>
          <w:p w14:paraId="73FA9883" w14:textId="77777777" w:rsidR="00491700" w:rsidRPr="00EA58AD" w:rsidRDefault="00491700" w:rsidP="00491700">
            <w:pPr>
              <w:ind w:left="-142"/>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Εισαγωγές</w:t>
            </w:r>
          </w:p>
        </w:tc>
        <w:tc>
          <w:tcPr>
            <w:tcW w:w="1195" w:type="dxa"/>
            <w:tcBorders>
              <w:top w:val="single" w:sz="4" w:space="0" w:color="2F5496" w:themeColor="accent1" w:themeShade="BF"/>
              <w:bottom w:val="single" w:sz="4" w:space="0" w:color="2F5496" w:themeColor="accent1" w:themeShade="BF"/>
            </w:tcBorders>
            <w:shd w:val="clear" w:color="auto" w:fill="auto"/>
            <w:vAlign w:val="center"/>
            <w:hideMark/>
          </w:tcPr>
          <w:p w14:paraId="6FB9C868" w14:textId="77777777" w:rsidR="00491700" w:rsidRPr="00EA58AD" w:rsidRDefault="00491700" w:rsidP="00491700">
            <w:pPr>
              <w:ind w:left="-142"/>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Εμπορικά Περιθώρια</w:t>
            </w:r>
          </w:p>
        </w:tc>
        <w:tc>
          <w:tcPr>
            <w:tcW w:w="1236" w:type="dxa"/>
            <w:tcBorders>
              <w:top w:val="single" w:sz="4" w:space="0" w:color="2F5496" w:themeColor="accent1" w:themeShade="BF"/>
              <w:bottom w:val="single" w:sz="4" w:space="0" w:color="2F5496" w:themeColor="accent1" w:themeShade="BF"/>
            </w:tcBorders>
            <w:shd w:val="clear" w:color="auto" w:fill="auto"/>
            <w:vAlign w:val="center"/>
            <w:hideMark/>
          </w:tcPr>
          <w:p w14:paraId="454A307F" w14:textId="77777777" w:rsidR="00491700" w:rsidRPr="00EA58AD" w:rsidRDefault="00491700" w:rsidP="00491700">
            <w:pPr>
              <w:ind w:left="-142"/>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Καθαροί Φόροι Προϊόντων</w:t>
            </w:r>
          </w:p>
        </w:tc>
        <w:tc>
          <w:tcPr>
            <w:tcW w:w="1452" w:type="dxa"/>
            <w:tcBorders>
              <w:top w:val="single" w:sz="4" w:space="0" w:color="2F5496" w:themeColor="accent1" w:themeShade="BF"/>
              <w:bottom w:val="single" w:sz="4" w:space="0" w:color="2F5496" w:themeColor="accent1" w:themeShade="BF"/>
            </w:tcBorders>
            <w:shd w:val="clear" w:color="auto" w:fill="auto"/>
            <w:vAlign w:val="center"/>
            <w:hideMark/>
          </w:tcPr>
          <w:p w14:paraId="4A335592" w14:textId="77777777" w:rsidR="00491700" w:rsidRPr="00EA58AD" w:rsidRDefault="00491700" w:rsidP="00491700">
            <w:pPr>
              <w:ind w:left="-142"/>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Συνολική Προσφορά (τιμές αγοραστή)</w:t>
            </w:r>
          </w:p>
        </w:tc>
      </w:tr>
      <w:tr w:rsidR="00A61CDD" w:rsidRPr="00EA58AD" w14:paraId="3CD158F3" w14:textId="77777777" w:rsidTr="00EA58AD">
        <w:trPr>
          <w:trHeight w:val="318"/>
        </w:trPr>
        <w:tc>
          <w:tcPr>
            <w:tcW w:w="3730" w:type="dxa"/>
            <w:tcBorders>
              <w:top w:val="single" w:sz="4" w:space="0" w:color="2F5496" w:themeColor="accent1" w:themeShade="BF"/>
              <w:bottom w:val="nil"/>
            </w:tcBorders>
            <w:shd w:val="clear" w:color="auto" w:fill="auto"/>
            <w:noWrap/>
            <w:vAlign w:val="center"/>
            <w:hideMark/>
          </w:tcPr>
          <w:p w14:paraId="345F56EA"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Γεωργία, δασοκομία &amp; αλιεία (CPA 01-03)</w:t>
            </w:r>
          </w:p>
        </w:tc>
        <w:tc>
          <w:tcPr>
            <w:tcW w:w="1343" w:type="dxa"/>
            <w:tcBorders>
              <w:top w:val="single" w:sz="4" w:space="0" w:color="2F5496" w:themeColor="accent1" w:themeShade="BF"/>
              <w:bottom w:val="nil"/>
            </w:tcBorders>
            <w:shd w:val="clear" w:color="auto" w:fill="auto"/>
            <w:noWrap/>
            <w:vAlign w:val="center"/>
            <w:hideMark/>
          </w:tcPr>
          <w:p w14:paraId="48962F37" w14:textId="115A46F8"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835,9</w:t>
            </w:r>
          </w:p>
        </w:tc>
        <w:tc>
          <w:tcPr>
            <w:tcW w:w="1250" w:type="dxa"/>
            <w:tcBorders>
              <w:top w:val="single" w:sz="4" w:space="0" w:color="2F5496" w:themeColor="accent1" w:themeShade="BF"/>
              <w:bottom w:val="nil"/>
            </w:tcBorders>
            <w:shd w:val="clear" w:color="auto" w:fill="auto"/>
            <w:noWrap/>
            <w:vAlign w:val="center"/>
            <w:hideMark/>
          </w:tcPr>
          <w:p w14:paraId="449E3383" w14:textId="64911B35"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254,3</w:t>
            </w:r>
          </w:p>
        </w:tc>
        <w:tc>
          <w:tcPr>
            <w:tcW w:w="1195" w:type="dxa"/>
            <w:tcBorders>
              <w:top w:val="single" w:sz="4" w:space="0" w:color="2F5496" w:themeColor="accent1" w:themeShade="BF"/>
              <w:bottom w:val="nil"/>
            </w:tcBorders>
            <w:shd w:val="clear" w:color="auto" w:fill="auto"/>
            <w:noWrap/>
            <w:vAlign w:val="center"/>
            <w:hideMark/>
          </w:tcPr>
          <w:p w14:paraId="042AFCF7" w14:textId="455248BC"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121,5</w:t>
            </w:r>
          </w:p>
        </w:tc>
        <w:tc>
          <w:tcPr>
            <w:tcW w:w="1236" w:type="dxa"/>
            <w:tcBorders>
              <w:top w:val="single" w:sz="4" w:space="0" w:color="2F5496" w:themeColor="accent1" w:themeShade="BF"/>
              <w:bottom w:val="nil"/>
            </w:tcBorders>
            <w:shd w:val="clear" w:color="auto" w:fill="auto"/>
            <w:noWrap/>
            <w:vAlign w:val="center"/>
            <w:hideMark/>
          </w:tcPr>
          <w:p w14:paraId="00373114" w14:textId="72AB9CE3"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17,7</w:t>
            </w:r>
          </w:p>
        </w:tc>
        <w:tc>
          <w:tcPr>
            <w:tcW w:w="1452" w:type="dxa"/>
            <w:tcBorders>
              <w:top w:val="single" w:sz="4" w:space="0" w:color="2F5496" w:themeColor="accent1" w:themeShade="BF"/>
              <w:bottom w:val="nil"/>
            </w:tcBorders>
            <w:shd w:val="clear" w:color="auto" w:fill="auto"/>
            <w:noWrap/>
            <w:vAlign w:val="center"/>
            <w:hideMark/>
          </w:tcPr>
          <w:p w14:paraId="60627939" w14:textId="5ABEC6E8"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1.229,4</w:t>
            </w:r>
          </w:p>
        </w:tc>
      </w:tr>
      <w:tr w:rsidR="00A61CDD" w:rsidRPr="00EA58AD" w14:paraId="1AD1702A" w14:textId="77777777" w:rsidTr="00EA58AD">
        <w:trPr>
          <w:trHeight w:val="318"/>
        </w:trPr>
        <w:tc>
          <w:tcPr>
            <w:tcW w:w="3730" w:type="dxa"/>
            <w:tcBorders>
              <w:top w:val="nil"/>
              <w:bottom w:val="nil"/>
            </w:tcBorders>
            <w:shd w:val="clear" w:color="auto" w:fill="auto"/>
            <w:noWrap/>
            <w:vAlign w:val="center"/>
            <w:hideMark/>
          </w:tcPr>
          <w:p w14:paraId="464E30F4"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Μεταποίηση (CPA 05-39)</w:t>
            </w:r>
          </w:p>
        </w:tc>
        <w:tc>
          <w:tcPr>
            <w:tcW w:w="1343" w:type="dxa"/>
            <w:tcBorders>
              <w:top w:val="nil"/>
              <w:bottom w:val="nil"/>
            </w:tcBorders>
            <w:shd w:val="clear" w:color="auto" w:fill="auto"/>
            <w:noWrap/>
            <w:vAlign w:val="center"/>
            <w:hideMark/>
          </w:tcPr>
          <w:p w14:paraId="40B8CFD7" w14:textId="12E5029F"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5.508,3</w:t>
            </w:r>
          </w:p>
        </w:tc>
        <w:tc>
          <w:tcPr>
            <w:tcW w:w="1250" w:type="dxa"/>
            <w:tcBorders>
              <w:top w:val="nil"/>
              <w:bottom w:val="nil"/>
            </w:tcBorders>
            <w:shd w:val="clear" w:color="auto" w:fill="auto"/>
            <w:noWrap/>
            <w:vAlign w:val="center"/>
            <w:hideMark/>
          </w:tcPr>
          <w:p w14:paraId="0D0A44B9" w14:textId="484C02BD"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8.551,7</w:t>
            </w:r>
          </w:p>
        </w:tc>
        <w:tc>
          <w:tcPr>
            <w:tcW w:w="1195" w:type="dxa"/>
            <w:tcBorders>
              <w:top w:val="nil"/>
              <w:bottom w:val="nil"/>
            </w:tcBorders>
            <w:shd w:val="clear" w:color="auto" w:fill="auto"/>
            <w:noWrap/>
            <w:vAlign w:val="center"/>
            <w:hideMark/>
          </w:tcPr>
          <w:p w14:paraId="5DFB29F9" w14:textId="75EF80B8"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3.544,8</w:t>
            </w:r>
          </w:p>
        </w:tc>
        <w:tc>
          <w:tcPr>
            <w:tcW w:w="1236" w:type="dxa"/>
            <w:tcBorders>
              <w:top w:val="nil"/>
              <w:bottom w:val="nil"/>
            </w:tcBorders>
            <w:shd w:val="clear" w:color="auto" w:fill="auto"/>
            <w:noWrap/>
            <w:vAlign w:val="center"/>
            <w:hideMark/>
          </w:tcPr>
          <w:p w14:paraId="07861B37" w14:textId="681B5143"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1.669,2</w:t>
            </w:r>
          </w:p>
        </w:tc>
        <w:tc>
          <w:tcPr>
            <w:tcW w:w="1452" w:type="dxa"/>
            <w:tcBorders>
              <w:top w:val="nil"/>
              <w:bottom w:val="nil"/>
            </w:tcBorders>
            <w:shd w:val="clear" w:color="auto" w:fill="auto"/>
            <w:noWrap/>
            <w:vAlign w:val="center"/>
            <w:hideMark/>
          </w:tcPr>
          <w:p w14:paraId="3ECEB3B8" w14:textId="613BF6BD"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19.274,1</w:t>
            </w:r>
          </w:p>
        </w:tc>
      </w:tr>
      <w:tr w:rsidR="00A61CDD" w:rsidRPr="00EA58AD" w14:paraId="006A0171" w14:textId="77777777" w:rsidTr="00EA58AD">
        <w:trPr>
          <w:trHeight w:val="318"/>
        </w:trPr>
        <w:tc>
          <w:tcPr>
            <w:tcW w:w="3730" w:type="dxa"/>
            <w:tcBorders>
              <w:top w:val="nil"/>
              <w:bottom w:val="nil"/>
            </w:tcBorders>
            <w:shd w:val="clear" w:color="auto" w:fill="auto"/>
            <w:noWrap/>
            <w:vAlign w:val="center"/>
            <w:hideMark/>
          </w:tcPr>
          <w:p w14:paraId="6FC8B852"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Κατασκευαστικές εργασίες (CPA 41-43)</w:t>
            </w:r>
          </w:p>
        </w:tc>
        <w:tc>
          <w:tcPr>
            <w:tcW w:w="1343" w:type="dxa"/>
            <w:tcBorders>
              <w:top w:val="nil"/>
              <w:bottom w:val="nil"/>
            </w:tcBorders>
            <w:shd w:val="clear" w:color="auto" w:fill="auto"/>
            <w:noWrap/>
            <w:vAlign w:val="center"/>
            <w:hideMark/>
          </w:tcPr>
          <w:p w14:paraId="0254236B" w14:textId="3106000D"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5.004,7</w:t>
            </w:r>
          </w:p>
        </w:tc>
        <w:tc>
          <w:tcPr>
            <w:tcW w:w="1250" w:type="dxa"/>
            <w:tcBorders>
              <w:top w:val="nil"/>
              <w:bottom w:val="nil"/>
            </w:tcBorders>
            <w:shd w:val="clear" w:color="auto" w:fill="auto"/>
            <w:noWrap/>
            <w:vAlign w:val="center"/>
            <w:hideMark/>
          </w:tcPr>
          <w:p w14:paraId="70DF7CA3" w14:textId="0E5AF829"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2,3</w:t>
            </w:r>
          </w:p>
        </w:tc>
        <w:tc>
          <w:tcPr>
            <w:tcW w:w="1195" w:type="dxa"/>
            <w:tcBorders>
              <w:top w:val="nil"/>
              <w:bottom w:val="nil"/>
            </w:tcBorders>
            <w:shd w:val="clear" w:color="auto" w:fill="auto"/>
            <w:noWrap/>
            <w:vAlign w:val="center"/>
            <w:hideMark/>
          </w:tcPr>
          <w:p w14:paraId="48BD5EF8" w14:textId="328589D3"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0,0</w:t>
            </w:r>
          </w:p>
        </w:tc>
        <w:tc>
          <w:tcPr>
            <w:tcW w:w="1236" w:type="dxa"/>
            <w:tcBorders>
              <w:top w:val="nil"/>
              <w:bottom w:val="nil"/>
            </w:tcBorders>
            <w:shd w:val="clear" w:color="auto" w:fill="auto"/>
            <w:noWrap/>
            <w:vAlign w:val="center"/>
            <w:hideMark/>
          </w:tcPr>
          <w:p w14:paraId="23F13446" w14:textId="0A1AF336"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427,8</w:t>
            </w:r>
          </w:p>
        </w:tc>
        <w:tc>
          <w:tcPr>
            <w:tcW w:w="1452" w:type="dxa"/>
            <w:tcBorders>
              <w:top w:val="nil"/>
              <w:bottom w:val="nil"/>
            </w:tcBorders>
            <w:shd w:val="clear" w:color="auto" w:fill="auto"/>
            <w:noWrap/>
            <w:vAlign w:val="center"/>
            <w:hideMark/>
          </w:tcPr>
          <w:p w14:paraId="776F35A5" w14:textId="3F967C69"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5.434,8</w:t>
            </w:r>
          </w:p>
        </w:tc>
      </w:tr>
      <w:tr w:rsidR="00A61CDD" w:rsidRPr="00EA58AD" w14:paraId="2B7D36FC" w14:textId="77777777" w:rsidTr="00EA58AD">
        <w:trPr>
          <w:trHeight w:val="318"/>
        </w:trPr>
        <w:tc>
          <w:tcPr>
            <w:tcW w:w="3730" w:type="dxa"/>
            <w:tcBorders>
              <w:top w:val="nil"/>
              <w:bottom w:val="nil"/>
            </w:tcBorders>
            <w:shd w:val="clear" w:color="auto" w:fill="auto"/>
            <w:noWrap/>
            <w:vAlign w:val="center"/>
            <w:hideMark/>
          </w:tcPr>
          <w:p w14:paraId="7DC60152"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Διανομή &amp; μεταφορές (CPA 45-53)</w:t>
            </w:r>
          </w:p>
        </w:tc>
        <w:tc>
          <w:tcPr>
            <w:tcW w:w="1343" w:type="dxa"/>
            <w:tcBorders>
              <w:top w:val="nil"/>
              <w:bottom w:val="nil"/>
            </w:tcBorders>
            <w:shd w:val="clear" w:color="auto" w:fill="auto"/>
            <w:noWrap/>
            <w:vAlign w:val="center"/>
            <w:hideMark/>
          </w:tcPr>
          <w:p w14:paraId="302DAC9D" w14:textId="28B4BB60"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9.677,3</w:t>
            </w:r>
          </w:p>
        </w:tc>
        <w:tc>
          <w:tcPr>
            <w:tcW w:w="1250" w:type="dxa"/>
            <w:tcBorders>
              <w:top w:val="nil"/>
              <w:bottom w:val="nil"/>
            </w:tcBorders>
            <w:shd w:val="clear" w:color="auto" w:fill="auto"/>
            <w:noWrap/>
            <w:vAlign w:val="center"/>
            <w:hideMark/>
          </w:tcPr>
          <w:p w14:paraId="6343D4A1" w14:textId="66B46B1E"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2.029,6</w:t>
            </w:r>
          </w:p>
        </w:tc>
        <w:tc>
          <w:tcPr>
            <w:tcW w:w="1195" w:type="dxa"/>
            <w:tcBorders>
              <w:top w:val="nil"/>
              <w:bottom w:val="nil"/>
            </w:tcBorders>
            <w:shd w:val="clear" w:color="auto" w:fill="auto"/>
            <w:noWrap/>
            <w:vAlign w:val="center"/>
            <w:hideMark/>
          </w:tcPr>
          <w:p w14:paraId="3C411D46" w14:textId="32913847"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-3.715,4</w:t>
            </w:r>
          </w:p>
        </w:tc>
        <w:tc>
          <w:tcPr>
            <w:tcW w:w="1236" w:type="dxa"/>
            <w:tcBorders>
              <w:top w:val="nil"/>
              <w:bottom w:val="nil"/>
            </w:tcBorders>
            <w:shd w:val="clear" w:color="auto" w:fill="auto"/>
            <w:noWrap/>
            <w:vAlign w:val="center"/>
            <w:hideMark/>
          </w:tcPr>
          <w:p w14:paraId="290CD8C7" w14:textId="1EFD9788"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6,9</w:t>
            </w:r>
          </w:p>
        </w:tc>
        <w:tc>
          <w:tcPr>
            <w:tcW w:w="1452" w:type="dxa"/>
            <w:tcBorders>
              <w:top w:val="nil"/>
              <w:bottom w:val="nil"/>
            </w:tcBorders>
            <w:shd w:val="clear" w:color="auto" w:fill="auto"/>
            <w:noWrap/>
            <w:vAlign w:val="center"/>
            <w:hideMark/>
          </w:tcPr>
          <w:p w14:paraId="6CE515AB" w14:textId="3B386B4F"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7.998,4</w:t>
            </w:r>
          </w:p>
        </w:tc>
      </w:tr>
      <w:tr w:rsidR="00A61CDD" w:rsidRPr="00EA58AD" w14:paraId="680D82C3" w14:textId="77777777" w:rsidTr="00EA58AD">
        <w:trPr>
          <w:trHeight w:val="318"/>
        </w:trPr>
        <w:tc>
          <w:tcPr>
            <w:tcW w:w="3730" w:type="dxa"/>
            <w:tcBorders>
              <w:top w:val="nil"/>
              <w:bottom w:val="nil"/>
            </w:tcBorders>
            <w:shd w:val="clear" w:color="auto" w:fill="auto"/>
            <w:noWrap/>
            <w:vAlign w:val="center"/>
            <w:hideMark/>
          </w:tcPr>
          <w:p w14:paraId="7DB330BE"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Επιχειρηματικές υπηρεσίες (CPA 55-82)</w:t>
            </w:r>
          </w:p>
        </w:tc>
        <w:tc>
          <w:tcPr>
            <w:tcW w:w="1343" w:type="dxa"/>
            <w:tcBorders>
              <w:top w:val="nil"/>
              <w:bottom w:val="nil"/>
            </w:tcBorders>
            <w:shd w:val="clear" w:color="auto" w:fill="auto"/>
            <w:noWrap/>
            <w:vAlign w:val="center"/>
            <w:hideMark/>
          </w:tcPr>
          <w:p w14:paraId="5E61E900" w14:textId="153D48BA"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25.537,8</w:t>
            </w:r>
          </w:p>
        </w:tc>
        <w:tc>
          <w:tcPr>
            <w:tcW w:w="1250" w:type="dxa"/>
            <w:tcBorders>
              <w:top w:val="nil"/>
              <w:bottom w:val="nil"/>
            </w:tcBorders>
            <w:shd w:val="clear" w:color="auto" w:fill="auto"/>
            <w:noWrap/>
            <w:vAlign w:val="center"/>
            <w:hideMark/>
          </w:tcPr>
          <w:p w14:paraId="6D348821" w14:textId="217C28B1"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10.340,8</w:t>
            </w:r>
          </w:p>
        </w:tc>
        <w:tc>
          <w:tcPr>
            <w:tcW w:w="1195" w:type="dxa"/>
            <w:tcBorders>
              <w:top w:val="nil"/>
              <w:bottom w:val="nil"/>
            </w:tcBorders>
            <w:shd w:val="clear" w:color="auto" w:fill="auto"/>
            <w:noWrap/>
            <w:vAlign w:val="center"/>
            <w:hideMark/>
          </w:tcPr>
          <w:p w14:paraId="13573FBE" w14:textId="1A75D7D8"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49,1</w:t>
            </w:r>
          </w:p>
        </w:tc>
        <w:tc>
          <w:tcPr>
            <w:tcW w:w="1236" w:type="dxa"/>
            <w:tcBorders>
              <w:top w:val="nil"/>
              <w:bottom w:val="nil"/>
            </w:tcBorders>
            <w:shd w:val="clear" w:color="auto" w:fill="auto"/>
            <w:noWrap/>
            <w:vAlign w:val="center"/>
            <w:hideMark/>
          </w:tcPr>
          <w:p w14:paraId="15352947" w14:textId="595A1CF7"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695,0</w:t>
            </w:r>
          </w:p>
        </w:tc>
        <w:tc>
          <w:tcPr>
            <w:tcW w:w="1452" w:type="dxa"/>
            <w:tcBorders>
              <w:top w:val="nil"/>
              <w:bottom w:val="nil"/>
            </w:tcBorders>
            <w:shd w:val="clear" w:color="auto" w:fill="auto"/>
            <w:noWrap/>
            <w:vAlign w:val="center"/>
            <w:hideMark/>
          </w:tcPr>
          <w:p w14:paraId="337D46AF" w14:textId="17877E30"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36.622,6</w:t>
            </w:r>
          </w:p>
        </w:tc>
      </w:tr>
      <w:tr w:rsidR="00A61CDD" w:rsidRPr="00EA58AD" w14:paraId="0415A9B9" w14:textId="77777777" w:rsidTr="00EA58AD">
        <w:trPr>
          <w:trHeight w:val="318"/>
        </w:trPr>
        <w:tc>
          <w:tcPr>
            <w:tcW w:w="3730" w:type="dxa"/>
            <w:tcBorders>
              <w:top w:val="nil"/>
              <w:bottom w:val="single" w:sz="4" w:space="0" w:color="2F5496" w:themeColor="accent1" w:themeShade="BF"/>
            </w:tcBorders>
            <w:shd w:val="clear" w:color="auto" w:fill="auto"/>
            <w:noWrap/>
            <w:vAlign w:val="center"/>
            <w:hideMark/>
          </w:tcPr>
          <w:p w14:paraId="695E4ED9" w14:textId="77777777" w:rsidR="00A61CDD" w:rsidRPr="00EA58AD" w:rsidRDefault="00A61CDD" w:rsidP="00A61CDD">
            <w:pPr>
              <w:ind w:left="-105"/>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Άλλες υπηρεσίες (CPA 84-99)</w:t>
            </w:r>
          </w:p>
        </w:tc>
        <w:tc>
          <w:tcPr>
            <w:tcW w:w="1343" w:type="dxa"/>
            <w:tcBorders>
              <w:top w:val="nil"/>
              <w:bottom w:val="single" w:sz="4" w:space="0" w:color="2F5496" w:themeColor="accent1" w:themeShade="BF"/>
            </w:tcBorders>
            <w:shd w:val="clear" w:color="auto" w:fill="auto"/>
            <w:noWrap/>
            <w:vAlign w:val="center"/>
            <w:hideMark/>
          </w:tcPr>
          <w:p w14:paraId="6203DD21" w14:textId="78039A7B"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6.827,0</w:t>
            </w:r>
          </w:p>
        </w:tc>
        <w:tc>
          <w:tcPr>
            <w:tcW w:w="1250" w:type="dxa"/>
            <w:tcBorders>
              <w:top w:val="nil"/>
              <w:bottom w:val="single" w:sz="4" w:space="0" w:color="2F5496" w:themeColor="accent1" w:themeShade="BF"/>
            </w:tcBorders>
            <w:shd w:val="clear" w:color="auto" w:fill="auto"/>
            <w:noWrap/>
            <w:vAlign w:val="center"/>
            <w:hideMark/>
          </w:tcPr>
          <w:p w14:paraId="49473652" w14:textId="67CA495A"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306,0</w:t>
            </w:r>
          </w:p>
        </w:tc>
        <w:tc>
          <w:tcPr>
            <w:tcW w:w="1195" w:type="dxa"/>
            <w:tcBorders>
              <w:top w:val="nil"/>
              <w:bottom w:val="single" w:sz="4" w:space="0" w:color="2F5496" w:themeColor="accent1" w:themeShade="BF"/>
            </w:tcBorders>
            <w:shd w:val="clear" w:color="auto" w:fill="auto"/>
            <w:noWrap/>
            <w:vAlign w:val="center"/>
            <w:hideMark/>
          </w:tcPr>
          <w:p w14:paraId="4BFBC0E1" w14:textId="299383EB"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0,0</w:t>
            </w:r>
          </w:p>
        </w:tc>
        <w:tc>
          <w:tcPr>
            <w:tcW w:w="1236" w:type="dxa"/>
            <w:tcBorders>
              <w:top w:val="nil"/>
              <w:bottom w:val="single" w:sz="4" w:space="0" w:color="2F5496" w:themeColor="accent1" w:themeShade="BF"/>
            </w:tcBorders>
            <w:shd w:val="clear" w:color="auto" w:fill="auto"/>
            <w:noWrap/>
            <w:vAlign w:val="center"/>
            <w:hideMark/>
          </w:tcPr>
          <w:p w14:paraId="14235075" w14:textId="632A845F" w:rsidR="00A61CDD" w:rsidRPr="00EA58AD" w:rsidRDefault="00A61CDD" w:rsidP="00A61CDD">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66,7</w:t>
            </w:r>
          </w:p>
        </w:tc>
        <w:tc>
          <w:tcPr>
            <w:tcW w:w="1452" w:type="dxa"/>
            <w:tcBorders>
              <w:top w:val="nil"/>
              <w:bottom w:val="single" w:sz="4" w:space="0" w:color="2F5496" w:themeColor="accent1" w:themeShade="BF"/>
            </w:tcBorders>
            <w:shd w:val="clear" w:color="auto" w:fill="auto"/>
            <w:noWrap/>
            <w:vAlign w:val="center"/>
            <w:hideMark/>
          </w:tcPr>
          <w:p w14:paraId="29D24E61" w14:textId="6B390731" w:rsidR="00A61CDD" w:rsidRPr="00EA58AD" w:rsidRDefault="00A61CDD" w:rsidP="00A61CDD">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7.199,6</w:t>
            </w:r>
          </w:p>
        </w:tc>
      </w:tr>
      <w:tr w:rsidR="00A61CDD" w:rsidRPr="00EA58AD" w14:paraId="064AEEC2" w14:textId="77777777" w:rsidTr="00EA58AD">
        <w:trPr>
          <w:trHeight w:val="355"/>
        </w:trPr>
        <w:tc>
          <w:tcPr>
            <w:tcW w:w="3730" w:type="dxa"/>
            <w:tcBorders>
              <w:top w:val="single" w:sz="4" w:space="0" w:color="2F5496" w:themeColor="accent1" w:themeShade="BF"/>
              <w:bottom w:val="single" w:sz="4" w:space="0" w:color="2F5496" w:themeColor="accent1" w:themeShade="BF"/>
            </w:tcBorders>
            <w:shd w:val="clear" w:color="auto" w:fill="auto"/>
            <w:noWrap/>
            <w:vAlign w:val="center"/>
            <w:hideMark/>
          </w:tcPr>
          <w:p w14:paraId="4E1CC073" w14:textId="77777777" w:rsidR="00A61CDD" w:rsidRPr="00EA58AD" w:rsidRDefault="00A61CDD" w:rsidP="00A61CDD">
            <w:pPr>
              <w:ind w:left="-105"/>
              <w:rPr>
                <w:rFonts w:ascii="Verdana" w:eastAsia="Times New Roman" w:hAnsi="Verdana" w:cs="Arial"/>
                <w:b/>
                <w:bCs/>
                <w:color w:val="2F5496" w:themeColor="accent1" w:themeShade="BF"/>
                <w:sz w:val="18"/>
                <w:szCs w:val="18"/>
                <w:lang w:val="el-GR"/>
              </w:rPr>
            </w:pPr>
            <w:r w:rsidRPr="00EA58AD">
              <w:rPr>
                <w:rFonts w:ascii="Verdana" w:eastAsia="Times New Roman" w:hAnsi="Verdana" w:cs="Arial"/>
                <w:b/>
                <w:bCs/>
                <w:color w:val="2F5496" w:themeColor="accent1" w:themeShade="BF"/>
                <w:sz w:val="18"/>
                <w:szCs w:val="18"/>
                <w:lang w:val="el-GR"/>
              </w:rPr>
              <w:t xml:space="preserve"> Συνολική Προσφορά (CPA </w:t>
            </w:r>
            <w:r w:rsidRPr="00EA58AD">
              <w:rPr>
                <w:rFonts w:ascii="Verdana" w:eastAsia="Times New Roman" w:hAnsi="Verdana" w:cs="Arial"/>
                <w:b/>
                <w:bCs/>
                <w:color w:val="2F5496" w:themeColor="accent1" w:themeShade="BF"/>
                <w:sz w:val="18"/>
                <w:szCs w:val="18"/>
              </w:rPr>
              <w:t>0</w:t>
            </w:r>
            <w:r w:rsidRPr="00EA58AD">
              <w:rPr>
                <w:rFonts w:ascii="Verdana" w:eastAsia="Times New Roman" w:hAnsi="Verdana" w:cs="Arial"/>
                <w:b/>
                <w:bCs/>
                <w:color w:val="2F5496" w:themeColor="accent1" w:themeShade="BF"/>
                <w:sz w:val="18"/>
                <w:szCs w:val="18"/>
                <w:lang w:val="el-GR"/>
              </w:rPr>
              <w:t>1-99)</w:t>
            </w:r>
          </w:p>
        </w:tc>
        <w:tc>
          <w:tcPr>
            <w:tcW w:w="1343" w:type="dxa"/>
            <w:tcBorders>
              <w:top w:val="single" w:sz="4" w:space="0" w:color="2F5496" w:themeColor="accent1" w:themeShade="BF"/>
              <w:bottom w:val="single" w:sz="4" w:space="0" w:color="2F5496" w:themeColor="accent1" w:themeShade="BF"/>
            </w:tcBorders>
            <w:shd w:val="clear" w:color="auto" w:fill="auto"/>
            <w:noWrap/>
            <w:vAlign w:val="center"/>
            <w:hideMark/>
          </w:tcPr>
          <w:p w14:paraId="400FD5FE" w14:textId="7678DDB3" w:rsidR="00A61CDD" w:rsidRPr="00EA58AD" w:rsidRDefault="00A61CDD" w:rsidP="00A61CDD">
            <w:pPr>
              <w:spacing w:after="26"/>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53.391,0</w:t>
            </w:r>
          </w:p>
        </w:tc>
        <w:tc>
          <w:tcPr>
            <w:tcW w:w="1250" w:type="dxa"/>
            <w:tcBorders>
              <w:top w:val="single" w:sz="4" w:space="0" w:color="2F5496" w:themeColor="accent1" w:themeShade="BF"/>
              <w:bottom w:val="single" w:sz="4" w:space="0" w:color="2F5496" w:themeColor="accent1" w:themeShade="BF"/>
            </w:tcBorders>
            <w:shd w:val="clear" w:color="auto" w:fill="auto"/>
            <w:noWrap/>
            <w:vAlign w:val="center"/>
            <w:hideMark/>
          </w:tcPr>
          <w:p w14:paraId="3A913F6D" w14:textId="01811CB4" w:rsidR="00A61CDD" w:rsidRPr="00EA58AD" w:rsidRDefault="00A61CDD" w:rsidP="00A61CDD">
            <w:pPr>
              <w:spacing w:after="26"/>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21.484,7</w:t>
            </w:r>
          </w:p>
        </w:tc>
        <w:tc>
          <w:tcPr>
            <w:tcW w:w="1195" w:type="dxa"/>
            <w:tcBorders>
              <w:top w:val="single" w:sz="4" w:space="0" w:color="2F5496" w:themeColor="accent1" w:themeShade="BF"/>
              <w:bottom w:val="single" w:sz="4" w:space="0" w:color="2F5496" w:themeColor="accent1" w:themeShade="BF"/>
            </w:tcBorders>
            <w:shd w:val="clear" w:color="auto" w:fill="auto"/>
            <w:noWrap/>
            <w:vAlign w:val="center"/>
            <w:hideMark/>
          </w:tcPr>
          <w:p w14:paraId="713AFD61" w14:textId="40D426B1" w:rsidR="00A61CDD" w:rsidRPr="00EA58AD" w:rsidRDefault="00A61CDD" w:rsidP="00A61CDD">
            <w:pPr>
              <w:spacing w:after="26"/>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0,0</w:t>
            </w:r>
          </w:p>
        </w:tc>
        <w:tc>
          <w:tcPr>
            <w:tcW w:w="1236" w:type="dxa"/>
            <w:tcBorders>
              <w:top w:val="single" w:sz="4" w:space="0" w:color="2F5496" w:themeColor="accent1" w:themeShade="BF"/>
              <w:bottom w:val="single" w:sz="4" w:space="0" w:color="2F5496" w:themeColor="accent1" w:themeShade="BF"/>
            </w:tcBorders>
            <w:shd w:val="clear" w:color="auto" w:fill="auto"/>
            <w:noWrap/>
            <w:vAlign w:val="center"/>
            <w:hideMark/>
          </w:tcPr>
          <w:p w14:paraId="7F1768B2" w14:textId="30F5301D" w:rsidR="00A61CDD" w:rsidRPr="00EA58AD" w:rsidRDefault="00A61CDD" w:rsidP="00A61CDD">
            <w:pPr>
              <w:spacing w:after="26"/>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2.883,2</w:t>
            </w:r>
          </w:p>
        </w:tc>
        <w:tc>
          <w:tcPr>
            <w:tcW w:w="1452" w:type="dxa"/>
            <w:tcBorders>
              <w:top w:val="single" w:sz="4" w:space="0" w:color="2F5496" w:themeColor="accent1" w:themeShade="BF"/>
              <w:bottom w:val="single" w:sz="4" w:space="0" w:color="2F5496" w:themeColor="accent1" w:themeShade="BF"/>
            </w:tcBorders>
            <w:shd w:val="clear" w:color="auto" w:fill="auto"/>
            <w:noWrap/>
            <w:vAlign w:val="center"/>
            <w:hideMark/>
          </w:tcPr>
          <w:p w14:paraId="40187B9C" w14:textId="020AE67F" w:rsidR="00A61CDD" w:rsidRPr="00EA58AD" w:rsidRDefault="00A61CDD" w:rsidP="00A61CDD">
            <w:pPr>
              <w:spacing w:after="26"/>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77.758,9</w:t>
            </w:r>
          </w:p>
        </w:tc>
      </w:tr>
    </w:tbl>
    <w:p w14:paraId="13C64926" w14:textId="57F583D1" w:rsidR="00150D80" w:rsidRDefault="00150D80" w:rsidP="00150D80">
      <w:pPr>
        <w:jc w:val="both"/>
        <w:rPr>
          <w:rFonts w:ascii="Verdana" w:hAnsi="Verdana" w:cs="Arial"/>
          <w:sz w:val="18"/>
          <w:szCs w:val="18"/>
          <w:lang w:val="el-GR"/>
        </w:rPr>
      </w:pPr>
      <w:r w:rsidRPr="0018667B">
        <w:rPr>
          <w:rFonts w:ascii="Verdana" w:hAnsi="Verdana" w:cs="Arial"/>
          <w:sz w:val="18"/>
          <w:szCs w:val="18"/>
          <w:lang w:val="el-GR"/>
        </w:rPr>
        <w:t xml:space="preserve">Η εγχώρια παραγωγή αποτελεί το </w:t>
      </w:r>
      <w:r w:rsidR="00E002D0" w:rsidRPr="00E002D0">
        <w:rPr>
          <w:rFonts w:ascii="Verdana" w:hAnsi="Verdana" w:cs="Arial"/>
          <w:sz w:val="18"/>
          <w:szCs w:val="18"/>
          <w:lang w:val="el-GR"/>
        </w:rPr>
        <w:t>6</w:t>
      </w:r>
      <w:r w:rsidR="00622ECA">
        <w:rPr>
          <w:rFonts w:ascii="Verdana" w:hAnsi="Verdana" w:cs="Arial"/>
          <w:sz w:val="18"/>
          <w:szCs w:val="18"/>
          <w:lang w:val="el-GR"/>
        </w:rPr>
        <w:t>8</w:t>
      </w:r>
      <w:r w:rsidRPr="0018667B">
        <w:rPr>
          <w:rFonts w:ascii="Verdana" w:hAnsi="Verdana" w:cs="Arial"/>
          <w:sz w:val="18"/>
          <w:szCs w:val="18"/>
          <w:lang w:val="el-GR"/>
        </w:rPr>
        <w:t>,</w:t>
      </w:r>
      <w:r w:rsidR="00622ECA">
        <w:rPr>
          <w:rFonts w:ascii="Verdana" w:hAnsi="Verdana" w:cs="Arial"/>
          <w:sz w:val="18"/>
          <w:szCs w:val="18"/>
          <w:lang w:val="el-GR"/>
        </w:rPr>
        <w:t>7</w:t>
      </w:r>
      <w:r w:rsidRPr="0018667B">
        <w:rPr>
          <w:rFonts w:ascii="Verdana" w:hAnsi="Verdana" w:cs="Arial"/>
          <w:sz w:val="18"/>
          <w:szCs w:val="18"/>
          <w:lang w:val="el-GR"/>
        </w:rPr>
        <w:t>% της συνολικής προσφοράς, οι εισαγωγές το 2</w:t>
      </w:r>
      <w:r w:rsidR="00622ECA">
        <w:rPr>
          <w:rFonts w:ascii="Verdana" w:hAnsi="Verdana" w:cs="Arial"/>
          <w:sz w:val="18"/>
          <w:szCs w:val="18"/>
          <w:lang w:val="el-GR"/>
        </w:rPr>
        <w:t>7</w:t>
      </w:r>
      <w:r w:rsidRPr="0018667B">
        <w:rPr>
          <w:rFonts w:ascii="Verdana" w:hAnsi="Verdana" w:cs="Arial"/>
          <w:sz w:val="18"/>
          <w:szCs w:val="18"/>
          <w:lang w:val="el-GR"/>
        </w:rPr>
        <w:t>,</w:t>
      </w:r>
      <w:r w:rsidR="00622ECA">
        <w:rPr>
          <w:rFonts w:ascii="Verdana" w:hAnsi="Verdana" w:cs="Arial"/>
          <w:sz w:val="18"/>
          <w:szCs w:val="18"/>
          <w:lang w:val="el-GR"/>
        </w:rPr>
        <w:t>6</w:t>
      </w:r>
      <w:r w:rsidRPr="0018667B">
        <w:rPr>
          <w:rFonts w:ascii="Verdana" w:hAnsi="Verdana" w:cs="Arial"/>
          <w:sz w:val="18"/>
          <w:szCs w:val="18"/>
          <w:lang w:val="el-GR"/>
        </w:rPr>
        <w:t xml:space="preserve">% και οι καθαροί φόροι το </w:t>
      </w:r>
      <w:r w:rsidR="00E002D0" w:rsidRPr="00E002D0">
        <w:rPr>
          <w:rFonts w:ascii="Verdana" w:hAnsi="Verdana" w:cs="Arial"/>
          <w:sz w:val="18"/>
          <w:szCs w:val="18"/>
          <w:lang w:val="el-GR"/>
        </w:rPr>
        <w:t>3</w:t>
      </w:r>
      <w:r w:rsidRPr="0018667B">
        <w:rPr>
          <w:rFonts w:ascii="Verdana" w:hAnsi="Verdana" w:cs="Arial"/>
          <w:sz w:val="18"/>
          <w:szCs w:val="18"/>
          <w:lang w:val="el-GR"/>
        </w:rPr>
        <w:t>,</w:t>
      </w:r>
      <w:r w:rsidR="00E002D0" w:rsidRPr="00E002D0">
        <w:rPr>
          <w:rFonts w:ascii="Verdana" w:hAnsi="Verdana" w:cs="Arial"/>
          <w:sz w:val="18"/>
          <w:szCs w:val="18"/>
          <w:lang w:val="el-GR"/>
        </w:rPr>
        <w:t>7</w:t>
      </w:r>
      <w:r w:rsidRPr="0018667B">
        <w:rPr>
          <w:rFonts w:ascii="Verdana" w:hAnsi="Verdana" w:cs="Arial"/>
          <w:sz w:val="18"/>
          <w:szCs w:val="18"/>
          <w:lang w:val="el-GR"/>
        </w:rPr>
        <w:t>%. Οι εισαγωγές κατέχουν ένα ιδιαίτερα μεγάλο μερίδιο (4</w:t>
      </w:r>
      <w:r w:rsidR="00622ECA">
        <w:rPr>
          <w:rFonts w:ascii="Verdana" w:hAnsi="Verdana" w:cs="Arial"/>
          <w:sz w:val="18"/>
          <w:szCs w:val="18"/>
          <w:lang w:val="el-GR"/>
        </w:rPr>
        <w:t>4</w:t>
      </w:r>
      <w:r w:rsidRPr="0018667B">
        <w:rPr>
          <w:rFonts w:ascii="Verdana" w:hAnsi="Verdana" w:cs="Arial"/>
          <w:sz w:val="18"/>
          <w:szCs w:val="18"/>
          <w:lang w:val="el-GR"/>
        </w:rPr>
        <w:t>,</w:t>
      </w:r>
      <w:r w:rsidR="00622ECA">
        <w:rPr>
          <w:rFonts w:ascii="Verdana" w:hAnsi="Verdana" w:cs="Arial"/>
          <w:sz w:val="18"/>
          <w:szCs w:val="18"/>
          <w:lang w:val="el-GR"/>
        </w:rPr>
        <w:t>4</w:t>
      </w:r>
      <w:r w:rsidRPr="0018667B">
        <w:rPr>
          <w:rFonts w:ascii="Verdana" w:hAnsi="Verdana" w:cs="Arial"/>
          <w:sz w:val="18"/>
          <w:szCs w:val="18"/>
          <w:lang w:val="el-GR"/>
        </w:rPr>
        <w:t>%) στη συνολική προσφορά μεταποιητικών προϊόντων. Οι καθαροί φόροι στα προϊόντα έχουν μεγαλύτερο μερίδιο στην προσφορά μεταποιητικών προϊόντων (</w:t>
      </w:r>
      <w:r w:rsidR="00622ECA">
        <w:rPr>
          <w:rFonts w:ascii="Verdana" w:hAnsi="Verdana" w:cs="Arial"/>
          <w:sz w:val="18"/>
          <w:szCs w:val="18"/>
          <w:lang w:val="el-GR"/>
        </w:rPr>
        <w:t>8</w:t>
      </w:r>
      <w:r w:rsidRPr="0018667B">
        <w:rPr>
          <w:rFonts w:ascii="Verdana" w:hAnsi="Verdana" w:cs="Arial"/>
          <w:sz w:val="18"/>
          <w:szCs w:val="18"/>
          <w:lang w:val="el-GR"/>
        </w:rPr>
        <w:t>,</w:t>
      </w:r>
      <w:r w:rsidR="00622ECA">
        <w:rPr>
          <w:rFonts w:ascii="Verdana" w:hAnsi="Verdana" w:cs="Arial"/>
          <w:sz w:val="18"/>
          <w:szCs w:val="18"/>
          <w:lang w:val="el-GR"/>
        </w:rPr>
        <w:t>7</w:t>
      </w:r>
      <w:r w:rsidRPr="0018667B">
        <w:rPr>
          <w:rFonts w:ascii="Verdana" w:hAnsi="Verdana" w:cs="Arial"/>
          <w:sz w:val="18"/>
          <w:szCs w:val="18"/>
          <w:lang w:val="el-GR"/>
        </w:rPr>
        <w:t xml:space="preserve">%) και </w:t>
      </w:r>
      <w:r w:rsidR="002271EB">
        <w:rPr>
          <w:rFonts w:ascii="Verdana" w:hAnsi="Verdana" w:cs="Arial"/>
          <w:sz w:val="18"/>
          <w:szCs w:val="18"/>
          <w:lang w:val="el-GR"/>
        </w:rPr>
        <w:t>κατασκευαστικών</w:t>
      </w:r>
      <w:r w:rsidRPr="0018667B">
        <w:rPr>
          <w:rFonts w:ascii="Verdana" w:hAnsi="Verdana" w:cs="Arial"/>
          <w:sz w:val="18"/>
          <w:szCs w:val="18"/>
          <w:lang w:val="el-GR"/>
        </w:rPr>
        <w:t xml:space="preserve"> εργασιών (</w:t>
      </w:r>
      <w:r w:rsidR="00622ECA">
        <w:rPr>
          <w:rFonts w:ascii="Verdana" w:hAnsi="Verdana" w:cs="Arial"/>
          <w:sz w:val="18"/>
          <w:szCs w:val="18"/>
          <w:lang w:val="el-GR"/>
        </w:rPr>
        <w:t>7</w:t>
      </w:r>
      <w:r w:rsidRPr="0018667B">
        <w:rPr>
          <w:rFonts w:ascii="Verdana" w:hAnsi="Verdana" w:cs="Arial"/>
          <w:sz w:val="18"/>
          <w:szCs w:val="18"/>
          <w:lang w:val="el-GR"/>
        </w:rPr>
        <w:t>,</w:t>
      </w:r>
      <w:r w:rsidR="00622ECA">
        <w:rPr>
          <w:rFonts w:ascii="Verdana" w:hAnsi="Verdana" w:cs="Arial"/>
          <w:sz w:val="18"/>
          <w:szCs w:val="18"/>
          <w:lang w:val="el-GR"/>
        </w:rPr>
        <w:t>9</w:t>
      </w:r>
      <w:r w:rsidRPr="0018667B">
        <w:rPr>
          <w:rFonts w:ascii="Verdana" w:hAnsi="Verdana" w:cs="Arial"/>
          <w:sz w:val="18"/>
          <w:szCs w:val="18"/>
          <w:lang w:val="el-GR"/>
        </w:rPr>
        <w:t>%), σε σχέση με τις υπόλοιπες κατηγορίες προϊόντων.</w:t>
      </w:r>
    </w:p>
    <w:p w14:paraId="6C653F86" w14:textId="0342EDEC" w:rsidR="008D60BD" w:rsidRDefault="008D60BD" w:rsidP="00150D80">
      <w:pPr>
        <w:jc w:val="both"/>
        <w:rPr>
          <w:rFonts w:ascii="Verdana" w:hAnsi="Verdana" w:cs="Arial"/>
          <w:sz w:val="18"/>
          <w:szCs w:val="18"/>
          <w:lang w:val="el-GR"/>
        </w:rPr>
      </w:pPr>
    </w:p>
    <w:p w14:paraId="39AE1C20" w14:textId="6AFEEF05" w:rsidR="008D60BD" w:rsidRPr="0018667B" w:rsidRDefault="00A61CDD" w:rsidP="0005424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CDA32D3" wp14:editId="69BBF6FB">
            <wp:extent cx="6169660" cy="2889885"/>
            <wp:effectExtent l="0" t="0" r="2540" b="5715"/>
            <wp:docPr id="17769243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660" cy="2889885"/>
                    </a:xfrm>
                    <a:prstGeom prst="rect">
                      <a:avLst/>
                    </a:prstGeom>
                    <a:noFill/>
                  </pic:spPr>
                </pic:pic>
              </a:graphicData>
            </a:graphic>
          </wp:inline>
        </w:drawing>
      </w:r>
    </w:p>
    <w:p w14:paraId="6015F391" w14:textId="77777777" w:rsidR="00066BF9" w:rsidRDefault="00066BF9" w:rsidP="000E4CB0">
      <w:pPr>
        <w:jc w:val="both"/>
        <w:rPr>
          <w:rFonts w:ascii="Verdana" w:hAnsi="Verdana" w:cs="Arial"/>
          <w:sz w:val="18"/>
          <w:szCs w:val="18"/>
          <w:lang w:val="el-GR"/>
        </w:rPr>
      </w:pPr>
    </w:p>
    <w:p w14:paraId="2F88F800" w14:textId="0CA78A08" w:rsidR="00E136A3" w:rsidRDefault="00E136A3" w:rsidP="00E136A3">
      <w:pPr>
        <w:jc w:val="both"/>
        <w:rPr>
          <w:rFonts w:ascii="Verdana" w:hAnsi="Verdana" w:cs="Arial"/>
          <w:sz w:val="18"/>
          <w:szCs w:val="18"/>
          <w:lang w:val="el-GR"/>
        </w:rPr>
      </w:pPr>
      <w:r w:rsidRPr="0018667B">
        <w:rPr>
          <w:rFonts w:ascii="Verdana" w:hAnsi="Verdana" w:cs="Arial"/>
          <w:sz w:val="18"/>
          <w:szCs w:val="18"/>
          <w:lang w:val="el-GR"/>
        </w:rPr>
        <w:t xml:space="preserve">Ο </w:t>
      </w:r>
      <w:bookmarkStart w:id="1" w:name="_Hlk126222564"/>
      <w:r w:rsidR="00F0148B">
        <w:rPr>
          <w:rFonts w:ascii="Verdana" w:hAnsi="Verdana" w:cs="Arial"/>
          <w:sz w:val="18"/>
          <w:szCs w:val="18"/>
          <w:lang w:val="el-GR"/>
        </w:rPr>
        <w:t>πιο κάτω</w:t>
      </w:r>
      <w:bookmarkEnd w:id="1"/>
      <w:r w:rsidRPr="0018667B">
        <w:rPr>
          <w:rFonts w:ascii="Verdana" w:hAnsi="Verdana" w:cs="Arial"/>
          <w:sz w:val="18"/>
          <w:szCs w:val="18"/>
          <w:lang w:val="el-GR"/>
        </w:rPr>
        <w:t xml:space="preserve"> πίνακας </w:t>
      </w:r>
      <w:r w:rsidR="00F0148B">
        <w:rPr>
          <w:rFonts w:ascii="Verdana" w:hAnsi="Verdana" w:cs="Arial"/>
          <w:sz w:val="18"/>
          <w:szCs w:val="18"/>
          <w:lang w:val="el-GR"/>
        </w:rPr>
        <w:t>παρουσιάζει</w:t>
      </w:r>
      <w:r w:rsidRPr="0018667B">
        <w:rPr>
          <w:rFonts w:ascii="Verdana" w:hAnsi="Verdana" w:cs="Arial"/>
          <w:sz w:val="18"/>
          <w:szCs w:val="18"/>
          <w:lang w:val="el-GR"/>
        </w:rPr>
        <w:t xml:space="preserve"> </w:t>
      </w:r>
      <w:r w:rsidR="000D06C8" w:rsidRPr="0018667B">
        <w:rPr>
          <w:rFonts w:ascii="Verdana" w:hAnsi="Verdana" w:cs="Arial"/>
          <w:sz w:val="18"/>
          <w:szCs w:val="18"/>
          <w:lang w:val="el-GR"/>
        </w:rPr>
        <w:t>μία</w:t>
      </w:r>
      <w:r w:rsidRPr="0018667B">
        <w:rPr>
          <w:rFonts w:ascii="Verdana" w:hAnsi="Verdana" w:cs="Arial"/>
          <w:sz w:val="18"/>
          <w:szCs w:val="18"/>
          <w:lang w:val="el-GR"/>
        </w:rPr>
        <w:t xml:space="preserve"> συγκεντρωτική έκδοση του πίνακα Χρήσεων για το έτος 20</w:t>
      </w:r>
      <w:r w:rsidR="00E002D0" w:rsidRPr="00E002D0">
        <w:rPr>
          <w:rFonts w:ascii="Verdana" w:hAnsi="Verdana" w:cs="Arial"/>
          <w:sz w:val="18"/>
          <w:szCs w:val="18"/>
          <w:lang w:val="el-GR"/>
        </w:rPr>
        <w:t>2</w:t>
      </w:r>
      <w:r w:rsidR="00144436">
        <w:rPr>
          <w:rFonts w:ascii="Verdana" w:hAnsi="Verdana" w:cs="Arial"/>
          <w:sz w:val="18"/>
          <w:szCs w:val="18"/>
          <w:lang w:val="el-GR"/>
        </w:rPr>
        <w:t>1</w:t>
      </w:r>
      <w:r w:rsidRPr="0018667B">
        <w:rPr>
          <w:rFonts w:ascii="Verdana" w:hAnsi="Verdana" w:cs="Arial"/>
          <w:sz w:val="18"/>
          <w:szCs w:val="18"/>
          <w:lang w:val="el-GR"/>
        </w:rPr>
        <w:t>, σε τρέχουσες τιμές. Η συνολική ενδιάμεση ανάλωση είναι €</w:t>
      </w:r>
      <w:r w:rsidR="00144436">
        <w:rPr>
          <w:rFonts w:ascii="Verdana" w:hAnsi="Verdana" w:cs="Arial"/>
          <w:sz w:val="18"/>
          <w:szCs w:val="18"/>
          <w:lang w:val="el-GR"/>
        </w:rPr>
        <w:t>30</w:t>
      </w:r>
      <w:r w:rsidRPr="0018667B">
        <w:rPr>
          <w:rFonts w:ascii="Verdana" w:hAnsi="Verdana" w:cs="Arial"/>
          <w:sz w:val="18"/>
          <w:szCs w:val="18"/>
          <w:lang w:val="el-GR"/>
        </w:rPr>
        <w:t>.</w:t>
      </w:r>
      <w:r w:rsidR="00FA076C" w:rsidRPr="00FA076C">
        <w:rPr>
          <w:rFonts w:ascii="Verdana" w:hAnsi="Verdana" w:cs="Arial"/>
          <w:sz w:val="18"/>
          <w:szCs w:val="18"/>
          <w:lang w:val="el-GR"/>
        </w:rPr>
        <w:t>5</w:t>
      </w:r>
      <w:r w:rsidR="00144436">
        <w:rPr>
          <w:rFonts w:ascii="Verdana" w:hAnsi="Verdana" w:cs="Arial"/>
          <w:sz w:val="18"/>
          <w:szCs w:val="18"/>
          <w:lang w:val="el-GR"/>
        </w:rPr>
        <w:t>94</w:t>
      </w:r>
      <w:r w:rsidRPr="0018667B">
        <w:rPr>
          <w:rFonts w:ascii="Verdana" w:hAnsi="Verdana" w:cs="Arial"/>
          <w:sz w:val="18"/>
          <w:szCs w:val="18"/>
          <w:lang w:val="el-GR"/>
        </w:rPr>
        <w:t>,</w:t>
      </w:r>
      <w:r w:rsidR="00144436">
        <w:rPr>
          <w:rFonts w:ascii="Verdana" w:hAnsi="Verdana" w:cs="Arial"/>
          <w:sz w:val="18"/>
          <w:szCs w:val="18"/>
          <w:lang w:val="el-GR"/>
        </w:rPr>
        <w:t>2</w:t>
      </w:r>
      <w:r w:rsidRPr="0018667B">
        <w:rPr>
          <w:rFonts w:ascii="Verdana" w:hAnsi="Verdana" w:cs="Arial"/>
          <w:sz w:val="18"/>
          <w:szCs w:val="18"/>
          <w:lang w:val="el-GR"/>
        </w:rPr>
        <w:t xml:space="preserve"> εκ. το 20</w:t>
      </w:r>
      <w:r w:rsidR="00E002D0" w:rsidRPr="00FA076C">
        <w:rPr>
          <w:rFonts w:ascii="Verdana" w:hAnsi="Verdana" w:cs="Arial"/>
          <w:sz w:val="18"/>
          <w:szCs w:val="18"/>
          <w:lang w:val="el-GR"/>
        </w:rPr>
        <w:t>2</w:t>
      </w:r>
      <w:r w:rsidR="00144436">
        <w:rPr>
          <w:rFonts w:ascii="Verdana" w:hAnsi="Verdana" w:cs="Arial"/>
          <w:sz w:val="18"/>
          <w:szCs w:val="18"/>
          <w:lang w:val="el-GR"/>
        </w:rPr>
        <w:t>1</w:t>
      </w:r>
      <w:r w:rsidRPr="0018667B">
        <w:rPr>
          <w:rFonts w:ascii="Verdana" w:hAnsi="Verdana" w:cs="Arial"/>
          <w:sz w:val="18"/>
          <w:szCs w:val="18"/>
          <w:lang w:val="el-GR"/>
        </w:rPr>
        <w:t>. Η συνολική τελική καταναλωτική δαπάνη είναι €</w:t>
      </w:r>
      <w:r w:rsidR="00144436">
        <w:rPr>
          <w:rFonts w:ascii="Verdana" w:hAnsi="Verdana" w:cs="Arial"/>
          <w:sz w:val="18"/>
          <w:szCs w:val="18"/>
          <w:lang w:val="el-GR"/>
        </w:rPr>
        <w:t>20</w:t>
      </w:r>
      <w:r w:rsidRPr="0018667B">
        <w:rPr>
          <w:rFonts w:ascii="Verdana" w:hAnsi="Verdana" w:cs="Arial"/>
          <w:sz w:val="18"/>
          <w:szCs w:val="18"/>
          <w:lang w:val="el-GR"/>
        </w:rPr>
        <w:t>.</w:t>
      </w:r>
      <w:r w:rsidR="00144436">
        <w:rPr>
          <w:rFonts w:ascii="Verdana" w:hAnsi="Verdana" w:cs="Arial"/>
          <w:sz w:val="18"/>
          <w:szCs w:val="18"/>
          <w:lang w:val="el-GR"/>
        </w:rPr>
        <w:t>385</w:t>
      </w:r>
      <w:r w:rsidRPr="0018667B">
        <w:rPr>
          <w:rFonts w:ascii="Verdana" w:hAnsi="Verdana" w:cs="Arial"/>
          <w:sz w:val="18"/>
          <w:szCs w:val="18"/>
          <w:lang w:val="el-GR"/>
        </w:rPr>
        <w:t>,</w:t>
      </w:r>
      <w:r w:rsidR="00144436">
        <w:rPr>
          <w:rFonts w:ascii="Verdana" w:hAnsi="Verdana" w:cs="Arial"/>
          <w:sz w:val="18"/>
          <w:szCs w:val="18"/>
          <w:lang w:val="el-GR"/>
        </w:rPr>
        <w:t>5</w:t>
      </w:r>
      <w:r w:rsidRPr="0018667B">
        <w:rPr>
          <w:rFonts w:ascii="Verdana" w:hAnsi="Verdana" w:cs="Arial"/>
          <w:sz w:val="18"/>
          <w:szCs w:val="18"/>
          <w:lang w:val="el-GR"/>
        </w:rPr>
        <w:t xml:space="preserve"> εκ., ο ακαθάριστος σχηματισμός κεφαλαίου €</w:t>
      </w:r>
      <w:r w:rsidR="00144436">
        <w:rPr>
          <w:rFonts w:ascii="Verdana" w:hAnsi="Verdana" w:cs="Arial"/>
          <w:sz w:val="18"/>
          <w:szCs w:val="18"/>
          <w:lang w:val="el-GR"/>
        </w:rPr>
        <w:t>5</w:t>
      </w:r>
      <w:r w:rsidRPr="0018667B">
        <w:rPr>
          <w:rFonts w:ascii="Verdana" w:hAnsi="Verdana" w:cs="Arial"/>
          <w:sz w:val="18"/>
          <w:szCs w:val="18"/>
          <w:lang w:val="el-GR"/>
        </w:rPr>
        <w:t>.</w:t>
      </w:r>
      <w:r w:rsidR="00144436">
        <w:rPr>
          <w:rFonts w:ascii="Verdana" w:hAnsi="Verdana" w:cs="Arial"/>
          <w:sz w:val="18"/>
          <w:szCs w:val="18"/>
          <w:lang w:val="el-GR"/>
        </w:rPr>
        <w:t>104</w:t>
      </w:r>
      <w:r w:rsidRPr="0018667B">
        <w:rPr>
          <w:rFonts w:ascii="Verdana" w:hAnsi="Verdana" w:cs="Arial"/>
          <w:sz w:val="18"/>
          <w:szCs w:val="18"/>
          <w:lang w:val="el-GR"/>
        </w:rPr>
        <w:t>,</w:t>
      </w:r>
      <w:r w:rsidR="00144436">
        <w:rPr>
          <w:rFonts w:ascii="Verdana" w:hAnsi="Verdana" w:cs="Arial"/>
          <w:sz w:val="18"/>
          <w:szCs w:val="18"/>
          <w:lang w:val="el-GR"/>
        </w:rPr>
        <w:t>2</w:t>
      </w:r>
      <w:r w:rsidRPr="0018667B">
        <w:rPr>
          <w:rFonts w:ascii="Verdana" w:hAnsi="Verdana" w:cs="Arial"/>
          <w:sz w:val="18"/>
          <w:szCs w:val="18"/>
          <w:lang w:val="el-GR"/>
        </w:rPr>
        <w:t xml:space="preserve"> εκ. και οι συνολικές εξαγωγές €</w:t>
      </w:r>
      <w:r w:rsidR="00144436">
        <w:rPr>
          <w:rFonts w:ascii="Verdana" w:hAnsi="Verdana" w:cs="Arial"/>
          <w:sz w:val="18"/>
          <w:szCs w:val="18"/>
          <w:lang w:val="el-GR"/>
        </w:rPr>
        <w:t>21</w:t>
      </w:r>
      <w:r w:rsidRPr="0018667B">
        <w:rPr>
          <w:rFonts w:ascii="Verdana" w:hAnsi="Verdana" w:cs="Arial"/>
          <w:sz w:val="18"/>
          <w:szCs w:val="18"/>
          <w:lang w:val="el-GR"/>
        </w:rPr>
        <w:t>.</w:t>
      </w:r>
      <w:r w:rsidR="00144436">
        <w:rPr>
          <w:rFonts w:ascii="Verdana" w:hAnsi="Verdana" w:cs="Arial"/>
          <w:sz w:val="18"/>
          <w:szCs w:val="18"/>
          <w:lang w:val="el-GR"/>
        </w:rPr>
        <w:t>675</w:t>
      </w:r>
      <w:r w:rsidRPr="0018667B">
        <w:rPr>
          <w:rFonts w:ascii="Verdana" w:hAnsi="Verdana" w:cs="Arial"/>
          <w:sz w:val="18"/>
          <w:szCs w:val="18"/>
          <w:lang w:val="el-GR"/>
        </w:rPr>
        <w:t>,</w:t>
      </w:r>
      <w:r w:rsidR="00144436">
        <w:rPr>
          <w:rFonts w:ascii="Verdana" w:hAnsi="Verdana" w:cs="Arial"/>
          <w:sz w:val="18"/>
          <w:szCs w:val="18"/>
          <w:lang w:val="el-GR"/>
        </w:rPr>
        <w:t>1</w:t>
      </w:r>
      <w:r w:rsidRPr="0018667B">
        <w:rPr>
          <w:rFonts w:ascii="Verdana" w:hAnsi="Verdana" w:cs="Arial"/>
          <w:sz w:val="18"/>
          <w:szCs w:val="18"/>
          <w:lang w:val="el-GR"/>
        </w:rPr>
        <w:t xml:space="preserve"> εκ.</w:t>
      </w:r>
      <w:r w:rsidR="0043115C" w:rsidRPr="0043115C">
        <w:rPr>
          <w:lang w:val="el-GR"/>
        </w:rPr>
        <w:t xml:space="preserve"> </w:t>
      </w:r>
    </w:p>
    <w:p w14:paraId="74248A63" w14:textId="77777777" w:rsidR="00723A50" w:rsidRDefault="00723A50" w:rsidP="00E136A3">
      <w:pPr>
        <w:jc w:val="both"/>
        <w:rPr>
          <w:rFonts w:ascii="Verdana" w:hAnsi="Verdana" w:cs="Arial"/>
          <w:sz w:val="18"/>
          <w:szCs w:val="18"/>
          <w:lang w:val="el-GR"/>
        </w:rPr>
      </w:pPr>
    </w:p>
    <w:tbl>
      <w:tblPr>
        <w:tblW w:w="10716"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3919"/>
        <w:gridCol w:w="1225"/>
        <w:gridCol w:w="1531"/>
        <w:gridCol w:w="1408"/>
        <w:gridCol w:w="1163"/>
        <w:gridCol w:w="1470"/>
      </w:tblGrid>
      <w:tr w:rsidR="00723A50" w:rsidRPr="00EA58AD" w14:paraId="6DC19E79" w14:textId="77777777" w:rsidTr="00EA58AD">
        <w:trPr>
          <w:trHeight w:val="284"/>
          <w:jc w:val="center"/>
        </w:trPr>
        <w:tc>
          <w:tcPr>
            <w:tcW w:w="3629" w:type="dxa"/>
            <w:tcBorders>
              <w:top w:val="nil"/>
              <w:left w:val="nil"/>
              <w:bottom w:val="single" w:sz="4" w:space="0" w:color="2F5496" w:themeColor="accent1" w:themeShade="BF"/>
              <w:right w:val="nil"/>
            </w:tcBorders>
            <w:shd w:val="clear" w:color="auto" w:fill="auto"/>
            <w:noWrap/>
            <w:vAlign w:val="center"/>
          </w:tcPr>
          <w:p w14:paraId="16C11646" w14:textId="021AC4B9" w:rsidR="00723A50" w:rsidRPr="00EA58AD" w:rsidRDefault="00723A50" w:rsidP="00723A50">
            <w:pP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Πίνακας</w:t>
            </w:r>
            <w:r w:rsidR="007D2F84" w:rsidRPr="00EA58AD">
              <w:rPr>
                <w:rFonts w:ascii="Verdana" w:eastAsia="Malgun Gothic" w:hAnsi="Verdana" w:cs="Arial"/>
                <w:b/>
                <w:color w:val="2F5496" w:themeColor="accent1" w:themeShade="BF"/>
                <w:sz w:val="18"/>
                <w:szCs w:val="18"/>
                <w:lang w:val="el-GR"/>
              </w:rPr>
              <w:t xml:space="preserve"> 2:</w:t>
            </w:r>
            <w:r w:rsidRPr="00EA58AD">
              <w:rPr>
                <w:rFonts w:ascii="Verdana" w:eastAsia="Malgun Gothic" w:hAnsi="Verdana" w:cs="Arial"/>
                <w:b/>
                <w:color w:val="2F5496" w:themeColor="accent1" w:themeShade="BF"/>
                <w:sz w:val="18"/>
                <w:szCs w:val="18"/>
                <w:lang w:val="el-GR"/>
              </w:rPr>
              <w:t xml:space="preserve"> Χρήση, 202</w:t>
            </w:r>
            <w:r w:rsidR="00A61CDD" w:rsidRPr="00EA58AD">
              <w:rPr>
                <w:rFonts w:ascii="Verdana" w:eastAsia="Malgun Gothic" w:hAnsi="Verdana" w:cs="Arial"/>
                <w:b/>
                <w:color w:val="2F5496" w:themeColor="accent1" w:themeShade="BF"/>
                <w:sz w:val="18"/>
                <w:szCs w:val="18"/>
              </w:rPr>
              <w:t>1</w:t>
            </w:r>
            <w:r w:rsidRPr="00EA58AD">
              <w:rPr>
                <w:rFonts w:ascii="Verdana" w:eastAsia="Malgun Gothic" w:hAnsi="Verdana" w:cs="Arial"/>
                <w:b/>
                <w:color w:val="2F5496" w:themeColor="accent1" w:themeShade="BF"/>
                <w:sz w:val="18"/>
                <w:szCs w:val="18"/>
                <w:lang w:val="el-GR"/>
              </w:rPr>
              <w:t xml:space="preserve"> €εκ.</w:t>
            </w:r>
          </w:p>
        </w:tc>
        <w:tc>
          <w:tcPr>
            <w:tcW w:w="1134" w:type="dxa"/>
            <w:tcBorders>
              <w:top w:val="nil"/>
              <w:left w:val="nil"/>
              <w:bottom w:val="single" w:sz="4" w:space="0" w:color="2F5496" w:themeColor="accent1" w:themeShade="BF"/>
              <w:right w:val="nil"/>
            </w:tcBorders>
            <w:shd w:val="clear" w:color="auto" w:fill="auto"/>
            <w:vAlign w:val="center"/>
          </w:tcPr>
          <w:p w14:paraId="088032F5"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p>
        </w:tc>
        <w:tc>
          <w:tcPr>
            <w:tcW w:w="1418" w:type="dxa"/>
            <w:tcBorders>
              <w:top w:val="nil"/>
              <w:left w:val="nil"/>
              <w:bottom w:val="single" w:sz="4" w:space="0" w:color="2F5496" w:themeColor="accent1" w:themeShade="BF"/>
              <w:right w:val="nil"/>
            </w:tcBorders>
            <w:shd w:val="clear" w:color="auto" w:fill="auto"/>
            <w:vAlign w:val="center"/>
          </w:tcPr>
          <w:p w14:paraId="392F84F8"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p>
        </w:tc>
        <w:tc>
          <w:tcPr>
            <w:tcW w:w="1304" w:type="dxa"/>
            <w:tcBorders>
              <w:top w:val="nil"/>
              <w:left w:val="nil"/>
              <w:bottom w:val="single" w:sz="4" w:space="0" w:color="2F5496" w:themeColor="accent1" w:themeShade="BF"/>
              <w:right w:val="nil"/>
            </w:tcBorders>
            <w:shd w:val="clear" w:color="auto" w:fill="auto"/>
            <w:vAlign w:val="center"/>
          </w:tcPr>
          <w:p w14:paraId="6F0CFF20"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p>
        </w:tc>
        <w:tc>
          <w:tcPr>
            <w:tcW w:w="1077" w:type="dxa"/>
            <w:tcBorders>
              <w:top w:val="nil"/>
              <w:left w:val="nil"/>
              <w:bottom w:val="single" w:sz="4" w:space="0" w:color="2F5496" w:themeColor="accent1" w:themeShade="BF"/>
              <w:right w:val="nil"/>
            </w:tcBorders>
            <w:shd w:val="clear" w:color="auto" w:fill="auto"/>
            <w:vAlign w:val="center"/>
          </w:tcPr>
          <w:p w14:paraId="60A45114"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shd w:val="clear" w:color="auto" w:fill="auto"/>
            <w:vAlign w:val="center"/>
          </w:tcPr>
          <w:p w14:paraId="1AC7602F"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p>
        </w:tc>
      </w:tr>
      <w:tr w:rsidR="00723A50" w:rsidRPr="00EA58AD" w14:paraId="488C830A" w14:textId="77777777" w:rsidTr="00EA58AD">
        <w:trPr>
          <w:trHeight w:val="788"/>
          <w:jc w:val="center"/>
        </w:trPr>
        <w:tc>
          <w:tcPr>
            <w:tcW w:w="3629" w:type="dxa"/>
            <w:tcBorders>
              <w:left w:val="nil"/>
              <w:bottom w:val="single" w:sz="4" w:space="0" w:color="2F5496" w:themeColor="accent1" w:themeShade="BF"/>
              <w:right w:val="nil"/>
            </w:tcBorders>
            <w:shd w:val="clear" w:color="auto" w:fill="auto"/>
            <w:noWrap/>
            <w:vAlign w:val="center"/>
            <w:hideMark/>
          </w:tcPr>
          <w:p w14:paraId="1E881AFC"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Κατηγορίες Προϊόντων (CPA)</w:t>
            </w:r>
          </w:p>
        </w:tc>
        <w:tc>
          <w:tcPr>
            <w:tcW w:w="1134" w:type="dxa"/>
            <w:tcBorders>
              <w:left w:val="nil"/>
              <w:bottom w:val="single" w:sz="4" w:space="0" w:color="2F5496" w:themeColor="accent1" w:themeShade="BF"/>
              <w:right w:val="nil"/>
            </w:tcBorders>
            <w:shd w:val="clear" w:color="auto" w:fill="auto"/>
            <w:vAlign w:val="center"/>
            <w:hideMark/>
          </w:tcPr>
          <w:p w14:paraId="667FED71"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Ενδιάμεση Ανάλωση</w:t>
            </w:r>
          </w:p>
        </w:tc>
        <w:tc>
          <w:tcPr>
            <w:tcW w:w="1418" w:type="dxa"/>
            <w:tcBorders>
              <w:left w:val="nil"/>
              <w:bottom w:val="single" w:sz="4" w:space="0" w:color="2F5496" w:themeColor="accent1" w:themeShade="BF"/>
              <w:right w:val="nil"/>
            </w:tcBorders>
            <w:shd w:val="clear" w:color="auto" w:fill="auto"/>
            <w:vAlign w:val="center"/>
            <w:hideMark/>
          </w:tcPr>
          <w:p w14:paraId="54C4F538"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Τελική Καταναλωτική Δαπάνη</w:t>
            </w:r>
          </w:p>
        </w:tc>
        <w:tc>
          <w:tcPr>
            <w:tcW w:w="1304" w:type="dxa"/>
            <w:tcBorders>
              <w:left w:val="nil"/>
              <w:bottom w:val="single" w:sz="4" w:space="0" w:color="2F5496" w:themeColor="accent1" w:themeShade="BF"/>
              <w:right w:val="nil"/>
            </w:tcBorders>
            <w:shd w:val="clear" w:color="auto" w:fill="auto"/>
            <w:vAlign w:val="center"/>
            <w:hideMark/>
          </w:tcPr>
          <w:p w14:paraId="23005823"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Ακαθάριστος Σχηματισμός Κεφαλαίου</w:t>
            </w:r>
          </w:p>
        </w:tc>
        <w:tc>
          <w:tcPr>
            <w:tcW w:w="1077" w:type="dxa"/>
            <w:tcBorders>
              <w:left w:val="nil"/>
              <w:bottom w:val="single" w:sz="4" w:space="0" w:color="2F5496" w:themeColor="accent1" w:themeShade="BF"/>
              <w:right w:val="nil"/>
            </w:tcBorders>
            <w:shd w:val="clear" w:color="auto" w:fill="auto"/>
            <w:vAlign w:val="center"/>
            <w:hideMark/>
          </w:tcPr>
          <w:p w14:paraId="5F41F4AE"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Εξαγωγές</w:t>
            </w:r>
          </w:p>
        </w:tc>
        <w:tc>
          <w:tcPr>
            <w:tcW w:w="1361" w:type="dxa"/>
            <w:tcBorders>
              <w:left w:val="nil"/>
              <w:bottom w:val="single" w:sz="4" w:space="0" w:color="2F5496" w:themeColor="accent1" w:themeShade="BF"/>
              <w:right w:val="nil"/>
            </w:tcBorders>
            <w:shd w:val="clear" w:color="auto" w:fill="auto"/>
            <w:vAlign w:val="center"/>
            <w:hideMark/>
          </w:tcPr>
          <w:p w14:paraId="0054995F" w14:textId="77777777" w:rsidR="00723A50" w:rsidRPr="00EA58AD" w:rsidRDefault="00723A50" w:rsidP="00723A50">
            <w:pPr>
              <w:ind w:left="-105"/>
              <w:jc w:val="center"/>
              <w:rPr>
                <w:rFonts w:ascii="Verdana" w:eastAsia="Malgun Gothic" w:hAnsi="Verdana" w:cs="Arial"/>
                <w:b/>
                <w:color w:val="2F5496" w:themeColor="accent1" w:themeShade="BF"/>
                <w:sz w:val="18"/>
                <w:szCs w:val="18"/>
                <w:lang w:val="el-GR"/>
              </w:rPr>
            </w:pPr>
            <w:r w:rsidRPr="00EA58AD">
              <w:rPr>
                <w:rFonts w:ascii="Verdana" w:eastAsia="Malgun Gothic" w:hAnsi="Verdana" w:cs="Arial"/>
                <w:b/>
                <w:color w:val="2F5496" w:themeColor="accent1" w:themeShade="BF"/>
                <w:sz w:val="18"/>
                <w:szCs w:val="18"/>
                <w:lang w:val="el-GR"/>
              </w:rPr>
              <w:t>Συνολική Χρήση (τιμές αγοραστή)</w:t>
            </w:r>
          </w:p>
        </w:tc>
      </w:tr>
      <w:tr w:rsidR="00723A50" w:rsidRPr="00EA58AD" w14:paraId="7A52D5A0" w14:textId="77777777" w:rsidTr="00EA58AD">
        <w:trPr>
          <w:trHeight w:val="301"/>
          <w:jc w:val="center"/>
        </w:trPr>
        <w:tc>
          <w:tcPr>
            <w:tcW w:w="3629" w:type="dxa"/>
            <w:tcBorders>
              <w:top w:val="single" w:sz="4" w:space="0" w:color="2F5496" w:themeColor="accent1" w:themeShade="BF"/>
              <w:left w:val="nil"/>
              <w:bottom w:val="nil"/>
              <w:right w:val="nil"/>
            </w:tcBorders>
            <w:shd w:val="clear" w:color="auto" w:fill="auto"/>
            <w:noWrap/>
            <w:vAlign w:val="center"/>
            <w:hideMark/>
          </w:tcPr>
          <w:p w14:paraId="518BF2F2"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Γεωργία, δασοκομία &amp; αλιεία (CPA 01-03)</w:t>
            </w:r>
          </w:p>
        </w:tc>
        <w:tc>
          <w:tcPr>
            <w:tcW w:w="1134" w:type="dxa"/>
            <w:tcBorders>
              <w:top w:val="single" w:sz="4" w:space="0" w:color="2F5496" w:themeColor="accent1" w:themeShade="BF"/>
              <w:left w:val="nil"/>
              <w:bottom w:val="nil"/>
              <w:right w:val="nil"/>
            </w:tcBorders>
            <w:shd w:val="clear" w:color="auto" w:fill="auto"/>
            <w:noWrap/>
            <w:vAlign w:val="center"/>
            <w:hideMark/>
          </w:tcPr>
          <w:p w14:paraId="00F40DC0" w14:textId="3CBADFD6"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646,4</w:t>
            </w:r>
          </w:p>
        </w:tc>
        <w:tc>
          <w:tcPr>
            <w:tcW w:w="1418" w:type="dxa"/>
            <w:tcBorders>
              <w:top w:val="single" w:sz="4" w:space="0" w:color="2F5496" w:themeColor="accent1" w:themeShade="BF"/>
              <w:left w:val="nil"/>
              <w:bottom w:val="nil"/>
              <w:right w:val="nil"/>
            </w:tcBorders>
            <w:shd w:val="clear" w:color="auto" w:fill="auto"/>
            <w:noWrap/>
            <w:vAlign w:val="center"/>
            <w:hideMark/>
          </w:tcPr>
          <w:p w14:paraId="2DC03E71" w14:textId="1C20A38A" w:rsidR="00723A50" w:rsidRPr="00EA58AD" w:rsidRDefault="00A61CDD"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460,8</w:t>
            </w:r>
          </w:p>
        </w:tc>
        <w:tc>
          <w:tcPr>
            <w:tcW w:w="1304" w:type="dxa"/>
            <w:tcBorders>
              <w:top w:val="single" w:sz="4" w:space="0" w:color="2F5496" w:themeColor="accent1" w:themeShade="BF"/>
              <w:left w:val="nil"/>
              <w:bottom w:val="nil"/>
              <w:right w:val="nil"/>
            </w:tcBorders>
            <w:shd w:val="clear" w:color="auto" w:fill="auto"/>
            <w:noWrap/>
            <w:vAlign w:val="center"/>
            <w:hideMark/>
          </w:tcPr>
          <w:p w14:paraId="432837AA" w14:textId="03888B08"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24,3</w:t>
            </w:r>
          </w:p>
        </w:tc>
        <w:tc>
          <w:tcPr>
            <w:tcW w:w="1077" w:type="dxa"/>
            <w:tcBorders>
              <w:top w:val="single" w:sz="4" w:space="0" w:color="2F5496" w:themeColor="accent1" w:themeShade="BF"/>
              <w:left w:val="nil"/>
              <w:bottom w:val="nil"/>
              <w:right w:val="nil"/>
            </w:tcBorders>
            <w:shd w:val="clear" w:color="auto" w:fill="auto"/>
            <w:noWrap/>
            <w:vAlign w:val="center"/>
            <w:hideMark/>
          </w:tcPr>
          <w:p w14:paraId="78EC4617" w14:textId="6667CAE8"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97,9</w:t>
            </w:r>
          </w:p>
        </w:tc>
        <w:tc>
          <w:tcPr>
            <w:tcW w:w="1361" w:type="dxa"/>
            <w:tcBorders>
              <w:top w:val="single" w:sz="4" w:space="0" w:color="2F5496" w:themeColor="accent1" w:themeShade="BF"/>
              <w:left w:val="nil"/>
              <w:bottom w:val="nil"/>
              <w:right w:val="nil"/>
            </w:tcBorders>
            <w:shd w:val="clear" w:color="auto" w:fill="auto"/>
            <w:noWrap/>
            <w:vAlign w:val="bottom"/>
            <w:hideMark/>
          </w:tcPr>
          <w:p w14:paraId="1B49D3E6" w14:textId="2412447F"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1.229,4</w:t>
            </w:r>
          </w:p>
        </w:tc>
      </w:tr>
      <w:tr w:rsidR="00723A50" w:rsidRPr="00EA58AD" w14:paraId="6148D22F" w14:textId="77777777" w:rsidTr="00EA58AD">
        <w:trPr>
          <w:trHeight w:val="301"/>
          <w:jc w:val="center"/>
        </w:trPr>
        <w:tc>
          <w:tcPr>
            <w:tcW w:w="3629" w:type="dxa"/>
            <w:tcBorders>
              <w:top w:val="nil"/>
              <w:left w:val="nil"/>
              <w:bottom w:val="nil"/>
              <w:right w:val="nil"/>
            </w:tcBorders>
            <w:shd w:val="clear" w:color="auto" w:fill="auto"/>
            <w:noWrap/>
            <w:vAlign w:val="center"/>
            <w:hideMark/>
          </w:tcPr>
          <w:p w14:paraId="56DA485F"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Μεταποίηση (CPA 05-39)</w:t>
            </w:r>
          </w:p>
        </w:tc>
        <w:tc>
          <w:tcPr>
            <w:tcW w:w="1134" w:type="dxa"/>
            <w:tcBorders>
              <w:top w:val="nil"/>
              <w:left w:val="nil"/>
              <w:bottom w:val="nil"/>
              <w:right w:val="nil"/>
            </w:tcBorders>
            <w:shd w:val="clear" w:color="auto" w:fill="auto"/>
            <w:noWrap/>
            <w:vAlign w:val="center"/>
            <w:hideMark/>
          </w:tcPr>
          <w:p w14:paraId="0F17380F" w14:textId="037CAF1C"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7.465,2</w:t>
            </w:r>
          </w:p>
        </w:tc>
        <w:tc>
          <w:tcPr>
            <w:tcW w:w="1418" w:type="dxa"/>
            <w:tcBorders>
              <w:top w:val="nil"/>
              <w:left w:val="nil"/>
              <w:bottom w:val="nil"/>
              <w:right w:val="nil"/>
            </w:tcBorders>
            <w:shd w:val="clear" w:color="auto" w:fill="auto"/>
            <w:noWrap/>
            <w:vAlign w:val="center"/>
            <w:hideMark/>
          </w:tcPr>
          <w:p w14:paraId="08CE5F3C" w14:textId="636CF83B" w:rsidR="00723A50" w:rsidRPr="00EA58AD" w:rsidRDefault="00A61CDD"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6.838,4</w:t>
            </w:r>
          </w:p>
        </w:tc>
        <w:tc>
          <w:tcPr>
            <w:tcW w:w="1304" w:type="dxa"/>
            <w:tcBorders>
              <w:top w:val="nil"/>
              <w:left w:val="nil"/>
              <w:bottom w:val="nil"/>
              <w:right w:val="nil"/>
            </w:tcBorders>
            <w:shd w:val="clear" w:color="auto" w:fill="auto"/>
            <w:noWrap/>
            <w:vAlign w:val="center"/>
            <w:hideMark/>
          </w:tcPr>
          <w:p w14:paraId="702834B8" w14:textId="597785AF"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1.201,6</w:t>
            </w:r>
          </w:p>
        </w:tc>
        <w:tc>
          <w:tcPr>
            <w:tcW w:w="1077" w:type="dxa"/>
            <w:tcBorders>
              <w:top w:val="nil"/>
              <w:left w:val="nil"/>
              <w:bottom w:val="nil"/>
              <w:right w:val="nil"/>
            </w:tcBorders>
            <w:shd w:val="clear" w:color="auto" w:fill="auto"/>
            <w:noWrap/>
            <w:vAlign w:val="center"/>
            <w:hideMark/>
          </w:tcPr>
          <w:p w14:paraId="517B7253" w14:textId="507232CD"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3.769,0</w:t>
            </w:r>
          </w:p>
        </w:tc>
        <w:tc>
          <w:tcPr>
            <w:tcW w:w="1361" w:type="dxa"/>
            <w:tcBorders>
              <w:top w:val="nil"/>
              <w:left w:val="nil"/>
              <w:bottom w:val="nil"/>
              <w:right w:val="nil"/>
            </w:tcBorders>
            <w:shd w:val="clear" w:color="auto" w:fill="auto"/>
            <w:noWrap/>
            <w:vAlign w:val="bottom"/>
            <w:hideMark/>
          </w:tcPr>
          <w:p w14:paraId="07DDC12F" w14:textId="60BF2325"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19.274,1</w:t>
            </w:r>
          </w:p>
        </w:tc>
      </w:tr>
      <w:tr w:rsidR="00723A50" w:rsidRPr="00EA58AD" w14:paraId="05834397" w14:textId="77777777" w:rsidTr="00EA58AD">
        <w:trPr>
          <w:trHeight w:val="301"/>
          <w:jc w:val="center"/>
        </w:trPr>
        <w:tc>
          <w:tcPr>
            <w:tcW w:w="3629" w:type="dxa"/>
            <w:tcBorders>
              <w:top w:val="nil"/>
              <w:left w:val="nil"/>
              <w:bottom w:val="nil"/>
              <w:right w:val="nil"/>
            </w:tcBorders>
            <w:shd w:val="clear" w:color="auto" w:fill="auto"/>
            <w:noWrap/>
            <w:vAlign w:val="center"/>
            <w:hideMark/>
          </w:tcPr>
          <w:p w14:paraId="41B4320F"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Κατασκευαστικές εργασίες (CPA 41-43)</w:t>
            </w:r>
          </w:p>
        </w:tc>
        <w:tc>
          <w:tcPr>
            <w:tcW w:w="1134" w:type="dxa"/>
            <w:tcBorders>
              <w:top w:val="nil"/>
              <w:left w:val="nil"/>
              <w:bottom w:val="nil"/>
              <w:right w:val="nil"/>
            </w:tcBorders>
            <w:shd w:val="clear" w:color="auto" w:fill="auto"/>
            <w:noWrap/>
            <w:vAlign w:val="center"/>
            <w:hideMark/>
          </w:tcPr>
          <w:p w14:paraId="38F15340" w14:textId="6D559898"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2.363,3</w:t>
            </w:r>
          </w:p>
        </w:tc>
        <w:tc>
          <w:tcPr>
            <w:tcW w:w="1418" w:type="dxa"/>
            <w:tcBorders>
              <w:top w:val="nil"/>
              <w:left w:val="nil"/>
              <w:bottom w:val="nil"/>
              <w:right w:val="nil"/>
            </w:tcBorders>
            <w:shd w:val="clear" w:color="auto" w:fill="auto"/>
            <w:noWrap/>
            <w:vAlign w:val="center"/>
            <w:hideMark/>
          </w:tcPr>
          <w:p w14:paraId="1D138403" w14:textId="45EDD645"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14,6</w:t>
            </w:r>
          </w:p>
        </w:tc>
        <w:tc>
          <w:tcPr>
            <w:tcW w:w="1304" w:type="dxa"/>
            <w:tcBorders>
              <w:top w:val="nil"/>
              <w:left w:val="nil"/>
              <w:bottom w:val="nil"/>
              <w:right w:val="nil"/>
            </w:tcBorders>
            <w:shd w:val="clear" w:color="auto" w:fill="auto"/>
            <w:noWrap/>
            <w:vAlign w:val="center"/>
            <w:hideMark/>
          </w:tcPr>
          <w:p w14:paraId="10BC1EB1" w14:textId="544E9249"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3.022,0</w:t>
            </w:r>
          </w:p>
        </w:tc>
        <w:tc>
          <w:tcPr>
            <w:tcW w:w="1077" w:type="dxa"/>
            <w:tcBorders>
              <w:top w:val="nil"/>
              <w:left w:val="nil"/>
              <w:bottom w:val="nil"/>
              <w:right w:val="nil"/>
            </w:tcBorders>
            <w:shd w:val="clear" w:color="auto" w:fill="auto"/>
            <w:noWrap/>
            <w:vAlign w:val="center"/>
            <w:hideMark/>
          </w:tcPr>
          <w:p w14:paraId="1BF2173D" w14:textId="6C4B8540"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34,9</w:t>
            </w:r>
          </w:p>
        </w:tc>
        <w:tc>
          <w:tcPr>
            <w:tcW w:w="1361" w:type="dxa"/>
            <w:tcBorders>
              <w:top w:val="nil"/>
              <w:left w:val="nil"/>
              <w:bottom w:val="nil"/>
              <w:right w:val="nil"/>
            </w:tcBorders>
            <w:shd w:val="clear" w:color="auto" w:fill="auto"/>
            <w:noWrap/>
            <w:vAlign w:val="bottom"/>
            <w:hideMark/>
          </w:tcPr>
          <w:p w14:paraId="317235B6" w14:textId="79A57721"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5.434,8</w:t>
            </w:r>
          </w:p>
        </w:tc>
      </w:tr>
      <w:tr w:rsidR="00723A50" w:rsidRPr="00EA58AD" w14:paraId="0E685C8A" w14:textId="77777777" w:rsidTr="00EA58AD">
        <w:trPr>
          <w:trHeight w:val="301"/>
          <w:jc w:val="center"/>
        </w:trPr>
        <w:tc>
          <w:tcPr>
            <w:tcW w:w="3629" w:type="dxa"/>
            <w:tcBorders>
              <w:top w:val="nil"/>
              <w:left w:val="nil"/>
              <w:bottom w:val="nil"/>
              <w:right w:val="nil"/>
            </w:tcBorders>
            <w:shd w:val="clear" w:color="auto" w:fill="auto"/>
            <w:noWrap/>
            <w:vAlign w:val="center"/>
            <w:hideMark/>
          </w:tcPr>
          <w:p w14:paraId="17C49B60"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Διανομή &amp; μεταφορές (CPA 45-53)</w:t>
            </w:r>
          </w:p>
        </w:tc>
        <w:tc>
          <w:tcPr>
            <w:tcW w:w="1134" w:type="dxa"/>
            <w:tcBorders>
              <w:top w:val="nil"/>
              <w:left w:val="nil"/>
              <w:bottom w:val="nil"/>
              <w:right w:val="nil"/>
            </w:tcBorders>
            <w:shd w:val="clear" w:color="auto" w:fill="auto"/>
            <w:noWrap/>
            <w:vAlign w:val="center"/>
            <w:hideMark/>
          </w:tcPr>
          <w:p w14:paraId="6C896918" w14:textId="2B959E20"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3.538,0</w:t>
            </w:r>
          </w:p>
        </w:tc>
        <w:tc>
          <w:tcPr>
            <w:tcW w:w="1418" w:type="dxa"/>
            <w:tcBorders>
              <w:top w:val="nil"/>
              <w:left w:val="nil"/>
              <w:bottom w:val="nil"/>
              <w:right w:val="nil"/>
            </w:tcBorders>
            <w:shd w:val="clear" w:color="auto" w:fill="auto"/>
            <w:noWrap/>
            <w:vAlign w:val="center"/>
            <w:hideMark/>
          </w:tcPr>
          <w:p w14:paraId="6E91B8E6" w14:textId="57C37D41"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547,4</w:t>
            </w:r>
          </w:p>
        </w:tc>
        <w:tc>
          <w:tcPr>
            <w:tcW w:w="1304" w:type="dxa"/>
            <w:tcBorders>
              <w:top w:val="nil"/>
              <w:left w:val="nil"/>
              <w:bottom w:val="nil"/>
              <w:right w:val="nil"/>
            </w:tcBorders>
            <w:shd w:val="clear" w:color="auto" w:fill="auto"/>
            <w:noWrap/>
            <w:vAlign w:val="center"/>
            <w:hideMark/>
          </w:tcPr>
          <w:p w14:paraId="676F4112" w14:textId="77777777" w:rsidR="00723A50" w:rsidRPr="00EA58AD" w:rsidRDefault="00723A50"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0,0</w:t>
            </w:r>
          </w:p>
        </w:tc>
        <w:tc>
          <w:tcPr>
            <w:tcW w:w="1077" w:type="dxa"/>
            <w:tcBorders>
              <w:top w:val="nil"/>
              <w:left w:val="nil"/>
              <w:bottom w:val="nil"/>
              <w:right w:val="nil"/>
            </w:tcBorders>
            <w:shd w:val="clear" w:color="auto" w:fill="auto"/>
            <w:noWrap/>
            <w:vAlign w:val="center"/>
            <w:hideMark/>
          </w:tcPr>
          <w:p w14:paraId="32203093" w14:textId="6BE73B65"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3.913,0</w:t>
            </w:r>
          </w:p>
        </w:tc>
        <w:tc>
          <w:tcPr>
            <w:tcW w:w="1361" w:type="dxa"/>
            <w:tcBorders>
              <w:top w:val="nil"/>
              <w:left w:val="nil"/>
              <w:bottom w:val="nil"/>
              <w:right w:val="nil"/>
            </w:tcBorders>
            <w:shd w:val="clear" w:color="auto" w:fill="auto"/>
            <w:noWrap/>
            <w:vAlign w:val="bottom"/>
            <w:hideMark/>
          </w:tcPr>
          <w:p w14:paraId="17F4337F" w14:textId="70B42ADA"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7.998,4</w:t>
            </w:r>
          </w:p>
        </w:tc>
      </w:tr>
      <w:tr w:rsidR="00723A50" w:rsidRPr="00EA58AD" w14:paraId="22546F16" w14:textId="77777777" w:rsidTr="00EA58AD">
        <w:trPr>
          <w:trHeight w:val="301"/>
          <w:jc w:val="center"/>
        </w:trPr>
        <w:tc>
          <w:tcPr>
            <w:tcW w:w="3629" w:type="dxa"/>
            <w:tcBorders>
              <w:top w:val="nil"/>
              <w:left w:val="nil"/>
              <w:bottom w:val="nil"/>
              <w:right w:val="nil"/>
            </w:tcBorders>
            <w:shd w:val="clear" w:color="auto" w:fill="auto"/>
            <w:noWrap/>
            <w:vAlign w:val="center"/>
            <w:hideMark/>
          </w:tcPr>
          <w:p w14:paraId="54B2E5F6"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Επιχειρηματικές υπηρεσίες (CPA 55-82)</w:t>
            </w:r>
          </w:p>
        </w:tc>
        <w:tc>
          <w:tcPr>
            <w:tcW w:w="1134" w:type="dxa"/>
            <w:tcBorders>
              <w:top w:val="nil"/>
              <w:left w:val="nil"/>
              <w:bottom w:val="nil"/>
              <w:right w:val="nil"/>
            </w:tcBorders>
            <w:shd w:val="clear" w:color="auto" w:fill="auto"/>
            <w:noWrap/>
            <w:vAlign w:val="center"/>
            <w:hideMark/>
          </w:tcPr>
          <w:p w14:paraId="6E2CE14F" w14:textId="15F84259"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16.091,2</w:t>
            </w:r>
          </w:p>
        </w:tc>
        <w:tc>
          <w:tcPr>
            <w:tcW w:w="1418" w:type="dxa"/>
            <w:tcBorders>
              <w:top w:val="nil"/>
              <w:left w:val="nil"/>
              <w:bottom w:val="nil"/>
              <w:right w:val="nil"/>
            </w:tcBorders>
            <w:shd w:val="clear" w:color="auto" w:fill="auto"/>
            <w:noWrap/>
            <w:vAlign w:val="center"/>
            <w:hideMark/>
          </w:tcPr>
          <w:p w14:paraId="4ACC96D3" w14:textId="56A16335"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6.175,8</w:t>
            </w:r>
          </w:p>
        </w:tc>
        <w:tc>
          <w:tcPr>
            <w:tcW w:w="1304" w:type="dxa"/>
            <w:tcBorders>
              <w:top w:val="nil"/>
              <w:left w:val="nil"/>
              <w:bottom w:val="nil"/>
              <w:right w:val="nil"/>
            </w:tcBorders>
            <w:shd w:val="clear" w:color="auto" w:fill="auto"/>
            <w:noWrap/>
            <w:vAlign w:val="center"/>
            <w:hideMark/>
          </w:tcPr>
          <w:p w14:paraId="25C2F1B3" w14:textId="605EDBD2"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849,2</w:t>
            </w:r>
          </w:p>
        </w:tc>
        <w:tc>
          <w:tcPr>
            <w:tcW w:w="1077" w:type="dxa"/>
            <w:tcBorders>
              <w:top w:val="nil"/>
              <w:left w:val="nil"/>
              <w:bottom w:val="nil"/>
              <w:right w:val="nil"/>
            </w:tcBorders>
            <w:shd w:val="clear" w:color="auto" w:fill="auto"/>
            <w:noWrap/>
            <w:vAlign w:val="center"/>
            <w:hideMark/>
          </w:tcPr>
          <w:p w14:paraId="42BF19B9" w14:textId="1378129D"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13.506,4</w:t>
            </w:r>
          </w:p>
        </w:tc>
        <w:tc>
          <w:tcPr>
            <w:tcW w:w="1361" w:type="dxa"/>
            <w:tcBorders>
              <w:top w:val="nil"/>
              <w:left w:val="nil"/>
              <w:bottom w:val="nil"/>
              <w:right w:val="nil"/>
            </w:tcBorders>
            <w:shd w:val="clear" w:color="auto" w:fill="auto"/>
            <w:noWrap/>
            <w:vAlign w:val="bottom"/>
            <w:hideMark/>
          </w:tcPr>
          <w:p w14:paraId="384AA2CD" w14:textId="7831B503"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36.622,6</w:t>
            </w:r>
          </w:p>
        </w:tc>
      </w:tr>
      <w:tr w:rsidR="00723A50" w:rsidRPr="00EA58AD" w14:paraId="7B207837" w14:textId="77777777" w:rsidTr="00EA58AD">
        <w:trPr>
          <w:trHeight w:val="301"/>
          <w:jc w:val="center"/>
        </w:trPr>
        <w:tc>
          <w:tcPr>
            <w:tcW w:w="3629" w:type="dxa"/>
            <w:tcBorders>
              <w:top w:val="nil"/>
              <w:left w:val="nil"/>
              <w:bottom w:val="single" w:sz="4" w:space="0" w:color="2F5496" w:themeColor="accent1" w:themeShade="BF"/>
              <w:right w:val="nil"/>
            </w:tcBorders>
            <w:shd w:val="clear" w:color="auto" w:fill="auto"/>
            <w:noWrap/>
            <w:vAlign w:val="center"/>
            <w:hideMark/>
          </w:tcPr>
          <w:p w14:paraId="1C3665F4" w14:textId="77777777" w:rsidR="00723A50" w:rsidRPr="00EA58AD" w:rsidRDefault="00723A50" w:rsidP="00723A50">
            <w:pPr>
              <w:ind w:left="-105"/>
              <w:jc w:val="both"/>
              <w:rPr>
                <w:rFonts w:ascii="Verdana" w:eastAsia="Times New Roman" w:hAnsi="Verdana" w:cs="Arial"/>
                <w:color w:val="2F5496" w:themeColor="accent1" w:themeShade="BF"/>
                <w:sz w:val="18"/>
                <w:szCs w:val="18"/>
                <w:lang w:val="el-GR"/>
              </w:rPr>
            </w:pPr>
            <w:r w:rsidRPr="00EA58AD">
              <w:rPr>
                <w:rFonts w:ascii="Verdana" w:eastAsia="Times New Roman" w:hAnsi="Verdana" w:cs="Arial"/>
                <w:color w:val="2F5496" w:themeColor="accent1" w:themeShade="BF"/>
                <w:sz w:val="18"/>
                <w:szCs w:val="18"/>
                <w:lang w:val="el-GR"/>
              </w:rPr>
              <w:t xml:space="preserve"> Άλλες υπηρεσίες (CPA 84-99)</w:t>
            </w:r>
          </w:p>
        </w:tc>
        <w:tc>
          <w:tcPr>
            <w:tcW w:w="1134" w:type="dxa"/>
            <w:tcBorders>
              <w:top w:val="nil"/>
              <w:left w:val="nil"/>
              <w:bottom w:val="single" w:sz="4" w:space="0" w:color="2F5496" w:themeColor="accent1" w:themeShade="BF"/>
              <w:right w:val="nil"/>
            </w:tcBorders>
            <w:shd w:val="clear" w:color="auto" w:fill="auto"/>
            <w:noWrap/>
            <w:vAlign w:val="center"/>
            <w:hideMark/>
          </w:tcPr>
          <w:p w14:paraId="6DF1F5A3" w14:textId="01A22F7E" w:rsidR="00723A50" w:rsidRPr="00EA58AD" w:rsidRDefault="00A61CDD"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490,0</w:t>
            </w:r>
          </w:p>
        </w:tc>
        <w:tc>
          <w:tcPr>
            <w:tcW w:w="1418" w:type="dxa"/>
            <w:tcBorders>
              <w:top w:val="nil"/>
              <w:left w:val="nil"/>
              <w:bottom w:val="single" w:sz="4" w:space="0" w:color="2F5496" w:themeColor="accent1" w:themeShade="BF"/>
              <w:right w:val="nil"/>
            </w:tcBorders>
            <w:shd w:val="clear" w:color="auto" w:fill="auto"/>
            <w:noWrap/>
            <w:vAlign w:val="center"/>
            <w:hideMark/>
          </w:tcPr>
          <w:p w14:paraId="766970A9" w14:textId="24BC0EF7"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6.348,6</w:t>
            </w:r>
          </w:p>
        </w:tc>
        <w:tc>
          <w:tcPr>
            <w:tcW w:w="1304" w:type="dxa"/>
            <w:tcBorders>
              <w:top w:val="nil"/>
              <w:left w:val="nil"/>
              <w:bottom w:val="single" w:sz="4" w:space="0" w:color="2F5496" w:themeColor="accent1" w:themeShade="BF"/>
              <w:right w:val="nil"/>
            </w:tcBorders>
            <w:shd w:val="clear" w:color="auto" w:fill="auto"/>
            <w:noWrap/>
            <w:vAlign w:val="center"/>
            <w:hideMark/>
          </w:tcPr>
          <w:p w14:paraId="46140CBD" w14:textId="28241946" w:rsidR="00723A50" w:rsidRPr="00EA58AD" w:rsidRDefault="00155AC3" w:rsidP="00723A50">
            <w:pPr>
              <w:ind w:left="-105" w:right="227"/>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7</w:t>
            </w:r>
            <w:r w:rsidR="00723A50" w:rsidRPr="00EA58AD">
              <w:rPr>
                <w:rFonts w:ascii="Verdana" w:hAnsi="Verdana" w:cs="Calibri"/>
                <w:color w:val="2F5496" w:themeColor="accent1" w:themeShade="BF"/>
                <w:sz w:val="18"/>
                <w:szCs w:val="18"/>
              </w:rPr>
              <w:t>,1</w:t>
            </w:r>
          </w:p>
        </w:tc>
        <w:tc>
          <w:tcPr>
            <w:tcW w:w="1077" w:type="dxa"/>
            <w:tcBorders>
              <w:top w:val="nil"/>
              <w:left w:val="nil"/>
              <w:bottom w:val="single" w:sz="4" w:space="0" w:color="2F5496" w:themeColor="accent1" w:themeShade="BF"/>
              <w:right w:val="nil"/>
            </w:tcBorders>
            <w:shd w:val="clear" w:color="auto" w:fill="auto"/>
            <w:noWrap/>
            <w:vAlign w:val="center"/>
            <w:hideMark/>
          </w:tcPr>
          <w:p w14:paraId="0A39868E" w14:textId="5743776D" w:rsidR="00723A50" w:rsidRPr="00EA58AD" w:rsidRDefault="00155AC3" w:rsidP="00723A50">
            <w:pPr>
              <w:ind w:left="-108" w:right="113"/>
              <w:jc w:val="right"/>
              <w:rPr>
                <w:rFonts w:ascii="Verdana" w:hAnsi="Verdana"/>
                <w:color w:val="2F5496" w:themeColor="accent1" w:themeShade="BF"/>
                <w:sz w:val="18"/>
                <w:szCs w:val="18"/>
                <w:lang w:val="el-GR"/>
              </w:rPr>
            </w:pPr>
            <w:r w:rsidRPr="00EA58AD">
              <w:rPr>
                <w:rFonts w:ascii="Verdana" w:hAnsi="Verdana" w:cs="Calibri"/>
                <w:color w:val="2F5496" w:themeColor="accent1" w:themeShade="BF"/>
                <w:sz w:val="18"/>
                <w:szCs w:val="18"/>
              </w:rPr>
              <w:t>353,9</w:t>
            </w:r>
          </w:p>
        </w:tc>
        <w:tc>
          <w:tcPr>
            <w:tcW w:w="1361" w:type="dxa"/>
            <w:tcBorders>
              <w:top w:val="nil"/>
              <w:left w:val="nil"/>
              <w:bottom w:val="single" w:sz="4" w:space="0" w:color="2F5496" w:themeColor="accent1" w:themeShade="BF"/>
              <w:right w:val="nil"/>
            </w:tcBorders>
            <w:shd w:val="clear" w:color="auto" w:fill="auto"/>
            <w:noWrap/>
            <w:vAlign w:val="bottom"/>
            <w:hideMark/>
          </w:tcPr>
          <w:p w14:paraId="5BEBAB88" w14:textId="439E8634" w:rsidR="00723A50" w:rsidRPr="00EA58AD" w:rsidRDefault="00155AC3" w:rsidP="00723A50">
            <w:pPr>
              <w:ind w:left="-105" w:right="227"/>
              <w:jc w:val="right"/>
              <w:rPr>
                <w:rFonts w:ascii="Verdana" w:hAnsi="Verdana"/>
                <w:b/>
                <w:bCs/>
                <w:color w:val="2F5496" w:themeColor="accent1" w:themeShade="BF"/>
                <w:sz w:val="18"/>
                <w:szCs w:val="18"/>
                <w:lang w:val="el-GR"/>
              </w:rPr>
            </w:pPr>
            <w:r w:rsidRPr="00EA58AD">
              <w:rPr>
                <w:rFonts w:ascii="Verdana" w:hAnsi="Verdana" w:cs="Calibri"/>
                <w:b/>
                <w:bCs/>
                <w:color w:val="2F5496" w:themeColor="accent1" w:themeShade="BF"/>
                <w:sz w:val="18"/>
                <w:szCs w:val="18"/>
              </w:rPr>
              <w:t>7.199,6</w:t>
            </w:r>
          </w:p>
        </w:tc>
      </w:tr>
      <w:tr w:rsidR="00723A50" w:rsidRPr="00EA58AD" w14:paraId="00F4F8C8" w14:textId="77777777" w:rsidTr="00EA58AD">
        <w:trPr>
          <w:trHeight w:val="405"/>
          <w:jc w:val="center"/>
        </w:trPr>
        <w:tc>
          <w:tcPr>
            <w:tcW w:w="3629" w:type="dxa"/>
            <w:tcBorders>
              <w:top w:val="single" w:sz="4" w:space="0" w:color="2F5496" w:themeColor="accent1" w:themeShade="BF"/>
              <w:left w:val="nil"/>
              <w:right w:val="nil"/>
            </w:tcBorders>
            <w:shd w:val="clear" w:color="auto" w:fill="auto"/>
            <w:noWrap/>
            <w:vAlign w:val="center"/>
            <w:hideMark/>
          </w:tcPr>
          <w:p w14:paraId="27B0C0D4" w14:textId="77777777" w:rsidR="00723A50" w:rsidRPr="00EA58AD" w:rsidRDefault="00723A50" w:rsidP="00723A50">
            <w:pPr>
              <w:ind w:left="-105"/>
              <w:jc w:val="both"/>
              <w:rPr>
                <w:rFonts w:ascii="Verdana" w:eastAsia="Malgun Gothic" w:hAnsi="Verdana" w:cs="Arial"/>
                <w:b/>
                <w:bCs/>
                <w:color w:val="2F5496" w:themeColor="accent1" w:themeShade="BF"/>
                <w:sz w:val="18"/>
                <w:szCs w:val="18"/>
                <w:lang w:val="el-GR"/>
              </w:rPr>
            </w:pPr>
            <w:r w:rsidRPr="00EA58AD">
              <w:rPr>
                <w:rFonts w:ascii="Verdana" w:eastAsia="Times New Roman" w:hAnsi="Verdana" w:cs="Arial"/>
                <w:b/>
                <w:bCs/>
                <w:color w:val="2F5496" w:themeColor="accent1" w:themeShade="BF"/>
                <w:sz w:val="18"/>
                <w:szCs w:val="18"/>
                <w:lang w:val="el-GR"/>
              </w:rPr>
              <w:t xml:space="preserve"> Συνολική Χρήση (CPA </w:t>
            </w:r>
            <w:r w:rsidRPr="00EA58AD">
              <w:rPr>
                <w:rFonts w:ascii="Verdana" w:eastAsia="Times New Roman" w:hAnsi="Verdana" w:cs="Arial"/>
                <w:b/>
                <w:bCs/>
                <w:color w:val="2F5496" w:themeColor="accent1" w:themeShade="BF"/>
                <w:sz w:val="18"/>
                <w:szCs w:val="18"/>
              </w:rPr>
              <w:t>0</w:t>
            </w:r>
            <w:r w:rsidRPr="00EA58AD">
              <w:rPr>
                <w:rFonts w:ascii="Verdana" w:eastAsia="Times New Roman" w:hAnsi="Verdana" w:cs="Arial"/>
                <w:b/>
                <w:bCs/>
                <w:color w:val="2F5496" w:themeColor="accent1" w:themeShade="BF"/>
                <w:sz w:val="18"/>
                <w:szCs w:val="18"/>
                <w:lang w:val="el-GR"/>
              </w:rPr>
              <w:t>1-99)</w:t>
            </w:r>
          </w:p>
        </w:tc>
        <w:tc>
          <w:tcPr>
            <w:tcW w:w="1134" w:type="dxa"/>
            <w:tcBorders>
              <w:top w:val="single" w:sz="4" w:space="0" w:color="2F5496" w:themeColor="accent1" w:themeShade="BF"/>
              <w:left w:val="nil"/>
              <w:right w:val="nil"/>
            </w:tcBorders>
            <w:shd w:val="clear" w:color="auto" w:fill="auto"/>
            <w:noWrap/>
            <w:vAlign w:val="bottom"/>
            <w:hideMark/>
          </w:tcPr>
          <w:p w14:paraId="42E25FC1" w14:textId="1BAAB600" w:rsidR="00723A50" w:rsidRPr="00EA58AD" w:rsidRDefault="00A61CDD" w:rsidP="00723A50">
            <w:pPr>
              <w:spacing w:after="26" w:line="360" w:lineRule="auto"/>
              <w:ind w:left="-108" w:right="113"/>
              <w:jc w:val="right"/>
              <w:rPr>
                <w:rFonts w:ascii="Verdana" w:hAnsi="Verdana" w:cs="Calibri"/>
                <w:b/>
                <w:bCs/>
                <w:color w:val="2F5496" w:themeColor="accent1" w:themeShade="BF"/>
                <w:sz w:val="18"/>
                <w:szCs w:val="18"/>
              </w:rPr>
            </w:pPr>
            <w:r w:rsidRPr="00EA58AD">
              <w:rPr>
                <w:rFonts w:ascii="Verdana" w:hAnsi="Verdana" w:cs="Calibri"/>
                <w:b/>
                <w:bCs/>
                <w:color w:val="2F5496" w:themeColor="accent1" w:themeShade="BF"/>
                <w:sz w:val="18"/>
                <w:szCs w:val="18"/>
              </w:rPr>
              <w:t>30.594,2</w:t>
            </w:r>
          </w:p>
        </w:tc>
        <w:tc>
          <w:tcPr>
            <w:tcW w:w="1418" w:type="dxa"/>
            <w:tcBorders>
              <w:top w:val="single" w:sz="4" w:space="0" w:color="2F5496" w:themeColor="accent1" w:themeShade="BF"/>
              <w:left w:val="nil"/>
              <w:right w:val="nil"/>
            </w:tcBorders>
            <w:shd w:val="clear" w:color="auto" w:fill="auto"/>
            <w:noWrap/>
            <w:vAlign w:val="bottom"/>
            <w:hideMark/>
          </w:tcPr>
          <w:p w14:paraId="018047AF" w14:textId="2DDFCC4B" w:rsidR="00723A50" w:rsidRPr="00EA58AD" w:rsidRDefault="00155AC3" w:rsidP="00723A50">
            <w:pPr>
              <w:spacing w:after="26" w:line="360" w:lineRule="auto"/>
              <w:ind w:left="-105" w:right="227"/>
              <w:jc w:val="right"/>
              <w:rPr>
                <w:rFonts w:ascii="Verdana" w:hAnsi="Verdana" w:cs="Calibri"/>
                <w:b/>
                <w:bCs/>
                <w:color w:val="2F5496" w:themeColor="accent1" w:themeShade="BF"/>
                <w:sz w:val="18"/>
                <w:szCs w:val="18"/>
              </w:rPr>
            </w:pPr>
            <w:r w:rsidRPr="00EA58AD">
              <w:rPr>
                <w:rFonts w:ascii="Verdana" w:hAnsi="Verdana" w:cs="Calibri"/>
                <w:b/>
                <w:bCs/>
                <w:color w:val="2F5496" w:themeColor="accent1" w:themeShade="BF"/>
                <w:sz w:val="18"/>
                <w:szCs w:val="18"/>
              </w:rPr>
              <w:t>20.385,5</w:t>
            </w:r>
          </w:p>
        </w:tc>
        <w:tc>
          <w:tcPr>
            <w:tcW w:w="1304" w:type="dxa"/>
            <w:tcBorders>
              <w:top w:val="single" w:sz="4" w:space="0" w:color="2F5496" w:themeColor="accent1" w:themeShade="BF"/>
              <w:left w:val="nil"/>
              <w:right w:val="nil"/>
            </w:tcBorders>
            <w:shd w:val="clear" w:color="auto" w:fill="auto"/>
            <w:noWrap/>
            <w:vAlign w:val="bottom"/>
            <w:hideMark/>
          </w:tcPr>
          <w:p w14:paraId="314AAC83" w14:textId="4E94FC87" w:rsidR="00723A50" w:rsidRPr="00EA58AD" w:rsidRDefault="00155AC3" w:rsidP="00723A50">
            <w:pPr>
              <w:spacing w:after="26" w:line="360" w:lineRule="auto"/>
              <w:ind w:left="-105" w:right="227"/>
              <w:jc w:val="right"/>
              <w:rPr>
                <w:rFonts w:ascii="Verdana" w:hAnsi="Verdana" w:cs="Calibri"/>
                <w:b/>
                <w:bCs/>
                <w:color w:val="2F5496" w:themeColor="accent1" w:themeShade="BF"/>
                <w:sz w:val="18"/>
                <w:szCs w:val="18"/>
              </w:rPr>
            </w:pPr>
            <w:r w:rsidRPr="00EA58AD">
              <w:rPr>
                <w:rFonts w:ascii="Verdana" w:hAnsi="Verdana" w:cs="Calibri"/>
                <w:b/>
                <w:bCs/>
                <w:color w:val="2F5496" w:themeColor="accent1" w:themeShade="BF"/>
                <w:sz w:val="18"/>
                <w:szCs w:val="18"/>
              </w:rPr>
              <w:t>5.104,2</w:t>
            </w:r>
          </w:p>
        </w:tc>
        <w:tc>
          <w:tcPr>
            <w:tcW w:w="1077" w:type="dxa"/>
            <w:tcBorders>
              <w:top w:val="single" w:sz="4" w:space="0" w:color="2F5496" w:themeColor="accent1" w:themeShade="BF"/>
              <w:left w:val="nil"/>
              <w:right w:val="nil"/>
            </w:tcBorders>
            <w:shd w:val="clear" w:color="auto" w:fill="auto"/>
            <w:noWrap/>
            <w:vAlign w:val="bottom"/>
            <w:hideMark/>
          </w:tcPr>
          <w:p w14:paraId="18C8F051" w14:textId="43D43116" w:rsidR="00723A50" w:rsidRPr="00EA58AD" w:rsidRDefault="00155AC3" w:rsidP="00723A50">
            <w:pPr>
              <w:spacing w:after="26" w:line="360" w:lineRule="auto"/>
              <w:ind w:left="-108" w:right="113"/>
              <w:jc w:val="right"/>
              <w:rPr>
                <w:rFonts w:ascii="Verdana" w:hAnsi="Verdana" w:cs="Calibri"/>
                <w:b/>
                <w:bCs/>
                <w:color w:val="2F5496" w:themeColor="accent1" w:themeShade="BF"/>
                <w:sz w:val="18"/>
                <w:szCs w:val="18"/>
              </w:rPr>
            </w:pPr>
            <w:r w:rsidRPr="00EA58AD">
              <w:rPr>
                <w:rFonts w:ascii="Verdana" w:hAnsi="Verdana" w:cs="Calibri"/>
                <w:b/>
                <w:bCs/>
                <w:color w:val="2F5496" w:themeColor="accent1" w:themeShade="BF"/>
                <w:sz w:val="18"/>
                <w:szCs w:val="18"/>
              </w:rPr>
              <w:t>21.675,1</w:t>
            </w:r>
          </w:p>
        </w:tc>
        <w:tc>
          <w:tcPr>
            <w:tcW w:w="1361" w:type="dxa"/>
            <w:tcBorders>
              <w:top w:val="single" w:sz="4" w:space="0" w:color="2F5496" w:themeColor="accent1" w:themeShade="BF"/>
              <w:left w:val="nil"/>
              <w:right w:val="nil"/>
            </w:tcBorders>
            <w:shd w:val="clear" w:color="auto" w:fill="auto"/>
            <w:noWrap/>
            <w:vAlign w:val="bottom"/>
            <w:hideMark/>
          </w:tcPr>
          <w:p w14:paraId="6FB8006B" w14:textId="2FFA0C29" w:rsidR="00723A50" w:rsidRPr="00EA58AD" w:rsidRDefault="00155AC3" w:rsidP="00723A50">
            <w:pPr>
              <w:spacing w:after="26" w:line="360" w:lineRule="auto"/>
              <w:ind w:left="-105" w:right="227"/>
              <w:jc w:val="right"/>
              <w:rPr>
                <w:rFonts w:ascii="Verdana" w:hAnsi="Verdana" w:cs="Calibri"/>
                <w:b/>
                <w:bCs/>
                <w:color w:val="2F5496" w:themeColor="accent1" w:themeShade="BF"/>
                <w:sz w:val="18"/>
                <w:szCs w:val="18"/>
              </w:rPr>
            </w:pPr>
            <w:r w:rsidRPr="00EA58AD">
              <w:rPr>
                <w:rFonts w:ascii="Verdana" w:hAnsi="Verdana" w:cs="Calibri"/>
                <w:b/>
                <w:bCs/>
                <w:color w:val="2F5496" w:themeColor="accent1" w:themeShade="BF"/>
                <w:sz w:val="18"/>
                <w:szCs w:val="18"/>
              </w:rPr>
              <w:t>77.758,9</w:t>
            </w:r>
          </w:p>
        </w:tc>
      </w:tr>
    </w:tbl>
    <w:p w14:paraId="4D15947E" w14:textId="77777777" w:rsidR="0043115C" w:rsidRDefault="0043115C" w:rsidP="00E136A3">
      <w:pPr>
        <w:jc w:val="both"/>
        <w:rPr>
          <w:rFonts w:ascii="Verdana" w:hAnsi="Verdana" w:cs="Arial"/>
          <w:sz w:val="18"/>
          <w:szCs w:val="18"/>
          <w:lang w:val="el-GR"/>
        </w:rPr>
      </w:pPr>
    </w:p>
    <w:p w14:paraId="3C82914E" w14:textId="7E77E04A" w:rsidR="007616A9" w:rsidRPr="0018667B" w:rsidRDefault="007616A9" w:rsidP="007616A9">
      <w:pPr>
        <w:jc w:val="both"/>
        <w:rPr>
          <w:rFonts w:ascii="Verdana" w:hAnsi="Verdana" w:cs="Arial"/>
          <w:sz w:val="18"/>
          <w:szCs w:val="18"/>
          <w:lang w:val="el-GR"/>
        </w:rPr>
      </w:pPr>
      <w:r w:rsidRPr="0018667B">
        <w:rPr>
          <w:rFonts w:ascii="Verdana" w:hAnsi="Verdana" w:cs="Arial"/>
          <w:sz w:val="18"/>
          <w:szCs w:val="18"/>
          <w:lang w:val="el-GR"/>
        </w:rPr>
        <w:t>Η ενδιάμεση ανάλωση έχει το μεγαλύτερο μερίδιο (3</w:t>
      </w:r>
      <w:r w:rsidR="00FA076C" w:rsidRPr="00FA076C">
        <w:rPr>
          <w:rFonts w:ascii="Verdana" w:hAnsi="Verdana" w:cs="Arial"/>
          <w:sz w:val="18"/>
          <w:szCs w:val="18"/>
          <w:lang w:val="el-GR"/>
        </w:rPr>
        <w:t>9</w:t>
      </w:r>
      <w:r w:rsidRPr="0018667B">
        <w:rPr>
          <w:rFonts w:ascii="Verdana" w:hAnsi="Verdana" w:cs="Arial"/>
          <w:sz w:val="18"/>
          <w:szCs w:val="18"/>
          <w:lang w:val="el-GR"/>
        </w:rPr>
        <w:t>,</w:t>
      </w:r>
      <w:r w:rsidR="00FF2FCD">
        <w:rPr>
          <w:rFonts w:ascii="Verdana" w:hAnsi="Verdana" w:cs="Arial"/>
          <w:sz w:val="18"/>
          <w:szCs w:val="18"/>
          <w:lang w:val="el-GR"/>
        </w:rPr>
        <w:t>3</w:t>
      </w:r>
      <w:r w:rsidRPr="0018667B">
        <w:rPr>
          <w:rFonts w:ascii="Verdana" w:hAnsi="Verdana" w:cs="Arial"/>
          <w:sz w:val="18"/>
          <w:szCs w:val="18"/>
          <w:lang w:val="el-GR"/>
        </w:rPr>
        <w:t>%) στη συνολική χρήση. Το δεύτερο μεγαλύτερο μερίδιο στη συνολική χρήση έχ</w:t>
      </w:r>
      <w:r w:rsidR="00984747">
        <w:rPr>
          <w:rFonts w:ascii="Verdana" w:hAnsi="Verdana" w:cs="Arial"/>
          <w:sz w:val="18"/>
          <w:szCs w:val="18"/>
          <w:lang w:val="el-GR"/>
        </w:rPr>
        <w:t xml:space="preserve">ουν οι </w:t>
      </w:r>
      <w:r w:rsidR="00984747" w:rsidRPr="00984747">
        <w:rPr>
          <w:rFonts w:ascii="Verdana" w:hAnsi="Verdana" w:cs="Arial"/>
          <w:sz w:val="18"/>
          <w:szCs w:val="18"/>
          <w:lang w:val="el-GR"/>
        </w:rPr>
        <w:t>εξαγωγές</w:t>
      </w:r>
      <w:r w:rsidRPr="0018667B">
        <w:rPr>
          <w:rFonts w:ascii="Verdana" w:hAnsi="Verdana" w:cs="Arial"/>
          <w:sz w:val="18"/>
          <w:szCs w:val="18"/>
          <w:lang w:val="el-GR"/>
        </w:rPr>
        <w:t xml:space="preserve"> (</w:t>
      </w:r>
      <w:r w:rsidR="00FA076C" w:rsidRPr="00FA076C">
        <w:rPr>
          <w:rFonts w:ascii="Verdana" w:hAnsi="Verdana" w:cs="Arial"/>
          <w:sz w:val="18"/>
          <w:szCs w:val="18"/>
          <w:lang w:val="el-GR"/>
        </w:rPr>
        <w:t>27</w:t>
      </w:r>
      <w:r w:rsidRPr="0018667B">
        <w:rPr>
          <w:rFonts w:ascii="Verdana" w:hAnsi="Verdana" w:cs="Arial"/>
          <w:sz w:val="18"/>
          <w:szCs w:val="18"/>
          <w:lang w:val="el-GR"/>
        </w:rPr>
        <w:t>,</w:t>
      </w:r>
      <w:r w:rsidR="00984747">
        <w:rPr>
          <w:rFonts w:ascii="Verdana" w:hAnsi="Verdana" w:cs="Arial"/>
          <w:sz w:val="18"/>
          <w:szCs w:val="18"/>
          <w:lang w:val="el-GR"/>
        </w:rPr>
        <w:t>9</w:t>
      </w:r>
      <w:r w:rsidRPr="0018667B">
        <w:rPr>
          <w:rFonts w:ascii="Verdana" w:hAnsi="Verdana" w:cs="Arial"/>
          <w:sz w:val="18"/>
          <w:szCs w:val="18"/>
          <w:lang w:val="el-GR"/>
        </w:rPr>
        <w:t>%), ακολουθούμενη από τ</w:t>
      </w:r>
      <w:r w:rsidR="00984747" w:rsidRPr="00984747">
        <w:rPr>
          <w:rFonts w:ascii="Verdana" w:hAnsi="Verdana" w:cs="Arial"/>
          <w:sz w:val="18"/>
          <w:szCs w:val="18"/>
          <w:lang w:val="el-GR"/>
        </w:rPr>
        <w:t>η</w:t>
      </w:r>
      <w:r w:rsidR="00984747">
        <w:rPr>
          <w:rFonts w:ascii="Verdana" w:hAnsi="Verdana" w:cs="Arial"/>
          <w:sz w:val="18"/>
          <w:szCs w:val="18"/>
          <w:lang w:val="el-GR"/>
        </w:rPr>
        <w:t>ν</w:t>
      </w:r>
      <w:r w:rsidR="00984747" w:rsidRPr="00984747">
        <w:rPr>
          <w:rFonts w:ascii="Verdana" w:hAnsi="Verdana" w:cs="Arial"/>
          <w:sz w:val="18"/>
          <w:szCs w:val="18"/>
          <w:lang w:val="el-GR"/>
        </w:rPr>
        <w:t xml:space="preserve"> τελική καταναλωτική δαπάνη</w:t>
      </w:r>
      <w:r w:rsidRPr="0018667B">
        <w:rPr>
          <w:rFonts w:ascii="Verdana" w:hAnsi="Verdana" w:cs="Arial"/>
          <w:sz w:val="18"/>
          <w:szCs w:val="18"/>
          <w:lang w:val="el-GR"/>
        </w:rPr>
        <w:t xml:space="preserve"> (2</w:t>
      </w:r>
      <w:r w:rsidR="00FA076C" w:rsidRPr="00FA076C">
        <w:rPr>
          <w:rFonts w:ascii="Verdana" w:hAnsi="Verdana" w:cs="Arial"/>
          <w:sz w:val="18"/>
          <w:szCs w:val="18"/>
          <w:lang w:val="el-GR"/>
        </w:rPr>
        <w:t>6</w:t>
      </w:r>
      <w:r w:rsidRPr="0018667B">
        <w:rPr>
          <w:rFonts w:ascii="Verdana" w:hAnsi="Verdana" w:cs="Arial"/>
          <w:sz w:val="18"/>
          <w:szCs w:val="18"/>
          <w:lang w:val="el-GR"/>
        </w:rPr>
        <w:t>,</w:t>
      </w:r>
      <w:r w:rsidR="00984747">
        <w:rPr>
          <w:rFonts w:ascii="Verdana" w:hAnsi="Verdana" w:cs="Arial"/>
          <w:sz w:val="18"/>
          <w:szCs w:val="18"/>
          <w:lang w:val="el-GR"/>
        </w:rPr>
        <w:t>2</w:t>
      </w:r>
      <w:r w:rsidRPr="0018667B">
        <w:rPr>
          <w:rFonts w:ascii="Verdana" w:hAnsi="Verdana" w:cs="Arial"/>
          <w:sz w:val="18"/>
          <w:szCs w:val="18"/>
          <w:lang w:val="el-GR"/>
        </w:rPr>
        <w:t>%) και τον ακαθάριστο σχηματισμό κεφαλαίου (</w:t>
      </w:r>
      <w:r w:rsidR="00984747">
        <w:rPr>
          <w:rFonts w:ascii="Verdana" w:hAnsi="Verdana" w:cs="Arial"/>
          <w:sz w:val="18"/>
          <w:szCs w:val="18"/>
          <w:lang w:val="el-GR"/>
        </w:rPr>
        <w:t>6</w:t>
      </w:r>
      <w:r w:rsidRPr="0018667B">
        <w:rPr>
          <w:rFonts w:ascii="Verdana" w:hAnsi="Verdana" w:cs="Arial"/>
          <w:sz w:val="18"/>
          <w:szCs w:val="18"/>
          <w:lang w:val="el-GR"/>
        </w:rPr>
        <w:t>,</w:t>
      </w:r>
      <w:r w:rsidR="00984747">
        <w:rPr>
          <w:rFonts w:ascii="Verdana" w:hAnsi="Verdana" w:cs="Arial"/>
          <w:sz w:val="18"/>
          <w:szCs w:val="18"/>
          <w:lang w:val="el-GR"/>
        </w:rPr>
        <w:t>6</w:t>
      </w:r>
      <w:r w:rsidRPr="0018667B">
        <w:rPr>
          <w:rFonts w:ascii="Verdana" w:hAnsi="Verdana" w:cs="Arial"/>
          <w:sz w:val="18"/>
          <w:szCs w:val="18"/>
          <w:lang w:val="el-GR"/>
        </w:rPr>
        <w:t>%). Η ενδιάμεση ανάλωση, καταλαμβάνει το μεγαλύτερο μέρος της συνολικής χρήσης στα προϊόντα γεωργίας, δασοκομίας και αλιείας (5</w:t>
      </w:r>
      <w:r w:rsidR="00984747">
        <w:rPr>
          <w:rFonts w:ascii="Verdana" w:hAnsi="Verdana" w:cs="Arial"/>
          <w:sz w:val="18"/>
          <w:szCs w:val="18"/>
          <w:lang w:val="el-GR"/>
        </w:rPr>
        <w:t>2</w:t>
      </w:r>
      <w:r w:rsidRPr="0018667B">
        <w:rPr>
          <w:rFonts w:ascii="Verdana" w:hAnsi="Verdana" w:cs="Arial"/>
          <w:sz w:val="18"/>
          <w:szCs w:val="18"/>
          <w:lang w:val="el-GR"/>
        </w:rPr>
        <w:t>,</w:t>
      </w:r>
      <w:r w:rsidR="00984747">
        <w:rPr>
          <w:rFonts w:ascii="Verdana" w:hAnsi="Verdana" w:cs="Arial"/>
          <w:sz w:val="18"/>
          <w:szCs w:val="18"/>
          <w:lang w:val="el-GR"/>
        </w:rPr>
        <w:t>6</w:t>
      </w:r>
      <w:r w:rsidRPr="0018667B">
        <w:rPr>
          <w:rFonts w:ascii="Verdana" w:hAnsi="Verdana" w:cs="Arial"/>
          <w:sz w:val="18"/>
          <w:szCs w:val="18"/>
          <w:lang w:val="el-GR"/>
        </w:rPr>
        <w:t>%)</w:t>
      </w:r>
      <w:r w:rsidR="00984747" w:rsidRPr="00984747">
        <w:rPr>
          <w:rFonts w:ascii="Verdana" w:hAnsi="Verdana" w:cs="Arial"/>
          <w:sz w:val="18"/>
          <w:szCs w:val="18"/>
          <w:lang w:val="el-GR"/>
        </w:rPr>
        <w:t xml:space="preserve">, </w:t>
      </w:r>
      <w:r w:rsidR="00984747">
        <w:rPr>
          <w:rFonts w:ascii="Verdana" w:hAnsi="Verdana" w:cs="Arial"/>
          <w:sz w:val="18"/>
          <w:szCs w:val="18"/>
          <w:lang w:val="el-GR"/>
        </w:rPr>
        <w:t>στα</w:t>
      </w:r>
      <w:r w:rsidR="00984747" w:rsidRPr="00984747">
        <w:rPr>
          <w:lang w:val="el-GR"/>
        </w:rPr>
        <w:t xml:space="preserve"> </w:t>
      </w:r>
      <w:r w:rsidR="00984747" w:rsidRPr="00984747">
        <w:rPr>
          <w:rFonts w:ascii="Verdana" w:hAnsi="Verdana" w:cs="Arial"/>
          <w:sz w:val="18"/>
          <w:szCs w:val="18"/>
          <w:lang w:val="el-GR"/>
        </w:rPr>
        <w:t>μεταποιητικά προϊόντα (38,7%)</w:t>
      </w:r>
      <w:r w:rsidRPr="0018667B">
        <w:rPr>
          <w:rFonts w:ascii="Verdana" w:hAnsi="Verdana" w:cs="Arial"/>
          <w:sz w:val="18"/>
          <w:szCs w:val="18"/>
          <w:lang w:val="el-GR"/>
        </w:rPr>
        <w:t xml:space="preserve"> και στις επιχειρηματικές υπηρεσίες (4</w:t>
      </w:r>
      <w:r w:rsidR="00984747">
        <w:rPr>
          <w:rFonts w:ascii="Verdana" w:hAnsi="Verdana" w:cs="Arial"/>
          <w:sz w:val="18"/>
          <w:szCs w:val="18"/>
          <w:lang w:val="el-GR"/>
        </w:rPr>
        <w:t>3</w:t>
      </w:r>
      <w:r w:rsidRPr="0018667B">
        <w:rPr>
          <w:rFonts w:ascii="Verdana" w:hAnsi="Verdana" w:cs="Arial"/>
          <w:sz w:val="18"/>
          <w:szCs w:val="18"/>
          <w:lang w:val="el-GR"/>
        </w:rPr>
        <w:t>,</w:t>
      </w:r>
      <w:r w:rsidR="00984747">
        <w:rPr>
          <w:rFonts w:ascii="Verdana" w:hAnsi="Verdana" w:cs="Arial"/>
          <w:sz w:val="18"/>
          <w:szCs w:val="18"/>
          <w:lang w:val="el-GR"/>
        </w:rPr>
        <w:t>9</w:t>
      </w:r>
      <w:r w:rsidRPr="0018667B">
        <w:rPr>
          <w:rFonts w:ascii="Verdana" w:hAnsi="Verdana" w:cs="Arial"/>
          <w:sz w:val="18"/>
          <w:szCs w:val="18"/>
          <w:lang w:val="el-GR"/>
        </w:rPr>
        <w:t>%). Η τελική καταναλωτική δαπάνη, είναι η κύρια κατηγορία χρήσης στις άλλες υπηρεσίες (</w:t>
      </w:r>
      <w:r w:rsidR="002A2778" w:rsidRPr="002A2778">
        <w:rPr>
          <w:rFonts w:ascii="Verdana" w:hAnsi="Verdana" w:cs="Arial"/>
          <w:sz w:val="18"/>
          <w:szCs w:val="18"/>
          <w:lang w:val="el-GR"/>
        </w:rPr>
        <w:t>88</w:t>
      </w:r>
      <w:r w:rsidRPr="0018667B">
        <w:rPr>
          <w:rFonts w:ascii="Verdana" w:hAnsi="Verdana" w:cs="Arial"/>
          <w:sz w:val="18"/>
          <w:szCs w:val="18"/>
          <w:lang w:val="el-GR"/>
        </w:rPr>
        <w:t>,</w:t>
      </w:r>
      <w:r w:rsidR="00984747">
        <w:rPr>
          <w:rFonts w:ascii="Verdana" w:hAnsi="Verdana" w:cs="Arial"/>
          <w:sz w:val="18"/>
          <w:szCs w:val="18"/>
          <w:lang w:val="el-GR"/>
        </w:rPr>
        <w:t>2</w:t>
      </w:r>
      <w:r w:rsidRPr="0018667B">
        <w:rPr>
          <w:rFonts w:ascii="Verdana" w:hAnsi="Verdana" w:cs="Arial"/>
          <w:sz w:val="18"/>
          <w:szCs w:val="18"/>
          <w:lang w:val="el-GR"/>
        </w:rPr>
        <w:t xml:space="preserve">%), με την υπόλοιπη χρήση τους να κατανέμεται κυρίως μεταξύ της ενδιάμεσης ανάλωσης και των εξαγωγών. Η προσφορά κατασκευαστικών </w:t>
      </w:r>
      <w:r w:rsidR="000D06C8" w:rsidRPr="0018667B">
        <w:rPr>
          <w:rFonts w:ascii="Verdana" w:hAnsi="Verdana" w:cs="Arial"/>
          <w:sz w:val="18"/>
          <w:szCs w:val="18"/>
          <w:lang w:val="el-GR"/>
        </w:rPr>
        <w:t>εργ</w:t>
      </w:r>
      <w:r w:rsidR="000D06C8">
        <w:rPr>
          <w:rFonts w:ascii="Verdana" w:hAnsi="Verdana" w:cs="Arial"/>
          <w:sz w:val="18"/>
          <w:szCs w:val="18"/>
          <w:lang w:val="el-GR"/>
        </w:rPr>
        <w:t>ασιών</w:t>
      </w:r>
      <w:r w:rsidRPr="0018667B">
        <w:rPr>
          <w:rFonts w:ascii="Verdana" w:hAnsi="Verdana" w:cs="Arial"/>
          <w:sz w:val="18"/>
          <w:szCs w:val="18"/>
          <w:lang w:val="el-GR"/>
        </w:rPr>
        <w:t xml:space="preserve"> χρησιμοποιείται, ως επί το πλείστον, για ακαθάριστο σχηματισμό κεφαλαίου (5</w:t>
      </w:r>
      <w:r w:rsidR="00984747">
        <w:rPr>
          <w:rFonts w:ascii="Verdana" w:hAnsi="Verdana" w:cs="Arial"/>
          <w:sz w:val="18"/>
          <w:szCs w:val="18"/>
          <w:lang w:val="el-GR"/>
        </w:rPr>
        <w:t>5</w:t>
      </w:r>
      <w:r w:rsidRPr="0018667B">
        <w:rPr>
          <w:rFonts w:ascii="Verdana" w:hAnsi="Verdana" w:cs="Arial"/>
          <w:sz w:val="18"/>
          <w:szCs w:val="18"/>
          <w:lang w:val="el-GR"/>
        </w:rPr>
        <w:t>,</w:t>
      </w:r>
      <w:r w:rsidR="00984747">
        <w:rPr>
          <w:rFonts w:ascii="Verdana" w:hAnsi="Verdana" w:cs="Arial"/>
          <w:sz w:val="18"/>
          <w:szCs w:val="18"/>
          <w:lang w:val="el-GR"/>
        </w:rPr>
        <w:t>6</w:t>
      </w:r>
      <w:r w:rsidRPr="0018667B">
        <w:rPr>
          <w:rFonts w:ascii="Verdana" w:hAnsi="Verdana" w:cs="Arial"/>
          <w:sz w:val="18"/>
          <w:szCs w:val="18"/>
          <w:lang w:val="el-GR"/>
        </w:rPr>
        <w:t>%) και ενδιάμεση ανάλωση (4</w:t>
      </w:r>
      <w:r w:rsidR="00984747">
        <w:rPr>
          <w:rFonts w:ascii="Verdana" w:hAnsi="Verdana" w:cs="Arial"/>
          <w:sz w:val="18"/>
          <w:szCs w:val="18"/>
          <w:lang w:val="el-GR"/>
        </w:rPr>
        <w:t>3</w:t>
      </w:r>
      <w:r w:rsidRPr="0018667B">
        <w:rPr>
          <w:rFonts w:ascii="Verdana" w:hAnsi="Verdana" w:cs="Arial"/>
          <w:sz w:val="18"/>
          <w:szCs w:val="18"/>
          <w:lang w:val="el-GR"/>
        </w:rPr>
        <w:t>,</w:t>
      </w:r>
      <w:r w:rsidR="00984747">
        <w:rPr>
          <w:rFonts w:ascii="Verdana" w:hAnsi="Verdana" w:cs="Arial"/>
          <w:sz w:val="18"/>
          <w:szCs w:val="18"/>
          <w:lang w:val="el-GR"/>
        </w:rPr>
        <w:t>5</w:t>
      </w:r>
      <w:r w:rsidRPr="0018667B">
        <w:rPr>
          <w:rFonts w:ascii="Verdana" w:hAnsi="Verdana" w:cs="Arial"/>
          <w:sz w:val="18"/>
          <w:szCs w:val="18"/>
          <w:lang w:val="el-GR"/>
        </w:rPr>
        <w:t>%). Οι υπηρεσίες διανομής και μεταφορών κυρίως εξάγονται (4</w:t>
      </w:r>
      <w:r w:rsidR="00984747">
        <w:rPr>
          <w:rFonts w:ascii="Verdana" w:hAnsi="Verdana" w:cs="Arial"/>
          <w:sz w:val="18"/>
          <w:szCs w:val="18"/>
          <w:lang w:val="el-GR"/>
        </w:rPr>
        <w:t>8</w:t>
      </w:r>
      <w:r w:rsidRPr="0018667B">
        <w:rPr>
          <w:rFonts w:ascii="Verdana" w:hAnsi="Verdana" w:cs="Arial"/>
          <w:sz w:val="18"/>
          <w:szCs w:val="18"/>
          <w:lang w:val="el-GR"/>
        </w:rPr>
        <w:t>,</w:t>
      </w:r>
      <w:r w:rsidR="00984747">
        <w:rPr>
          <w:rFonts w:ascii="Verdana" w:hAnsi="Verdana" w:cs="Arial"/>
          <w:sz w:val="18"/>
          <w:szCs w:val="18"/>
          <w:lang w:val="el-GR"/>
        </w:rPr>
        <w:t>9</w:t>
      </w:r>
      <w:r w:rsidRPr="0018667B">
        <w:rPr>
          <w:rFonts w:ascii="Verdana" w:hAnsi="Verdana" w:cs="Arial"/>
          <w:sz w:val="18"/>
          <w:szCs w:val="18"/>
          <w:lang w:val="el-GR"/>
        </w:rPr>
        <w:t>%), με επόμενη πιο σημαντική χρήση τους την ενδιάμεση ανάλωση (4</w:t>
      </w:r>
      <w:r w:rsidR="00984747">
        <w:rPr>
          <w:rFonts w:ascii="Verdana" w:hAnsi="Verdana" w:cs="Arial"/>
          <w:sz w:val="18"/>
          <w:szCs w:val="18"/>
          <w:lang w:val="el-GR"/>
        </w:rPr>
        <w:t>4</w:t>
      </w:r>
      <w:r w:rsidRPr="0018667B">
        <w:rPr>
          <w:rFonts w:ascii="Verdana" w:hAnsi="Verdana" w:cs="Arial"/>
          <w:sz w:val="18"/>
          <w:szCs w:val="18"/>
          <w:lang w:val="el-GR"/>
        </w:rPr>
        <w:t>,</w:t>
      </w:r>
      <w:r w:rsidR="002A2778" w:rsidRPr="00CB3A66">
        <w:rPr>
          <w:rFonts w:ascii="Verdana" w:hAnsi="Verdana" w:cs="Arial"/>
          <w:sz w:val="18"/>
          <w:szCs w:val="18"/>
          <w:lang w:val="el-GR"/>
        </w:rPr>
        <w:t>2</w:t>
      </w:r>
      <w:r w:rsidRPr="0018667B">
        <w:rPr>
          <w:rFonts w:ascii="Verdana" w:hAnsi="Verdana" w:cs="Arial"/>
          <w:sz w:val="18"/>
          <w:szCs w:val="18"/>
          <w:lang w:val="el-GR"/>
        </w:rPr>
        <w:t>%).</w:t>
      </w:r>
    </w:p>
    <w:p w14:paraId="450BA3FF" w14:textId="6A9F5230" w:rsidR="001712CF" w:rsidRDefault="001712CF" w:rsidP="000E4CB0">
      <w:pPr>
        <w:jc w:val="both"/>
        <w:rPr>
          <w:rFonts w:ascii="Verdana" w:hAnsi="Verdana" w:cs="Arial"/>
          <w:sz w:val="18"/>
          <w:szCs w:val="18"/>
          <w:lang w:val="el-GR"/>
        </w:rPr>
      </w:pPr>
    </w:p>
    <w:p w14:paraId="7D20F27F" w14:textId="13803F38" w:rsidR="001712CF" w:rsidRDefault="00C73C3B" w:rsidP="003F54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76F3784E" wp14:editId="007E9755">
            <wp:extent cx="6169660" cy="2847340"/>
            <wp:effectExtent l="0" t="0" r="2540" b="0"/>
            <wp:docPr id="16628030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660" cy="2847340"/>
                    </a:xfrm>
                    <a:prstGeom prst="rect">
                      <a:avLst/>
                    </a:prstGeom>
                    <a:noFill/>
                  </pic:spPr>
                </pic:pic>
              </a:graphicData>
            </a:graphic>
          </wp:inline>
        </w:drawing>
      </w:r>
    </w:p>
    <w:p w14:paraId="4FAE62BD" w14:textId="77777777" w:rsidR="009A4E94" w:rsidRDefault="009A4E94" w:rsidP="009A4E94">
      <w:pPr>
        <w:jc w:val="both"/>
        <w:rPr>
          <w:rFonts w:ascii="Verdana" w:hAnsi="Verdana" w:cs="Arial"/>
          <w:sz w:val="18"/>
          <w:szCs w:val="18"/>
          <w:lang w:val="el-GR"/>
        </w:rPr>
      </w:pPr>
    </w:p>
    <w:p w14:paraId="0D7CA5DE" w14:textId="05B8A53B" w:rsidR="009A4E94" w:rsidRDefault="009A4E94" w:rsidP="009A4E94">
      <w:pPr>
        <w:jc w:val="both"/>
        <w:rPr>
          <w:rFonts w:ascii="Verdana" w:hAnsi="Verdana" w:cs="Arial"/>
          <w:sz w:val="18"/>
          <w:szCs w:val="18"/>
          <w:lang w:val="el-GR"/>
        </w:rPr>
      </w:pPr>
      <w:r w:rsidRPr="0018667B">
        <w:rPr>
          <w:rFonts w:ascii="Verdana" w:hAnsi="Verdana" w:cs="Arial"/>
          <w:sz w:val="18"/>
          <w:szCs w:val="18"/>
          <w:lang w:val="el-GR"/>
        </w:rPr>
        <w:t>Η Ακαθάριστη Προστιθέμενη Αξία (ΑΠΑ) σε βασικές τιμές υπολογίζεται αφαιρώντας την ενδιάμεση ανάλωση σε τιμές αγοραστή από την εγχώρια παραγωγή σε βασικές τιμές. Για να υπολογιστεί το Ακαθάριστο Εγχώριο Προϊόν (ΑΕΠ) σε τιμές αγοράς, οι φόροι μείον επιδοτήσεις επί των προϊόντων προστίθενται στην ΑΠΑ σε βασικές τιμές.</w:t>
      </w:r>
    </w:p>
    <w:p w14:paraId="17A78C9F" w14:textId="77777777" w:rsidR="009A4E94" w:rsidRDefault="009A4E94" w:rsidP="009A4E94">
      <w:pPr>
        <w:jc w:val="both"/>
        <w:rPr>
          <w:rFonts w:ascii="Verdana" w:hAnsi="Verdana" w:cs="Arial"/>
          <w:sz w:val="18"/>
          <w:szCs w:val="18"/>
          <w:lang w:val="el-GR"/>
        </w:rPr>
      </w:pPr>
    </w:p>
    <w:tbl>
      <w:tblPr>
        <w:tblW w:w="9634" w:type="dxa"/>
        <w:jc w:val="center"/>
        <w:tblLayout w:type="fixed"/>
        <w:tblLook w:val="04A0" w:firstRow="1" w:lastRow="0" w:firstColumn="1" w:lastColumn="0" w:noHBand="0" w:noVBand="1"/>
      </w:tblPr>
      <w:tblGrid>
        <w:gridCol w:w="1409"/>
        <w:gridCol w:w="424"/>
        <w:gridCol w:w="1413"/>
        <w:gridCol w:w="566"/>
        <w:gridCol w:w="1639"/>
        <w:gridCol w:w="509"/>
        <w:gridCol w:w="1695"/>
        <w:gridCol w:w="566"/>
        <w:gridCol w:w="1413"/>
      </w:tblGrid>
      <w:tr w:rsidR="00B974D8" w:rsidRPr="00B974D8" w14:paraId="3E7313D8" w14:textId="77777777" w:rsidTr="00C661CE">
        <w:trPr>
          <w:trHeight w:val="964"/>
          <w:jc w:val="center"/>
        </w:trPr>
        <w:tc>
          <w:tcPr>
            <w:tcW w:w="1413" w:type="dxa"/>
            <w:tcBorders>
              <w:top w:val="single" w:sz="4" w:space="0" w:color="2F5496" w:themeColor="accent1" w:themeShade="BF"/>
              <w:bottom w:val="single" w:sz="4" w:space="0" w:color="2F5496" w:themeColor="accent1" w:themeShade="BF"/>
              <w:right w:val="nil"/>
            </w:tcBorders>
            <w:shd w:val="clear" w:color="auto" w:fill="auto"/>
            <w:vAlign w:val="center"/>
            <w:hideMark/>
          </w:tcPr>
          <w:p w14:paraId="06CC50FC"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bookmarkStart w:id="2" w:name="_Hlk95819503"/>
            <w:r w:rsidRPr="00B974D8">
              <w:rPr>
                <w:rFonts w:ascii="Verdana" w:eastAsia="Times New Roman" w:hAnsi="Verdana" w:cs="Calibri"/>
                <w:b/>
                <w:bCs/>
                <w:color w:val="2F5496" w:themeColor="accent1" w:themeShade="BF"/>
                <w:sz w:val="18"/>
                <w:szCs w:val="18"/>
                <w:lang w:val="el-GR"/>
              </w:rPr>
              <w:t>Εγχώρια Παραγωγή</w:t>
            </w:r>
          </w:p>
        </w:tc>
        <w:tc>
          <w:tcPr>
            <w:tcW w:w="425"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674B8572"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p>
        </w:tc>
        <w:tc>
          <w:tcPr>
            <w:tcW w:w="1418" w:type="dxa"/>
            <w:tcBorders>
              <w:top w:val="single" w:sz="4" w:space="0" w:color="2F5496" w:themeColor="accent1" w:themeShade="BF"/>
              <w:left w:val="nil"/>
              <w:bottom w:val="single" w:sz="4" w:space="0" w:color="2F5496" w:themeColor="accent1" w:themeShade="BF"/>
              <w:right w:val="nil"/>
            </w:tcBorders>
            <w:shd w:val="clear" w:color="auto" w:fill="auto"/>
            <w:vAlign w:val="center"/>
            <w:hideMark/>
          </w:tcPr>
          <w:p w14:paraId="574B6591"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Ενδιάμεση Ανάλωση</w:t>
            </w:r>
          </w:p>
        </w:tc>
        <w:tc>
          <w:tcPr>
            <w:tcW w:w="567"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02844EE3"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p>
        </w:tc>
        <w:tc>
          <w:tcPr>
            <w:tcW w:w="1644" w:type="dxa"/>
            <w:tcBorders>
              <w:top w:val="single" w:sz="4" w:space="0" w:color="2F5496" w:themeColor="accent1" w:themeShade="BF"/>
              <w:left w:val="nil"/>
              <w:bottom w:val="single" w:sz="4" w:space="0" w:color="2F5496" w:themeColor="accent1" w:themeShade="BF"/>
              <w:right w:val="nil"/>
            </w:tcBorders>
            <w:shd w:val="clear" w:color="auto" w:fill="auto"/>
            <w:vAlign w:val="center"/>
            <w:hideMark/>
          </w:tcPr>
          <w:p w14:paraId="28D2FA76"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Ακαθάριστη Προστιθέμενη Αξία</w:t>
            </w:r>
          </w:p>
        </w:tc>
        <w:tc>
          <w:tcPr>
            <w:tcW w:w="510"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40DF49DA"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p>
        </w:tc>
        <w:tc>
          <w:tcPr>
            <w:tcW w:w="1701" w:type="dxa"/>
            <w:tcBorders>
              <w:top w:val="single" w:sz="4" w:space="0" w:color="2F5496" w:themeColor="accent1" w:themeShade="BF"/>
              <w:left w:val="nil"/>
              <w:bottom w:val="single" w:sz="4" w:space="0" w:color="2F5496" w:themeColor="accent1" w:themeShade="BF"/>
              <w:right w:val="nil"/>
            </w:tcBorders>
            <w:shd w:val="clear" w:color="auto" w:fill="auto"/>
            <w:vAlign w:val="center"/>
            <w:hideMark/>
          </w:tcPr>
          <w:p w14:paraId="5120F787"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Φόροι μείον Επιδοτήσεις επί των Προϊόντων</w:t>
            </w:r>
          </w:p>
        </w:tc>
        <w:tc>
          <w:tcPr>
            <w:tcW w:w="567"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78C4CCE2"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p>
        </w:tc>
        <w:tc>
          <w:tcPr>
            <w:tcW w:w="1418" w:type="dxa"/>
            <w:tcBorders>
              <w:top w:val="single" w:sz="4" w:space="0" w:color="2F5496" w:themeColor="accent1" w:themeShade="BF"/>
              <w:left w:val="nil"/>
              <w:bottom w:val="single" w:sz="4" w:space="0" w:color="2F5496" w:themeColor="accent1" w:themeShade="BF"/>
            </w:tcBorders>
            <w:shd w:val="clear" w:color="auto" w:fill="auto"/>
            <w:vAlign w:val="center"/>
            <w:hideMark/>
          </w:tcPr>
          <w:p w14:paraId="30F4E7F3" w14:textId="77777777" w:rsidR="009A4E94" w:rsidRPr="00B974D8" w:rsidRDefault="009A4E94" w:rsidP="009C3FD7">
            <w:pPr>
              <w:tabs>
                <w:tab w:val="left" w:pos="720"/>
              </w:tabs>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Ακαθάριστο Εγχώριο Προϊόν</w:t>
            </w:r>
          </w:p>
        </w:tc>
      </w:tr>
      <w:tr w:rsidR="00B974D8" w:rsidRPr="00B974D8" w14:paraId="01B4DA1D" w14:textId="77777777" w:rsidTr="00C661CE">
        <w:trPr>
          <w:trHeight w:val="645"/>
          <w:jc w:val="center"/>
        </w:trPr>
        <w:tc>
          <w:tcPr>
            <w:tcW w:w="1413" w:type="dxa"/>
            <w:tcBorders>
              <w:top w:val="single" w:sz="4" w:space="0" w:color="2F5496" w:themeColor="accent1" w:themeShade="BF"/>
              <w:bottom w:val="single" w:sz="4" w:space="0" w:color="2F5496" w:themeColor="accent1" w:themeShade="BF"/>
              <w:right w:val="nil"/>
            </w:tcBorders>
            <w:shd w:val="clear" w:color="auto" w:fill="auto"/>
            <w:noWrap/>
            <w:vAlign w:val="center"/>
            <w:hideMark/>
          </w:tcPr>
          <w:p w14:paraId="5FCD12A5" w14:textId="351A9F63" w:rsidR="009A4E94" w:rsidRPr="00B974D8" w:rsidRDefault="00F2132D" w:rsidP="009C3FD7">
            <w:pPr>
              <w:jc w:val="center"/>
              <w:rPr>
                <w:rFonts w:ascii="Verdana" w:eastAsia="Times New Roman" w:hAnsi="Verdana" w:cs="Calibri"/>
                <w:b/>
                <w:bCs/>
                <w:color w:val="2F5496" w:themeColor="accent1" w:themeShade="BF"/>
                <w:sz w:val="18"/>
                <w:szCs w:val="18"/>
                <w:lang w:val="el-GR"/>
              </w:rPr>
            </w:pPr>
            <w:r w:rsidRPr="00F2132D">
              <w:rPr>
                <w:rFonts w:ascii="Verdana" w:eastAsia="Times New Roman" w:hAnsi="Verdana" w:cs="Calibri"/>
                <w:b/>
                <w:bCs/>
                <w:color w:val="2F5496" w:themeColor="accent1" w:themeShade="BF"/>
                <w:sz w:val="18"/>
                <w:szCs w:val="18"/>
                <w:lang w:val="el-GR"/>
              </w:rPr>
              <w:t>53.391,0</w:t>
            </w:r>
          </w:p>
        </w:tc>
        <w:tc>
          <w:tcPr>
            <w:tcW w:w="425"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5951213A"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w:t>
            </w:r>
          </w:p>
        </w:tc>
        <w:tc>
          <w:tcPr>
            <w:tcW w:w="1418"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18748D62" w14:textId="395F2442" w:rsidR="009A4E94" w:rsidRPr="00B974D8" w:rsidRDefault="00F2132D" w:rsidP="009C3FD7">
            <w:pPr>
              <w:jc w:val="center"/>
              <w:rPr>
                <w:rFonts w:ascii="Verdana" w:eastAsia="Times New Roman" w:hAnsi="Verdana" w:cs="Calibri"/>
                <w:b/>
                <w:bCs/>
                <w:color w:val="2F5496" w:themeColor="accent1" w:themeShade="BF"/>
                <w:sz w:val="18"/>
                <w:szCs w:val="18"/>
                <w:lang w:val="el-GR"/>
              </w:rPr>
            </w:pPr>
            <w:r w:rsidRPr="00F2132D">
              <w:rPr>
                <w:rFonts w:ascii="Verdana" w:eastAsia="Times New Roman" w:hAnsi="Verdana" w:cs="Calibri"/>
                <w:b/>
                <w:bCs/>
                <w:color w:val="2F5496" w:themeColor="accent1" w:themeShade="BF"/>
                <w:sz w:val="18"/>
                <w:szCs w:val="18"/>
                <w:lang w:val="el-GR"/>
              </w:rPr>
              <w:t>30.594,2</w:t>
            </w:r>
          </w:p>
        </w:tc>
        <w:tc>
          <w:tcPr>
            <w:tcW w:w="567"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4A609DE0"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w:t>
            </w:r>
          </w:p>
        </w:tc>
        <w:tc>
          <w:tcPr>
            <w:tcW w:w="1644"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779579D5" w14:textId="76F8C352" w:rsidR="009A4E94" w:rsidRPr="00B974D8" w:rsidRDefault="00F2132D" w:rsidP="009C3FD7">
            <w:pPr>
              <w:jc w:val="center"/>
              <w:rPr>
                <w:rFonts w:ascii="Verdana" w:eastAsia="Times New Roman" w:hAnsi="Verdana" w:cs="Calibri"/>
                <w:b/>
                <w:bCs/>
                <w:color w:val="2F5496" w:themeColor="accent1" w:themeShade="BF"/>
                <w:sz w:val="18"/>
                <w:szCs w:val="18"/>
                <w:lang w:val="el-GR"/>
              </w:rPr>
            </w:pPr>
            <w:r w:rsidRPr="00F2132D">
              <w:rPr>
                <w:rFonts w:ascii="Verdana" w:eastAsia="Times New Roman" w:hAnsi="Verdana" w:cs="Calibri"/>
                <w:b/>
                <w:bCs/>
                <w:color w:val="2F5496" w:themeColor="accent1" w:themeShade="BF"/>
                <w:sz w:val="18"/>
                <w:szCs w:val="18"/>
                <w:lang w:val="el-GR"/>
              </w:rPr>
              <w:t>22.796,9</w:t>
            </w:r>
          </w:p>
        </w:tc>
        <w:tc>
          <w:tcPr>
            <w:tcW w:w="510"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3C6FC9F4"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w:t>
            </w:r>
          </w:p>
        </w:tc>
        <w:tc>
          <w:tcPr>
            <w:tcW w:w="1701"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27A36CEF" w14:textId="77EF4C75" w:rsidR="009A4E94" w:rsidRPr="00B974D8" w:rsidRDefault="00F2132D" w:rsidP="009C3FD7">
            <w:pPr>
              <w:jc w:val="center"/>
              <w:rPr>
                <w:rFonts w:ascii="Verdana" w:eastAsia="Times New Roman" w:hAnsi="Verdana" w:cs="Calibri"/>
                <w:b/>
                <w:bCs/>
                <w:color w:val="2F5496" w:themeColor="accent1" w:themeShade="BF"/>
                <w:sz w:val="18"/>
                <w:szCs w:val="18"/>
                <w:lang w:val="el-GR"/>
              </w:rPr>
            </w:pPr>
            <w:r w:rsidRPr="00F2132D">
              <w:rPr>
                <w:rFonts w:ascii="Verdana" w:eastAsia="Times New Roman" w:hAnsi="Verdana" w:cs="Calibri"/>
                <w:b/>
                <w:bCs/>
                <w:color w:val="2F5496" w:themeColor="accent1" w:themeShade="BF"/>
                <w:sz w:val="18"/>
                <w:szCs w:val="18"/>
                <w:lang w:val="el-GR"/>
              </w:rPr>
              <w:t>2.883,2</w:t>
            </w:r>
          </w:p>
        </w:tc>
        <w:tc>
          <w:tcPr>
            <w:tcW w:w="567" w:type="dxa"/>
            <w:tcBorders>
              <w:top w:val="single" w:sz="4" w:space="0" w:color="2F5496" w:themeColor="accent1" w:themeShade="BF"/>
              <w:left w:val="nil"/>
              <w:bottom w:val="single" w:sz="4" w:space="0" w:color="2F5496" w:themeColor="accent1" w:themeShade="BF"/>
              <w:right w:val="nil"/>
            </w:tcBorders>
            <w:shd w:val="clear" w:color="auto" w:fill="auto"/>
            <w:noWrap/>
            <w:vAlign w:val="center"/>
            <w:hideMark/>
          </w:tcPr>
          <w:p w14:paraId="4396D7C1" w14:textId="77777777" w:rsidR="009A4E94" w:rsidRPr="00B974D8" w:rsidRDefault="009A4E94" w:rsidP="009C3FD7">
            <w:pPr>
              <w:jc w:val="center"/>
              <w:rPr>
                <w:rFonts w:ascii="Verdana" w:eastAsia="Times New Roman" w:hAnsi="Verdana" w:cs="Calibri"/>
                <w:b/>
                <w:bCs/>
                <w:color w:val="2F5496" w:themeColor="accent1" w:themeShade="BF"/>
                <w:sz w:val="18"/>
                <w:szCs w:val="18"/>
                <w:lang w:val="el-GR"/>
              </w:rPr>
            </w:pPr>
            <w:r w:rsidRPr="00B974D8">
              <w:rPr>
                <w:rFonts w:ascii="Verdana" w:eastAsia="Times New Roman" w:hAnsi="Verdana" w:cs="Calibri"/>
                <w:b/>
                <w:bCs/>
                <w:color w:val="2F5496" w:themeColor="accent1" w:themeShade="BF"/>
                <w:sz w:val="18"/>
                <w:szCs w:val="18"/>
                <w:lang w:val="el-GR"/>
              </w:rPr>
              <w:t>=</w:t>
            </w:r>
          </w:p>
        </w:tc>
        <w:tc>
          <w:tcPr>
            <w:tcW w:w="1418" w:type="dxa"/>
            <w:tcBorders>
              <w:top w:val="single" w:sz="4" w:space="0" w:color="2F5496" w:themeColor="accent1" w:themeShade="BF"/>
              <w:left w:val="nil"/>
              <w:bottom w:val="single" w:sz="4" w:space="0" w:color="2F5496" w:themeColor="accent1" w:themeShade="BF"/>
            </w:tcBorders>
            <w:shd w:val="clear" w:color="auto" w:fill="auto"/>
            <w:noWrap/>
            <w:vAlign w:val="center"/>
            <w:hideMark/>
          </w:tcPr>
          <w:p w14:paraId="0CDFD32B" w14:textId="1A674613" w:rsidR="009A4E94" w:rsidRPr="00B974D8" w:rsidRDefault="00F2132D" w:rsidP="009C3FD7">
            <w:pPr>
              <w:jc w:val="center"/>
              <w:rPr>
                <w:rFonts w:ascii="Verdana" w:eastAsia="Times New Roman" w:hAnsi="Verdana" w:cs="Calibri"/>
                <w:b/>
                <w:bCs/>
                <w:color w:val="2F5496" w:themeColor="accent1" w:themeShade="BF"/>
                <w:sz w:val="18"/>
                <w:szCs w:val="18"/>
                <w:lang w:val="el-GR"/>
              </w:rPr>
            </w:pPr>
            <w:r w:rsidRPr="00F2132D">
              <w:rPr>
                <w:rFonts w:ascii="Verdana" w:eastAsia="Times New Roman" w:hAnsi="Verdana" w:cs="Calibri"/>
                <w:b/>
                <w:bCs/>
                <w:color w:val="2F5496" w:themeColor="accent1" w:themeShade="BF"/>
                <w:sz w:val="18"/>
                <w:szCs w:val="18"/>
                <w:lang w:val="el-GR"/>
              </w:rPr>
              <w:t>25.680,1</w:t>
            </w:r>
          </w:p>
        </w:tc>
      </w:tr>
      <w:bookmarkEnd w:id="2"/>
    </w:tbl>
    <w:p w14:paraId="6125EB9A" w14:textId="5A1E4371" w:rsidR="009A4E94" w:rsidRDefault="009A4E94" w:rsidP="00682A35">
      <w:pPr>
        <w:jc w:val="center"/>
        <w:rPr>
          <w:rFonts w:ascii="Verdana" w:hAnsi="Verdana" w:cs="Arial"/>
          <w:sz w:val="18"/>
          <w:szCs w:val="18"/>
          <w:lang w:val="el-GR"/>
        </w:rPr>
      </w:pPr>
    </w:p>
    <w:p w14:paraId="560E334C" w14:textId="79D2BE00" w:rsidR="00A736E6" w:rsidRPr="009C3FD7" w:rsidRDefault="00A736E6" w:rsidP="009C3FD7">
      <w:pPr>
        <w:jc w:val="center"/>
        <w:rPr>
          <w:rFonts w:ascii="Verdana" w:eastAsia="Times New Roman" w:hAnsi="Verdana" w:cs="Calibri"/>
          <w:b/>
          <w:bCs/>
          <w:color w:val="1F4E78"/>
          <w:sz w:val="16"/>
          <w:szCs w:val="16"/>
          <w:lang w:val="el-GR"/>
        </w:rPr>
      </w:pPr>
    </w:p>
    <w:p w14:paraId="24D00C93" w14:textId="5C7F1F91" w:rsidR="00A736E6" w:rsidRDefault="00A736E6" w:rsidP="009A4E94">
      <w:pPr>
        <w:jc w:val="both"/>
        <w:rPr>
          <w:rFonts w:ascii="Verdana" w:hAnsi="Verdana" w:cs="Arial"/>
          <w:sz w:val="18"/>
          <w:szCs w:val="18"/>
          <w:lang w:val="el-GR"/>
        </w:rPr>
      </w:pPr>
    </w:p>
    <w:p w14:paraId="13EAF869" w14:textId="38489BDA" w:rsidR="00A736E6" w:rsidRDefault="00A736E6" w:rsidP="009A4E94">
      <w:pPr>
        <w:jc w:val="both"/>
        <w:rPr>
          <w:rFonts w:ascii="Verdana" w:hAnsi="Verdana" w:cs="Arial"/>
          <w:sz w:val="18"/>
          <w:szCs w:val="18"/>
          <w:lang w:val="el-GR"/>
        </w:rPr>
      </w:pPr>
    </w:p>
    <w:p w14:paraId="548FCD84" w14:textId="2BCC1A32" w:rsidR="00A736E6" w:rsidRDefault="00A736E6" w:rsidP="009A4E94">
      <w:pPr>
        <w:jc w:val="both"/>
        <w:rPr>
          <w:rFonts w:ascii="Verdana" w:hAnsi="Verdana" w:cs="Arial"/>
          <w:sz w:val="18"/>
          <w:szCs w:val="18"/>
          <w:lang w:val="el-GR"/>
        </w:rPr>
      </w:pPr>
    </w:p>
    <w:p w14:paraId="5015B074" w14:textId="6B1F2622" w:rsidR="00A736E6" w:rsidRDefault="00A736E6" w:rsidP="009A4E94">
      <w:pPr>
        <w:jc w:val="both"/>
        <w:rPr>
          <w:rFonts w:ascii="Verdana" w:hAnsi="Verdana" w:cs="Arial"/>
          <w:sz w:val="18"/>
          <w:szCs w:val="18"/>
          <w:lang w:val="el-GR"/>
        </w:rPr>
      </w:pPr>
    </w:p>
    <w:p w14:paraId="2506D7F2" w14:textId="1297207B" w:rsidR="00A736E6" w:rsidRDefault="00A736E6" w:rsidP="009A4E94">
      <w:pPr>
        <w:jc w:val="both"/>
        <w:rPr>
          <w:rFonts w:ascii="Verdana" w:hAnsi="Verdana" w:cs="Arial"/>
          <w:sz w:val="18"/>
          <w:szCs w:val="18"/>
          <w:lang w:val="el-GR"/>
        </w:rPr>
      </w:pPr>
    </w:p>
    <w:p w14:paraId="4AC5BFB0" w14:textId="1F5794D6" w:rsidR="00A736E6" w:rsidRDefault="00A736E6" w:rsidP="009A4E94">
      <w:pPr>
        <w:jc w:val="both"/>
        <w:rPr>
          <w:rFonts w:ascii="Verdana" w:hAnsi="Verdana" w:cs="Arial"/>
          <w:sz w:val="18"/>
          <w:szCs w:val="18"/>
          <w:lang w:val="el-GR"/>
        </w:rPr>
      </w:pPr>
    </w:p>
    <w:p w14:paraId="7DF59DAB" w14:textId="52AEB7B5" w:rsidR="00A736E6" w:rsidRDefault="00A736E6" w:rsidP="009A4E94">
      <w:pPr>
        <w:jc w:val="both"/>
        <w:rPr>
          <w:rFonts w:ascii="Verdana" w:hAnsi="Verdana" w:cs="Arial"/>
          <w:sz w:val="18"/>
          <w:szCs w:val="18"/>
          <w:lang w:val="el-GR"/>
        </w:rPr>
      </w:pPr>
    </w:p>
    <w:p w14:paraId="13CA8E12" w14:textId="5CB910EB" w:rsidR="00A736E6" w:rsidRDefault="00A736E6" w:rsidP="009A4E94">
      <w:pPr>
        <w:jc w:val="both"/>
        <w:rPr>
          <w:rFonts w:ascii="Verdana" w:hAnsi="Verdana" w:cs="Arial"/>
          <w:sz w:val="18"/>
          <w:szCs w:val="18"/>
          <w:lang w:val="el-GR"/>
        </w:rPr>
      </w:pPr>
    </w:p>
    <w:p w14:paraId="42CAF30B" w14:textId="7EDAC782" w:rsidR="00A736E6" w:rsidRDefault="00A736E6" w:rsidP="009A4E94">
      <w:pPr>
        <w:jc w:val="both"/>
        <w:rPr>
          <w:rFonts w:ascii="Verdana" w:hAnsi="Verdana" w:cs="Arial"/>
          <w:sz w:val="18"/>
          <w:szCs w:val="18"/>
          <w:lang w:val="el-GR"/>
        </w:rPr>
      </w:pPr>
    </w:p>
    <w:p w14:paraId="2A24B040" w14:textId="5C8A61FD" w:rsidR="00A736E6" w:rsidRDefault="00A736E6" w:rsidP="009A4E94">
      <w:pPr>
        <w:jc w:val="both"/>
        <w:rPr>
          <w:rFonts w:ascii="Verdana" w:hAnsi="Verdana" w:cs="Arial"/>
          <w:sz w:val="18"/>
          <w:szCs w:val="18"/>
          <w:lang w:val="el-GR"/>
        </w:rPr>
      </w:pPr>
    </w:p>
    <w:p w14:paraId="43DDFF7A" w14:textId="369EB99F" w:rsidR="00A736E6" w:rsidRDefault="00A736E6" w:rsidP="009A4E94">
      <w:pPr>
        <w:jc w:val="both"/>
        <w:rPr>
          <w:rFonts w:ascii="Verdana" w:hAnsi="Verdana" w:cs="Arial"/>
          <w:sz w:val="18"/>
          <w:szCs w:val="18"/>
          <w:lang w:val="el-GR"/>
        </w:rPr>
      </w:pPr>
    </w:p>
    <w:p w14:paraId="0243DB7D" w14:textId="0047EBE8" w:rsidR="00A736E6" w:rsidRDefault="00A736E6" w:rsidP="009A4E94">
      <w:pPr>
        <w:jc w:val="both"/>
        <w:rPr>
          <w:rFonts w:ascii="Verdana" w:hAnsi="Verdana" w:cs="Arial"/>
          <w:sz w:val="18"/>
          <w:szCs w:val="18"/>
          <w:lang w:val="el-GR"/>
        </w:rPr>
      </w:pPr>
    </w:p>
    <w:p w14:paraId="6231DE2D" w14:textId="2E254C58" w:rsidR="00A736E6" w:rsidRDefault="00A736E6" w:rsidP="009A4E94">
      <w:pPr>
        <w:jc w:val="both"/>
        <w:rPr>
          <w:rFonts w:ascii="Verdana" w:hAnsi="Verdana" w:cs="Arial"/>
          <w:sz w:val="18"/>
          <w:szCs w:val="18"/>
          <w:lang w:val="el-GR"/>
        </w:rPr>
      </w:pPr>
    </w:p>
    <w:p w14:paraId="67EE9A0B" w14:textId="47987C2D" w:rsidR="00A736E6" w:rsidRDefault="00A736E6" w:rsidP="009A4E94">
      <w:pPr>
        <w:jc w:val="both"/>
        <w:rPr>
          <w:rFonts w:ascii="Verdana" w:hAnsi="Verdana" w:cs="Arial"/>
          <w:sz w:val="18"/>
          <w:szCs w:val="18"/>
          <w:lang w:val="el-GR"/>
        </w:rPr>
      </w:pPr>
    </w:p>
    <w:p w14:paraId="3FE09E91" w14:textId="273000D0" w:rsidR="00A736E6" w:rsidRDefault="00A736E6" w:rsidP="009A4E94">
      <w:pPr>
        <w:jc w:val="both"/>
        <w:rPr>
          <w:rFonts w:ascii="Verdana" w:hAnsi="Verdana" w:cs="Arial"/>
          <w:sz w:val="18"/>
          <w:szCs w:val="18"/>
          <w:lang w:val="el-GR"/>
        </w:rPr>
      </w:pPr>
    </w:p>
    <w:p w14:paraId="779BE0C2" w14:textId="320A7155" w:rsidR="00A736E6" w:rsidRDefault="00A736E6" w:rsidP="009A4E94">
      <w:pPr>
        <w:jc w:val="both"/>
        <w:rPr>
          <w:rFonts w:ascii="Verdana" w:hAnsi="Verdana" w:cs="Arial"/>
          <w:sz w:val="18"/>
          <w:szCs w:val="18"/>
          <w:lang w:val="el-GR"/>
        </w:rPr>
      </w:pPr>
    </w:p>
    <w:p w14:paraId="55AA9149" w14:textId="0B947B55" w:rsidR="00A736E6" w:rsidRDefault="00A736E6" w:rsidP="009A4E94">
      <w:pPr>
        <w:jc w:val="both"/>
        <w:rPr>
          <w:rFonts w:ascii="Verdana" w:hAnsi="Verdana" w:cs="Arial"/>
          <w:sz w:val="18"/>
          <w:szCs w:val="18"/>
          <w:lang w:val="el-GR"/>
        </w:rPr>
      </w:pPr>
    </w:p>
    <w:p w14:paraId="5A4C2F3D" w14:textId="37BD1C50" w:rsidR="00A736E6" w:rsidRDefault="00A736E6" w:rsidP="009A4E94">
      <w:pPr>
        <w:jc w:val="both"/>
        <w:rPr>
          <w:rFonts w:ascii="Verdana" w:hAnsi="Verdana" w:cs="Arial"/>
          <w:sz w:val="18"/>
          <w:szCs w:val="18"/>
          <w:lang w:val="el-GR"/>
        </w:rPr>
      </w:pPr>
    </w:p>
    <w:p w14:paraId="6CF40B24" w14:textId="695C5B5D" w:rsidR="00A736E6" w:rsidRDefault="00A736E6" w:rsidP="009A4E94">
      <w:pPr>
        <w:jc w:val="both"/>
        <w:rPr>
          <w:rFonts w:ascii="Verdana" w:hAnsi="Verdana" w:cs="Arial"/>
          <w:sz w:val="18"/>
          <w:szCs w:val="18"/>
          <w:lang w:val="el-GR"/>
        </w:rPr>
      </w:pPr>
    </w:p>
    <w:p w14:paraId="1729DF38" w14:textId="3C65386B" w:rsidR="00A736E6" w:rsidRDefault="00A736E6" w:rsidP="009A4E94">
      <w:pPr>
        <w:jc w:val="both"/>
        <w:rPr>
          <w:rFonts w:ascii="Verdana" w:hAnsi="Verdana" w:cs="Arial"/>
          <w:sz w:val="18"/>
          <w:szCs w:val="18"/>
          <w:lang w:val="el-GR"/>
        </w:rPr>
      </w:pPr>
    </w:p>
    <w:p w14:paraId="05DB6E9C" w14:textId="77777777" w:rsidR="00A736E6" w:rsidRDefault="00A736E6" w:rsidP="00A736E6">
      <w:pPr>
        <w:tabs>
          <w:tab w:val="left" w:pos="1080"/>
          <w:tab w:val="left" w:pos="6840"/>
        </w:tabs>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4E2EFA43" w14:textId="77777777" w:rsidR="00A736E6" w:rsidRDefault="00A736E6" w:rsidP="00A736E6">
      <w:pPr>
        <w:rPr>
          <w:rFonts w:ascii="Verdana" w:hAnsi="Verdana"/>
          <w:b/>
          <w:i/>
          <w:sz w:val="18"/>
          <w:szCs w:val="18"/>
          <w:lang w:val="el-GR"/>
        </w:rPr>
      </w:pPr>
    </w:p>
    <w:p w14:paraId="7B43C0E4" w14:textId="77777777" w:rsidR="00A736E6" w:rsidRDefault="00A736E6" w:rsidP="00A736E6">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Γενικές Πληροφορίες</w:t>
      </w:r>
    </w:p>
    <w:p w14:paraId="714BE1E3" w14:textId="77777777" w:rsidR="00A736E6" w:rsidRPr="001D7C7D" w:rsidRDefault="00A736E6" w:rsidP="00A736E6">
      <w:pPr>
        <w:jc w:val="both"/>
        <w:rPr>
          <w:rFonts w:ascii="Verdana" w:hAnsi="Verdana" w:cs="Arial"/>
          <w:sz w:val="18"/>
          <w:szCs w:val="18"/>
          <w:lang w:val="el-GR"/>
        </w:rPr>
      </w:pPr>
    </w:p>
    <w:p w14:paraId="0725B36F" w14:textId="77777777" w:rsidR="00A736E6" w:rsidRDefault="00A736E6" w:rsidP="00A736E6">
      <w:pPr>
        <w:jc w:val="both"/>
        <w:rPr>
          <w:rFonts w:ascii="Verdana" w:hAnsi="Verdana" w:cs="Arial"/>
          <w:sz w:val="18"/>
          <w:szCs w:val="18"/>
          <w:lang w:val="el-GR"/>
        </w:rPr>
      </w:pPr>
      <w:bookmarkStart w:id="3" w:name="_Hlk96508918"/>
      <w:r w:rsidRPr="001D7C7D">
        <w:rPr>
          <w:rFonts w:ascii="Verdana" w:hAnsi="Verdana" w:cs="Arial"/>
          <w:sz w:val="18"/>
          <w:szCs w:val="18"/>
          <w:lang w:val="el-GR"/>
        </w:rPr>
        <w:t>Οι Πίνακες Προσφοράς, Χρήσεων και Εισροών-Εκροών αποτελούν</w:t>
      </w:r>
      <w:r>
        <w:rPr>
          <w:rFonts w:ascii="Verdana" w:hAnsi="Verdana" w:cs="Arial"/>
          <w:sz w:val="18"/>
          <w:szCs w:val="18"/>
          <w:lang w:val="el-GR"/>
        </w:rPr>
        <w:t xml:space="preserve"> σημαντικό μέρος</w:t>
      </w:r>
      <w:r w:rsidRPr="001D7C7D">
        <w:rPr>
          <w:rFonts w:ascii="Verdana" w:hAnsi="Verdana" w:cs="Arial"/>
          <w:sz w:val="18"/>
          <w:szCs w:val="18"/>
          <w:lang w:val="el-GR"/>
        </w:rPr>
        <w:t xml:space="preserve"> του Συστήματος Εθνικών Λογαριασμών, καθώς παρέχουν λεπτομερείς πληροφορίες για την ανάλυση των συναλλαγών των αγαθών και υπηρεσιών από τους τομείς της οικονομίας και τους καταναλωτές.</w:t>
      </w:r>
      <w:r>
        <w:rPr>
          <w:rFonts w:ascii="Verdana" w:hAnsi="Verdana" w:cs="Arial"/>
          <w:sz w:val="18"/>
          <w:szCs w:val="18"/>
          <w:lang w:val="el-GR"/>
        </w:rPr>
        <w:t xml:space="preserve"> Π</w:t>
      </w:r>
      <w:r w:rsidRPr="001D7C7D">
        <w:rPr>
          <w:rFonts w:ascii="Verdana" w:hAnsi="Verdana" w:cs="Arial"/>
          <w:sz w:val="18"/>
          <w:szCs w:val="18"/>
          <w:lang w:val="el-GR"/>
        </w:rPr>
        <w:t xml:space="preserve">εριέχουν στοιχεία κατά προϊόν και κλάδο οικονομικής δραστηριότητας και παρουσιάζουν </w:t>
      </w:r>
      <w:r>
        <w:rPr>
          <w:rFonts w:ascii="Verdana" w:hAnsi="Verdana" w:cs="Arial"/>
          <w:sz w:val="18"/>
          <w:szCs w:val="18"/>
          <w:lang w:val="el-GR"/>
        </w:rPr>
        <w:t>την κατανομή</w:t>
      </w:r>
      <w:r w:rsidRPr="001D7C7D">
        <w:rPr>
          <w:rFonts w:ascii="Verdana" w:hAnsi="Verdana" w:cs="Arial"/>
          <w:sz w:val="18"/>
          <w:szCs w:val="18"/>
          <w:lang w:val="el-GR"/>
        </w:rPr>
        <w:t xml:space="preserve"> </w:t>
      </w:r>
      <w:r>
        <w:rPr>
          <w:rFonts w:ascii="Verdana" w:hAnsi="Verdana" w:cs="Arial"/>
          <w:sz w:val="18"/>
          <w:szCs w:val="18"/>
          <w:lang w:val="el-GR"/>
        </w:rPr>
        <w:t>τ</w:t>
      </w:r>
      <w:r w:rsidRPr="001D7C7D">
        <w:rPr>
          <w:rFonts w:ascii="Verdana" w:hAnsi="Verdana" w:cs="Arial"/>
          <w:sz w:val="18"/>
          <w:szCs w:val="18"/>
          <w:lang w:val="el-GR"/>
        </w:rPr>
        <w:t>η</w:t>
      </w:r>
      <w:r>
        <w:rPr>
          <w:rFonts w:ascii="Verdana" w:hAnsi="Verdana" w:cs="Arial"/>
          <w:sz w:val="18"/>
          <w:szCs w:val="18"/>
          <w:lang w:val="el-GR"/>
        </w:rPr>
        <w:t>ς</w:t>
      </w:r>
      <w:r w:rsidRPr="001D7C7D">
        <w:rPr>
          <w:rFonts w:ascii="Verdana" w:hAnsi="Verdana" w:cs="Arial"/>
          <w:sz w:val="18"/>
          <w:szCs w:val="18"/>
          <w:lang w:val="el-GR"/>
        </w:rPr>
        <w:t xml:space="preserve"> εγχώρια</w:t>
      </w:r>
      <w:r>
        <w:rPr>
          <w:rFonts w:ascii="Verdana" w:hAnsi="Verdana" w:cs="Arial"/>
          <w:sz w:val="18"/>
          <w:szCs w:val="18"/>
          <w:lang w:val="el-GR"/>
        </w:rPr>
        <w:t>ς</w:t>
      </w:r>
      <w:r w:rsidRPr="001D7C7D">
        <w:rPr>
          <w:rFonts w:ascii="Verdana" w:hAnsi="Verdana" w:cs="Arial"/>
          <w:sz w:val="18"/>
          <w:szCs w:val="18"/>
          <w:lang w:val="el-GR"/>
        </w:rPr>
        <w:t xml:space="preserve"> παραγωγή</w:t>
      </w:r>
      <w:r>
        <w:rPr>
          <w:rFonts w:ascii="Verdana" w:hAnsi="Verdana" w:cs="Arial"/>
          <w:sz w:val="18"/>
          <w:szCs w:val="18"/>
          <w:lang w:val="el-GR"/>
        </w:rPr>
        <w:t>ς</w:t>
      </w:r>
      <w:r w:rsidRPr="001D7C7D">
        <w:rPr>
          <w:rFonts w:ascii="Verdana" w:hAnsi="Verdana" w:cs="Arial"/>
          <w:sz w:val="18"/>
          <w:szCs w:val="18"/>
          <w:lang w:val="el-GR"/>
        </w:rPr>
        <w:t xml:space="preserve"> και </w:t>
      </w:r>
      <w:r>
        <w:rPr>
          <w:rFonts w:ascii="Verdana" w:hAnsi="Verdana" w:cs="Arial"/>
          <w:sz w:val="18"/>
          <w:szCs w:val="18"/>
          <w:lang w:val="el-GR"/>
        </w:rPr>
        <w:t>των</w:t>
      </w:r>
      <w:r w:rsidRPr="001D7C7D">
        <w:rPr>
          <w:rFonts w:ascii="Verdana" w:hAnsi="Verdana" w:cs="Arial"/>
          <w:sz w:val="18"/>
          <w:szCs w:val="18"/>
          <w:lang w:val="el-GR"/>
        </w:rPr>
        <w:t xml:space="preserve"> εισαγωγ</w:t>
      </w:r>
      <w:r>
        <w:rPr>
          <w:rFonts w:ascii="Verdana" w:hAnsi="Verdana" w:cs="Arial"/>
          <w:sz w:val="18"/>
          <w:szCs w:val="18"/>
          <w:lang w:val="el-GR"/>
        </w:rPr>
        <w:t>ών</w:t>
      </w:r>
      <w:r w:rsidRPr="001D7C7D">
        <w:rPr>
          <w:rFonts w:ascii="Verdana" w:hAnsi="Verdana" w:cs="Arial"/>
          <w:sz w:val="18"/>
          <w:szCs w:val="18"/>
          <w:lang w:val="el-GR"/>
        </w:rPr>
        <w:t xml:space="preserve"> </w:t>
      </w:r>
      <w:r>
        <w:rPr>
          <w:rFonts w:ascii="Verdana" w:hAnsi="Verdana" w:cs="Arial"/>
          <w:sz w:val="18"/>
          <w:szCs w:val="18"/>
          <w:lang w:val="el-GR"/>
        </w:rPr>
        <w:t>σε</w:t>
      </w:r>
      <w:r w:rsidRPr="001D7C7D">
        <w:rPr>
          <w:rFonts w:ascii="Verdana" w:hAnsi="Verdana" w:cs="Arial"/>
          <w:sz w:val="18"/>
          <w:szCs w:val="18"/>
          <w:lang w:val="el-GR"/>
        </w:rPr>
        <w:t xml:space="preserve"> ενδιάμεση ανάλωση και τελικές χρήσεις.</w:t>
      </w:r>
    </w:p>
    <w:p w14:paraId="4C616770" w14:textId="77777777" w:rsidR="00A736E6" w:rsidRDefault="00A736E6" w:rsidP="00A736E6">
      <w:pPr>
        <w:jc w:val="both"/>
        <w:rPr>
          <w:rFonts w:ascii="Verdana" w:hAnsi="Verdana" w:cs="Arial"/>
          <w:sz w:val="18"/>
          <w:szCs w:val="18"/>
          <w:lang w:val="el-GR"/>
        </w:rPr>
      </w:pPr>
    </w:p>
    <w:p w14:paraId="4FCA23C8" w14:textId="77777777" w:rsidR="00A736E6" w:rsidRPr="001D7C7D" w:rsidRDefault="00A736E6" w:rsidP="00A736E6">
      <w:pPr>
        <w:jc w:val="both"/>
        <w:rPr>
          <w:rFonts w:ascii="Verdana" w:hAnsi="Verdana" w:cs="Arial"/>
          <w:sz w:val="18"/>
          <w:szCs w:val="18"/>
          <w:lang w:val="el-GR"/>
        </w:rPr>
      </w:pPr>
      <w:r>
        <w:rPr>
          <w:rFonts w:ascii="Verdana" w:hAnsi="Verdana" w:cs="Arial"/>
          <w:sz w:val="18"/>
          <w:szCs w:val="18"/>
          <w:lang w:val="el-GR"/>
        </w:rPr>
        <w:t>Ο</w:t>
      </w:r>
      <w:r w:rsidRPr="0018667B">
        <w:rPr>
          <w:rFonts w:ascii="Verdana" w:hAnsi="Verdana" w:cs="Arial"/>
          <w:sz w:val="18"/>
          <w:szCs w:val="18"/>
          <w:lang w:val="el-GR"/>
        </w:rPr>
        <w:t>ι συγκεκριμένοι πίνακες δημοσιεύονται ετήσια, το αργότερο τρία χρόνια μετά το τέλος του έτους αναφοράς, σύμφωνα με τις πρόνοιες του Κανονισμού (ΕΕ) αριθ. 549/2013.</w:t>
      </w:r>
    </w:p>
    <w:bookmarkEnd w:id="3"/>
    <w:p w14:paraId="18CB7F4F" w14:textId="77777777" w:rsidR="00A736E6" w:rsidRPr="001D7C7D" w:rsidRDefault="00A736E6" w:rsidP="00A736E6">
      <w:pPr>
        <w:jc w:val="both"/>
        <w:rPr>
          <w:rFonts w:ascii="Verdana" w:hAnsi="Verdana" w:cs="Arial"/>
          <w:sz w:val="18"/>
          <w:szCs w:val="18"/>
          <w:lang w:val="el-GR"/>
        </w:rPr>
      </w:pPr>
    </w:p>
    <w:p w14:paraId="51DFB065" w14:textId="77777777" w:rsidR="00A736E6" w:rsidRDefault="00A736E6" w:rsidP="00A736E6">
      <w:pPr>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Κάλυψη και Συλλογή Στοιχείων</w:t>
      </w:r>
    </w:p>
    <w:p w14:paraId="0D7F0376" w14:textId="77777777" w:rsidR="00A736E6" w:rsidRPr="002F1CBD" w:rsidRDefault="00A736E6" w:rsidP="00A736E6">
      <w:pPr>
        <w:jc w:val="both"/>
        <w:rPr>
          <w:rFonts w:ascii="Verdana" w:hAnsi="Verdana" w:cs="Arial"/>
          <w:sz w:val="18"/>
          <w:szCs w:val="18"/>
          <w:lang w:val="el-GR"/>
        </w:rPr>
      </w:pPr>
    </w:p>
    <w:p w14:paraId="5CB48781" w14:textId="77777777" w:rsidR="00A736E6" w:rsidRDefault="00A736E6" w:rsidP="00A736E6">
      <w:pPr>
        <w:jc w:val="both"/>
        <w:rPr>
          <w:rFonts w:ascii="Verdana" w:hAnsi="Verdana" w:cs="Arial"/>
          <w:sz w:val="18"/>
          <w:szCs w:val="18"/>
          <w:lang w:val="el-GR"/>
        </w:rPr>
      </w:pPr>
      <w:r w:rsidRPr="002F1CBD">
        <w:rPr>
          <w:rFonts w:ascii="Verdana" w:hAnsi="Verdana" w:cs="Arial"/>
          <w:sz w:val="18"/>
          <w:szCs w:val="18"/>
          <w:lang w:val="el-GR"/>
        </w:rPr>
        <w:t xml:space="preserve">Οι </w:t>
      </w:r>
      <w:r>
        <w:rPr>
          <w:rFonts w:ascii="Verdana" w:hAnsi="Verdana" w:cs="Arial"/>
          <w:sz w:val="18"/>
          <w:szCs w:val="18"/>
          <w:lang w:val="el-GR"/>
        </w:rPr>
        <w:t>πίνακες</w:t>
      </w:r>
      <w:r w:rsidRPr="002F1CBD">
        <w:rPr>
          <w:rFonts w:ascii="Verdana" w:hAnsi="Verdana" w:cs="Arial"/>
          <w:sz w:val="18"/>
          <w:szCs w:val="18"/>
          <w:lang w:val="el-GR"/>
        </w:rPr>
        <w:t xml:space="preserve"> καλύπτουν ολόκληρη την οικονομία, συμπεριλαμβανομένων όλων των θεσμικών τομέων, όλων των προϊόντων και των κατηγοριών οικονομικής δραστηριότητας. Καταγράφονται επίσης, οι οικονομικές συναλλαγές με την αλλοδαπή.</w:t>
      </w:r>
    </w:p>
    <w:p w14:paraId="14BF3E33" w14:textId="77777777" w:rsidR="00A736E6" w:rsidRDefault="00A736E6" w:rsidP="00A736E6">
      <w:pPr>
        <w:jc w:val="both"/>
        <w:rPr>
          <w:rFonts w:ascii="Verdana" w:hAnsi="Verdana" w:cs="Arial"/>
          <w:sz w:val="18"/>
          <w:szCs w:val="18"/>
          <w:lang w:val="el-GR"/>
        </w:rPr>
      </w:pPr>
    </w:p>
    <w:p w14:paraId="07C1F84F" w14:textId="77777777" w:rsidR="00A736E6" w:rsidRPr="002F1CBD" w:rsidRDefault="00A736E6" w:rsidP="00A736E6">
      <w:pPr>
        <w:jc w:val="both"/>
        <w:rPr>
          <w:rFonts w:ascii="Verdana" w:hAnsi="Verdana" w:cs="Arial"/>
          <w:sz w:val="18"/>
          <w:szCs w:val="18"/>
          <w:lang w:val="el-GR"/>
        </w:rPr>
      </w:pPr>
      <w:r w:rsidRPr="002F1CBD">
        <w:rPr>
          <w:rFonts w:ascii="Verdana" w:hAnsi="Verdana" w:cs="Arial"/>
          <w:sz w:val="18"/>
          <w:szCs w:val="18"/>
          <w:lang w:val="el-GR"/>
        </w:rPr>
        <w:t xml:space="preserve">Η παραγωγή των </w:t>
      </w:r>
      <w:r>
        <w:rPr>
          <w:rFonts w:ascii="Verdana" w:hAnsi="Verdana" w:cs="Arial"/>
          <w:sz w:val="18"/>
          <w:szCs w:val="18"/>
          <w:lang w:val="el-GR"/>
        </w:rPr>
        <w:t>πινάκων</w:t>
      </w:r>
      <w:r w:rsidRPr="002F1CBD">
        <w:rPr>
          <w:rFonts w:ascii="Verdana" w:hAnsi="Verdana" w:cs="Arial"/>
          <w:sz w:val="18"/>
          <w:szCs w:val="18"/>
          <w:lang w:val="el-GR"/>
        </w:rPr>
        <w:t>, βασίζεται κυρίως στα αποτελέσματα των ετήσιων οικονομικών ερευνών της Στατιστικής Υπηρεσίας, σε διοικητικές πηγές, στα στοιχεία της Γενικής Κυβέρνησης και σε προσαρμογές που υπολογίζονται με βάση το Ευρωπαϊκό Σύστημα Οικονομικών Λογαριασμών 2010 (ΕΣΛ 2010).</w:t>
      </w:r>
    </w:p>
    <w:p w14:paraId="683CC848" w14:textId="77777777" w:rsidR="00A736E6" w:rsidRDefault="00A736E6" w:rsidP="00A736E6">
      <w:pPr>
        <w:jc w:val="both"/>
        <w:rPr>
          <w:rFonts w:ascii="Verdana" w:hAnsi="Verdana" w:cs="Arial"/>
          <w:sz w:val="18"/>
          <w:szCs w:val="18"/>
          <w:lang w:val="el-GR"/>
        </w:rPr>
      </w:pPr>
    </w:p>
    <w:p w14:paraId="7EDC50CA" w14:textId="77777777" w:rsidR="00A736E6" w:rsidRPr="0018667B" w:rsidRDefault="00A736E6" w:rsidP="00A736E6">
      <w:pPr>
        <w:jc w:val="both"/>
        <w:rPr>
          <w:rFonts w:ascii="Verdana" w:hAnsi="Verdana" w:cs="Arial"/>
          <w:sz w:val="18"/>
          <w:szCs w:val="18"/>
          <w:lang w:val="el-GR"/>
        </w:rPr>
      </w:pPr>
    </w:p>
    <w:p w14:paraId="65143F08" w14:textId="77777777" w:rsidR="00A736E6" w:rsidRPr="0018667B" w:rsidRDefault="00A736E6" w:rsidP="00A736E6">
      <w:pPr>
        <w:rPr>
          <w:rFonts w:ascii="Verdana" w:hAnsi="Verdana"/>
          <w:i/>
          <w:sz w:val="18"/>
          <w:szCs w:val="18"/>
          <w:lang w:val="el-GR"/>
        </w:rPr>
      </w:pPr>
      <w:r>
        <w:rPr>
          <w:rFonts w:ascii="Verdana" w:hAnsi="Verdana"/>
          <w:b/>
          <w:i/>
          <w:sz w:val="18"/>
          <w:szCs w:val="18"/>
          <w:lang w:val="el-GR"/>
        </w:rPr>
        <w:t>Π</w:t>
      </w:r>
      <w:r w:rsidRPr="0018667B">
        <w:rPr>
          <w:rFonts w:ascii="Verdana" w:hAnsi="Verdana"/>
          <w:b/>
          <w:i/>
          <w:sz w:val="18"/>
          <w:szCs w:val="18"/>
          <w:lang w:val="el-GR"/>
        </w:rPr>
        <w:t>ερισσότερες πληροφορίες:</w:t>
      </w:r>
      <w:r w:rsidRPr="0018667B">
        <w:rPr>
          <w:rFonts w:ascii="Verdana" w:hAnsi="Verdana"/>
          <w:i/>
          <w:sz w:val="18"/>
          <w:szCs w:val="18"/>
          <w:lang w:val="el-GR"/>
        </w:rPr>
        <w:t xml:space="preserve"> </w:t>
      </w:r>
    </w:p>
    <w:p w14:paraId="54C2F43D" w14:textId="77777777" w:rsidR="00A736E6" w:rsidRPr="0018667B" w:rsidRDefault="00A736E6" w:rsidP="00A736E6">
      <w:pPr>
        <w:rPr>
          <w:rFonts w:ascii="Verdana" w:hAnsi="Verdana"/>
          <w:sz w:val="18"/>
          <w:szCs w:val="18"/>
          <w:lang w:val="el-GR"/>
        </w:rPr>
      </w:pPr>
      <w:r w:rsidRPr="0018667B">
        <w:rPr>
          <w:rFonts w:ascii="Verdana" w:hAnsi="Verdana"/>
          <w:sz w:val="18"/>
          <w:szCs w:val="18"/>
          <w:lang w:val="el-GR"/>
        </w:rPr>
        <w:t xml:space="preserve">Πύλη Στατιστικής Υπηρεσίας, υπόθεμα </w:t>
      </w:r>
      <w:hyperlink r:id="rId11" w:history="1">
        <w:r w:rsidRPr="0018667B">
          <w:rPr>
            <w:rStyle w:val="Hyperlink"/>
            <w:rFonts w:ascii="Verdana" w:hAnsi="Verdana"/>
            <w:sz w:val="18"/>
            <w:szCs w:val="18"/>
            <w:lang w:val="el-GR"/>
          </w:rPr>
          <w:t>Εθνικοί Λογαριασμοί</w:t>
        </w:r>
      </w:hyperlink>
    </w:p>
    <w:p w14:paraId="5620BC4C" w14:textId="77777777" w:rsidR="00A736E6" w:rsidRPr="0018667B" w:rsidRDefault="00A736E6" w:rsidP="00A736E6">
      <w:pPr>
        <w:rPr>
          <w:rFonts w:ascii="Verdana" w:hAnsi="Verdana"/>
          <w:sz w:val="18"/>
          <w:szCs w:val="18"/>
          <w:lang w:val="el-GR"/>
        </w:rPr>
      </w:pPr>
      <w:hyperlink r:id="rId12" w:history="1">
        <w:r w:rsidRPr="0018667B">
          <w:rPr>
            <w:rStyle w:val="Hyperlink"/>
            <w:rFonts w:ascii="Verdana" w:hAnsi="Verdana"/>
            <w:sz w:val="18"/>
            <w:szCs w:val="18"/>
          </w:rPr>
          <w:t>CYSTAT</w:t>
        </w:r>
        <w:r w:rsidRPr="0018667B">
          <w:rPr>
            <w:rStyle w:val="Hyperlink"/>
            <w:rFonts w:ascii="Verdana" w:hAnsi="Verdana"/>
            <w:sz w:val="18"/>
            <w:szCs w:val="18"/>
            <w:lang w:val="el-GR"/>
          </w:rPr>
          <w:t>-</w:t>
        </w:r>
        <w:r w:rsidRPr="0018667B">
          <w:rPr>
            <w:rStyle w:val="Hyperlink"/>
            <w:rFonts w:ascii="Verdana" w:hAnsi="Verdana"/>
            <w:sz w:val="18"/>
            <w:szCs w:val="18"/>
          </w:rPr>
          <w:t>DB</w:t>
        </w:r>
      </w:hyperlink>
      <w:r w:rsidRPr="0018667B">
        <w:rPr>
          <w:rFonts w:ascii="Verdana" w:hAnsi="Verdana"/>
          <w:sz w:val="18"/>
          <w:szCs w:val="18"/>
          <w:lang w:val="el-GR"/>
        </w:rPr>
        <w:t xml:space="preserve"> (Βάση Δεδομένων)</w:t>
      </w:r>
    </w:p>
    <w:p w14:paraId="40E49E47" w14:textId="77777777" w:rsidR="00A736E6" w:rsidRPr="0018667B" w:rsidRDefault="00A736E6" w:rsidP="00A736E6">
      <w:pPr>
        <w:jc w:val="both"/>
        <w:rPr>
          <w:rFonts w:ascii="Verdana" w:hAnsi="Verdana" w:cs="Arial"/>
          <w:sz w:val="18"/>
          <w:szCs w:val="18"/>
          <w:lang w:val="el-GR"/>
        </w:rPr>
      </w:pPr>
      <w:hyperlink r:id="rId13" w:history="1">
        <w:r w:rsidRPr="0018667B">
          <w:rPr>
            <w:rStyle w:val="Hyperlink"/>
            <w:rFonts w:ascii="Verdana" w:hAnsi="Verdana" w:cs="Arial"/>
            <w:sz w:val="18"/>
            <w:szCs w:val="18"/>
            <w:lang w:val="el-GR"/>
          </w:rPr>
          <w:t>Μεθοδολογικές πληροφορίες</w:t>
        </w:r>
      </w:hyperlink>
    </w:p>
    <w:p w14:paraId="0F025CC6" w14:textId="77777777" w:rsidR="00A736E6" w:rsidRPr="0018667B" w:rsidRDefault="00A736E6" w:rsidP="00A736E6">
      <w:pPr>
        <w:jc w:val="both"/>
        <w:rPr>
          <w:rFonts w:ascii="Verdana" w:hAnsi="Verdana" w:cs="Arial"/>
          <w:sz w:val="18"/>
          <w:szCs w:val="18"/>
          <w:lang w:val="el-GR"/>
        </w:rPr>
      </w:pPr>
    </w:p>
    <w:p w14:paraId="68ADDB37" w14:textId="77777777" w:rsidR="00A736E6" w:rsidRPr="0018667B" w:rsidRDefault="00A736E6" w:rsidP="00A736E6">
      <w:pPr>
        <w:jc w:val="both"/>
        <w:rPr>
          <w:rFonts w:ascii="Verdana" w:eastAsia="Malgun Gothic" w:hAnsi="Verdana" w:cs="Arial"/>
          <w:i/>
          <w:sz w:val="18"/>
          <w:szCs w:val="18"/>
          <w:u w:val="single"/>
          <w:lang w:val="el-GR"/>
        </w:rPr>
      </w:pPr>
      <w:r w:rsidRPr="0018667B">
        <w:rPr>
          <w:rFonts w:ascii="Verdana" w:eastAsia="Malgun Gothic" w:hAnsi="Verdana" w:cs="Arial"/>
          <w:i/>
          <w:sz w:val="18"/>
          <w:szCs w:val="18"/>
          <w:u w:val="single"/>
          <w:lang w:val="el-GR"/>
        </w:rPr>
        <w:t>Επικοινωνία</w:t>
      </w:r>
    </w:p>
    <w:p w14:paraId="70BFAB2A" w14:textId="77777777" w:rsidR="00A736E6" w:rsidRPr="0018667B" w:rsidRDefault="00A736E6" w:rsidP="00A736E6">
      <w:pPr>
        <w:rPr>
          <w:rStyle w:val="Hyperlink"/>
          <w:rFonts w:ascii="Verdana" w:hAnsi="Verdana"/>
          <w:sz w:val="18"/>
          <w:szCs w:val="18"/>
          <w:shd w:val="clear" w:color="auto" w:fill="FFFFFF"/>
          <w:lang w:val="el-GR"/>
        </w:rPr>
      </w:pPr>
      <w:r w:rsidRPr="0018667B">
        <w:rPr>
          <w:rFonts w:ascii="Verdana" w:hAnsi="Verdana"/>
          <w:sz w:val="18"/>
          <w:szCs w:val="18"/>
          <w:shd w:val="clear" w:color="auto" w:fill="FFFFFF"/>
          <w:lang w:val="el-GR"/>
        </w:rPr>
        <w:t xml:space="preserve">Μιχάλης Χαραλάμπους: Τηλ.: </w:t>
      </w:r>
      <w:r w:rsidRPr="0018667B">
        <w:rPr>
          <w:rFonts w:ascii="Verdana" w:eastAsia="Malgun Gothic" w:hAnsi="Verdana" w:cs="Arial"/>
          <w:bCs/>
          <w:iCs/>
          <w:sz w:val="18"/>
          <w:szCs w:val="18"/>
          <w:lang w:val="el-GR"/>
        </w:rPr>
        <w:t>+357 2260</w:t>
      </w:r>
      <w:r w:rsidRPr="0018667B">
        <w:rPr>
          <w:rFonts w:ascii="Verdana" w:hAnsi="Verdana"/>
          <w:sz w:val="18"/>
          <w:szCs w:val="18"/>
          <w:shd w:val="clear" w:color="auto" w:fill="FFFFFF"/>
          <w:lang w:val="el-GR"/>
        </w:rPr>
        <w:t xml:space="preserve">2136, </w:t>
      </w:r>
      <w:r w:rsidRPr="0018667B">
        <w:rPr>
          <w:rFonts w:ascii="Verdana" w:eastAsia="Malgun Gothic" w:hAnsi="Verdana" w:cs="Arial"/>
          <w:sz w:val="18"/>
          <w:szCs w:val="18"/>
          <w:lang w:val="el-GR"/>
        </w:rPr>
        <w:t>Ηλ. Ταχ.</w:t>
      </w:r>
      <w:r w:rsidRPr="0018667B">
        <w:rPr>
          <w:rFonts w:ascii="Verdana" w:hAnsi="Verdana"/>
          <w:sz w:val="18"/>
          <w:szCs w:val="18"/>
          <w:shd w:val="clear" w:color="auto" w:fill="FFFFFF"/>
          <w:lang w:val="el-GR"/>
        </w:rPr>
        <w:t>:</w:t>
      </w:r>
      <w:r w:rsidRPr="0018667B">
        <w:rPr>
          <w:rFonts w:ascii="Verdana" w:hAnsi="Verdana"/>
          <w:sz w:val="18"/>
          <w:szCs w:val="18"/>
          <w:shd w:val="clear" w:color="auto" w:fill="FFFFFF"/>
        </w:rPr>
        <w:t> </w:t>
      </w:r>
      <w:hyperlink r:id="rId14" w:history="1">
        <w:r w:rsidRPr="0018667B">
          <w:rPr>
            <w:rStyle w:val="Hyperlink"/>
            <w:rFonts w:ascii="Verdana" w:hAnsi="Verdana"/>
            <w:sz w:val="18"/>
            <w:szCs w:val="18"/>
            <w:shd w:val="clear" w:color="auto" w:fill="FFFFFF"/>
          </w:rPr>
          <w:t>micharalambous</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cystat</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mof</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gov</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cy</w:t>
        </w:r>
      </w:hyperlink>
    </w:p>
    <w:p w14:paraId="04165077" w14:textId="77777777" w:rsidR="00A736E6" w:rsidRPr="0018667B" w:rsidRDefault="00A736E6" w:rsidP="00A736E6">
      <w:pPr>
        <w:rPr>
          <w:rFonts w:ascii="Verdana" w:eastAsia="Malgun Gothic" w:hAnsi="Verdana"/>
          <w:sz w:val="18"/>
          <w:szCs w:val="18"/>
          <w:lang w:val="el-GR"/>
        </w:rPr>
      </w:pPr>
      <w:r w:rsidRPr="0018667B">
        <w:rPr>
          <w:rFonts w:ascii="Verdana" w:eastAsia="Malgun Gothic" w:hAnsi="Verdana"/>
          <w:sz w:val="18"/>
          <w:szCs w:val="18"/>
          <w:lang w:val="el-GR"/>
        </w:rPr>
        <w:t>Δημήτρης Ιωάννου</w:t>
      </w:r>
      <w:r w:rsidRPr="0018667B">
        <w:rPr>
          <w:rFonts w:ascii="Verdana" w:hAnsi="Verdana"/>
          <w:sz w:val="18"/>
          <w:szCs w:val="18"/>
          <w:shd w:val="clear" w:color="auto" w:fill="FFFFFF"/>
          <w:lang w:val="el-GR"/>
        </w:rPr>
        <w:t xml:space="preserve">: Τηλ.: </w:t>
      </w:r>
      <w:r w:rsidRPr="0018667B">
        <w:rPr>
          <w:rFonts w:ascii="Verdana" w:eastAsia="Malgun Gothic" w:hAnsi="Verdana" w:cs="Arial"/>
          <w:bCs/>
          <w:iCs/>
          <w:sz w:val="18"/>
          <w:szCs w:val="18"/>
          <w:lang w:val="el-GR"/>
        </w:rPr>
        <w:t>+357 2260</w:t>
      </w:r>
      <w:r w:rsidRPr="0018667B">
        <w:rPr>
          <w:rFonts w:ascii="Verdana" w:hAnsi="Verdana"/>
          <w:sz w:val="18"/>
          <w:szCs w:val="18"/>
          <w:shd w:val="clear" w:color="auto" w:fill="FFFFFF"/>
          <w:lang w:val="el-GR"/>
        </w:rPr>
        <w:t xml:space="preserve">5128, </w:t>
      </w:r>
      <w:r w:rsidRPr="0018667B">
        <w:rPr>
          <w:rFonts w:ascii="Verdana" w:eastAsia="Malgun Gothic" w:hAnsi="Verdana" w:cs="Arial"/>
          <w:sz w:val="18"/>
          <w:szCs w:val="18"/>
          <w:lang w:val="el-GR"/>
        </w:rPr>
        <w:t>Ηλ. Ταχ.</w:t>
      </w:r>
      <w:r w:rsidRPr="0018667B">
        <w:rPr>
          <w:rFonts w:ascii="Verdana" w:hAnsi="Verdana"/>
          <w:sz w:val="18"/>
          <w:szCs w:val="18"/>
          <w:shd w:val="clear" w:color="auto" w:fill="FFFFFF"/>
          <w:lang w:val="el-GR"/>
        </w:rPr>
        <w:t xml:space="preserve">: </w:t>
      </w:r>
      <w:hyperlink r:id="rId15" w:history="1">
        <w:r w:rsidRPr="0018667B">
          <w:rPr>
            <w:rStyle w:val="Hyperlink"/>
            <w:rFonts w:ascii="Verdana" w:hAnsi="Verdana"/>
            <w:sz w:val="18"/>
            <w:szCs w:val="18"/>
            <w:shd w:val="clear" w:color="auto" w:fill="FFFFFF"/>
          </w:rPr>
          <w:t>dioannou</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cystat</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mof</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gov</w:t>
        </w:r>
        <w:r w:rsidRPr="0018667B">
          <w:rPr>
            <w:rStyle w:val="Hyperlink"/>
            <w:rFonts w:ascii="Verdana" w:hAnsi="Verdana"/>
            <w:sz w:val="18"/>
            <w:szCs w:val="18"/>
            <w:shd w:val="clear" w:color="auto" w:fill="FFFFFF"/>
            <w:lang w:val="el-GR"/>
          </w:rPr>
          <w:t>.</w:t>
        </w:r>
        <w:r w:rsidRPr="0018667B">
          <w:rPr>
            <w:rStyle w:val="Hyperlink"/>
            <w:rFonts w:ascii="Verdana" w:hAnsi="Verdana"/>
            <w:sz w:val="18"/>
            <w:szCs w:val="18"/>
            <w:shd w:val="clear" w:color="auto" w:fill="FFFFFF"/>
          </w:rPr>
          <w:t>cy</w:t>
        </w:r>
      </w:hyperlink>
    </w:p>
    <w:p w14:paraId="0E139D01" w14:textId="7B9F125C" w:rsidR="00A736E6" w:rsidRDefault="00A736E6" w:rsidP="009A4E94">
      <w:pPr>
        <w:jc w:val="both"/>
        <w:rPr>
          <w:rFonts w:ascii="Verdana" w:hAnsi="Verdana" w:cs="Arial"/>
          <w:sz w:val="18"/>
          <w:szCs w:val="18"/>
          <w:lang w:val="el-GR"/>
        </w:rPr>
      </w:pPr>
    </w:p>
    <w:sectPr w:rsidR="00A736E6" w:rsidSect="001A1088">
      <w:headerReference w:type="default" r:id="rId16"/>
      <w:footerReference w:type="default" r:id="rId17"/>
      <w:headerReference w:type="first" r:id="rId18"/>
      <w:footerReference w:type="first" r:id="rId19"/>
      <w:pgSz w:w="11907" w:h="16840" w:code="9"/>
      <w:pgMar w:top="567" w:right="1134"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0388" w14:textId="77777777" w:rsidR="00FB328F" w:rsidRDefault="00FB328F" w:rsidP="00FB398F">
      <w:r>
        <w:separator/>
      </w:r>
    </w:p>
  </w:endnote>
  <w:endnote w:type="continuationSeparator" w:id="0">
    <w:p w14:paraId="02F6BFC7" w14:textId="77777777" w:rsidR="00FB328F" w:rsidRDefault="00FB328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Καραολή, 1444 Λευκωσία, Κύπρος</w:t>
    </w:r>
  </w:p>
  <w:p w14:paraId="701EBEC3" w14:textId="5FB73DE0" w:rsidR="004E4F42" w:rsidRPr="00233FBF" w:rsidRDefault="004E4F42" w:rsidP="000932CF">
    <w:pPr>
      <w:pStyle w:val="Footer"/>
      <w:tabs>
        <w:tab w:val="left" w:pos="4500"/>
      </w:tabs>
      <w:jc w:val="center"/>
      <w:rPr>
        <w:rFonts w:ascii="Arial" w:hAnsi="Arial" w:cs="Arial"/>
        <w:i/>
        <w:iCs/>
        <w:sz w:val="16"/>
        <w:szCs w:val="16"/>
        <w:lang w:val="de-DE"/>
      </w:rPr>
    </w:pPr>
    <w:r w:rsidRPr="00233FBF">
      <w:rPr>
        <w:rFonts w:ascii="Arial" w:hAnsi="Arial" w:cs="Arial"/>
        <w:i/>
        <w:iCs/>
        <w:sz w:val="16"/>
        <w:szCs w:val="16"/>
        <w:lang w:val="el-GR"/>
      </w:rPr>
      <w:t>Τηλ</w:t>
    </w:r>
    <w:r w:rsidRPr="00EA58AD">
      <w:rPr>
        <w:rFonts w:ascii="Arial" w:hAnsi="Arial" w:cs="Arial"/>
        <w:i/>
        <w:iCs/>
        <w:sz w:val="16"/>
        <w:szCs w:val="16"/>
      </w:rPr>
      <w:t xml:space="preserve">.:  22 602129,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3C85E579" w:rsidR="004E4F42" w:rsidRPr="00EA58AD" w:rsidRDefault="00EA58AD" w:rsidP="000932CF">
    <w:pPr>
      <w:pStyle w:val="Footer"/>
      <w:tabs>
        <w:tab w:val="left" w:pos="4500"/>
      </w:tabs>
      <w:jc w:val="center"/>
      <w:rPr>
        <w:rFonts w:ascii="Arial" w:hAnsi="Arial" w:cs="Arial"/>
        <w:lang w:val="de-DE"/>
      </w:rPr>
    </w:pPr>
    <w:r>
      <w:rPr>
        <w:rFonts w:ascii="Arial" w:hAnsi="Arial" w:cs="Arial"/>
        <w:i/>
        <w:iCs/>
        <w:sz w:val="16"/>
        <w:szCs w:val="16"/>
        <w:lang w:val="el-GR"/>
      </w:rPr>
      <w:t>Διαδικτυακή</w:t>
    </w:r>
    <w:r w:rsidRPr="00EA58AD">
      <w:rPr>
        <w:rFonts w:ascii="Arial" w:hAnsi="Arial" w:cs="Arial"/>
        <w:i/>
        <w:iCs/>
        <w:sz w:val="16"/>
        <w:szCs w:val="16"/>
        <w:lang w:val="de-DE"/>
      </w:rPr>
      <w:t xml:space="preserve"> </w:t>
    </w:r>
    <w:r>
      <w:rPr>
        <w:rFonts w:ascii="Arial" w:hAnsi="Arial" w:cs="Arial"/>
        <w:i/>
        <w:iCs/>
        <w:sz w:val="16"/>
        <w:szCs w:val="16"/>
        <w:lang w:val="el-GR"/>
      </w:rPr>
      <w:t>Πύλη</w:t>
    </w:r>
    <w:r w:rsidR="004E4F42" w:rsidRPr="00EA58AD">
      <w:rPr>
        <w:rFonts w:ascii="Arial" w:hAnsi="Arial" w:cs="Arial"/>
        <w:i/>
        <w:iCs/>
        <w:sz w:val="16"/>
        <w:szCs w:val="16"/>
        <w:lang w:val="de-DE"/>
      </w:rPr>
      <w:t xml:space="preserve">: </w:t>
    </w:r>
    <w:hyperlink r:id="rId2" w:history="1">
      <w:r w:rsidR="004E4F42" w:rsidRPr="00EA58AD">
        <w:rPr>
          <w:rStyle w:val="Hyperlink"/>
          <w:rFonts w:ascii="Arial" w:hAnsi="Arial" w:cs="Arial"/>
          <w:i/>
          <w:iCs/>
          <w:sz w:val="16"/>
          <w:szCs w:val="16"/>
          <w:lang w:val="de-DE"/>
        </w:rPr>
        <w:t>http://www.cystat.gov.cy</w:t>
      </w:r>
    </w:hyperlink>
    <w:r w:rsidR="004E4F42" w:rsidRPr="00EA58AD">
      <w:rPr>
        <w:rFonts w:ascii="Arial" w:hAnsi="Arial" w:cs="Arial"/>
        <w:i/>
        <w:iCs/>
        <w:sz w:val="18"/>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23CF" w14:textId="77777777" w:rsidR="00FB328F" w:rsidRDefault="00FB328F" w:rsidP="00FB398F">
      <w:r>
        <w:separator/>
      </w:r>
    </w:p>
  </w:footnote>
  <w:footnote w:type="continuationSeparator" w:id="0">
    <w:p w14:paraId="047AC91A" w14:textId="77777777" w:rsidR="00FB328F" w:rsidRDefault="00FB328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10"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7407D602"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5A39"/>
    <w:rsid w:val="00027853"/>
    <w:rsid w:val="00030E18"/>
    <w:rsid w:val="00031D32"/>
    <w:rsid w:val="0003603D"/>
    <w:rsid w:val="00045088"/>
    <w:rsid w:val="00045A06"/>
    <w:rsid w:val="00050391"/>
    <w:rsid w:val="00054245"/>
    <w:rsid w:val="00055291"/>
    <w:rsid w:val="00055FBA"/>
    <w:rsid w:val="000563D3"/>
    <w:rsid w:val="00057E44"/>
    <w:rsid w:val="00061299"/>
    <w:rsid w:val="00066BF9"/>
    <w:rsid w:val="00070576"/>
    <w:rsid w:val="000752BB"/>
    <w:rsid w:val="00081ADF"/>
    <w:rsid w:val="00084A02"/>
    <w:rsid w:val="00084BF7"/>
    <w:rsid w:val="000858F8"/>
    <w:rsid w:val="000870E9"/>
    <w:rsid w:val="000932CF"/>
    <w:rsid w:val="00096ED8"/>
    <w:rsid w:val="000A1A88"/>
    <w:rsid w:val="000A2B5C"/>
    <w:rsid w:val="000A3601"/>
    <w:rsid w:val="000A6FA8"/>
    <w:rsid w:val="000C1070"/>
    <w:rsid w:val="000C4E72"/>
    <w:rsid w:val="000D06C8"/>
    <w:rsid w:val="000D1E7A"/>
    <w:rsid w:val="000E24B1"/>
    <w:rsid w:val="000E2735"/>
    <w:rsid w:val="000E32D6"/>
    <w:rsid w:val="000E4CB0"/>
    <w:rsid w:val="000E57F2"/>
    <w:rsid w:val="000E72A7"/>
    <w:rsid w:val="000F1162"/>
    <w:rsid w:val="000F3467"/>
    <w:rsid w:val="000F38DE"/>
    <w:rsid w:val="000F532A"/>
    <w:rsid w:val="000F5D6C"/>
    <w:rsid w:val="00100CD7"/>
    <w:rsid w:val="00106852"/>
    <w:rsid w:val="00110F9D"/>
    <w:rsid w:val="00114A67"/>
    <w:rsid w:val="001253B6"/>
    <w:rsid w:val="001262C3"/>
    <w:rsid w:val="00127320"/>
    <w:rsid w:val="00127456"/>
    <w:rsid w:val="001312D8"/>
    <w:rsid w:val="0013137B"/>
    <w:rsid w:val="00142E44"/>
    <w:rsid w:val="00144436"/>
    <w:rsid w:val="00150D80"/>
    <w:rsid w:val="0015118B"/>
    <w:rsid w:val="001519CE"/>
    <w:rsid w:val="00155AC3"/>
    <w:rsid w:val="00161CF3"/>
    <w:rsid w:val="00162C00"/>
    <w:rsid w:val="001639EF"/>
    <w:rsid w:val="0016589F"/>
    <w:rsid w:val="001712CF"/>
    <w:rsid w:val="00176A54"/>
    <w:rsid w:val="0017769A"/>
    <w:rsid w:val="00183DFC"/>
    <w:rsid w:val="00184384"/>
    <w:rsid w:val="00186717"/>
    <w:rsid w:val="00187FFC"/>
    <w:rsid w:val="0019391C"/>
    <w:rsid w:val="001A1088"/>
    <w:rsid w:val="001A1D8F"/>
    <w:rsid w:val="001A2018"/>
    <w:rsid w:val="001B2C39"/>
    <w:rsid w:val="001B3675"/>
    <w:rsid w:val="001B4AFB"/>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271EB"/>
    <w:rsid w:val="00230D9B"/>
    <w:rsid w:val="002313AC"/>
    <w:rsid w:val="00235D0A"/>
    <w:rsid w:val="00235FB2"/>
    <w:rsid w:val="00237BC1"/>
    <w:rsid w:val="002430B4"/>
    <w:rsid w:val="002447D0"/>
    <w:rsid w:val="002454C5"/>
    <w:rsid w:val="00245E19"/>
    <w:rsid w:val="00246AEB"/>
    <w:rsid w:val="0024766E"/>
    <w:rsid w:val="00250005"/>
    <w:rsid w:val="0025254F"/>
    <w:rsid w:val="0025566D"/>
    <w:rsid w:val="0025595C"/>
    <w:rsid w:val="00257149"/>
    <w:rsid w:val="002576E7"/>
    <w:rsid w:val="00260357"/>
    <w:rsid w:val="00264F04"/>
    <w:rsid w:val="002650D5"/>
    <w:rsid w:val="002658B3"/>
    <w:rsid w:val="00267554"/>
    <w:rsid w:val="00282833"/>
    <w:rsid w:val="0028338F"/>
    <w:rsid w:val="002915C4"/>
    <w:rsid w:val="00291FAA"/>
    <w:rsid w:val="002941E2"/>
    <w:rsid w:val="00297E6B"/>
    <w:rsid w:val="002A1D1C"/>
    <w:rsid w:val="002A2778"/>
    <w:rsid w:val="002A2CF2"/>
    <w:rsid w:val="002A4D64"/>
    <w:rsid w:val="002B4969"/>
    <w:rsid w:val="002B6554"/>
    <w:rsid w:val="002D05F0"/>
    <w:rsid w:val="002D2829"/>
    <w:rsid w:val="002D7D4A"/>
    <w:rsid w:val="002E3846"/>
    <w:rsid w:val="002E3F78"/>
    <w:rsid w:val="002F400C"/>
    <w:rsid w:val="002F4D76"/>
    <w:rsid w:val="002F50C8"/>
    <w:rsid w:val="002F6D26"/>
    <w:rsid w:val="0030231E"/>
    <w:rsid w:val="003042C4"/>
    <w:rsid w:val="00304CB4"/>
    <w:rsid w:val="00313F37"/>
    <w:rsid w:val="003141D0"/>
    <w:rsid w:val="003168C1"/>
    <w:rsid w:val="003229DC"/>
    <w:rsid w:val="00322FBE"/>
    <w:rsid w:val="00325632"/>
    <w:rsid w:val="00327549"/>
    <w:rsid w:val="00330EB8"/>
    <w:rsid w:val="003342A5"/>
    <w:rsid w:val="00334616"/>
    <w:rsid w:val="00336C36"/>
    <w:rsid w:val="00343815"/>
    <w:rsid w:val="003466C6"/>
    <w:rsid w:val="003522BB"/>
    <w:rsid w:val="00352F6C"/>
    <w:rsid w:val="003556EA"/>
    <w:rsid w:val="00386FC7"/>
    <w:rsid w:val="00390A32"/>
    <w:rsid w:val="003A1E91"/>
    <w:rsid w:val="003A40F2"/>
    <w:rsid w:val="003A50D1"/>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499"/>
    <w:rsid w:val="003F5E32"/>
    <w:rsid w:val="003F75F6"/>
    <w:rsid w:val="00404670"/>
    <w:rsid w:val="00414CA0"/>
    <w:rsid w:val="00422F54"/>
    <w:rsid w:val="00426504"/>
    <w:rsid w:val="0043115C"/>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1700"/>
    <w:rsid w:val="004929C2"/>
    <w:rsid w:val="00493FDD"/>
    <w:rsid w:val="0049586B"/>
    <w:rsid w:val="004A3E44"/>
    <w:rsid w:val="004B2018"/>
    <w:rsid w:val="004B2896"/>
    <w:rsid w:val="004B38E9"/>
    <w:rsid w:val="004B3FBA"/>
    <w:rsid w:val="004B6599"/>
    <w:rsid w:val="004C6CA7"/>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16665"/>
    <w:rsid w:val="0052083B"/>
    <w:rsid w:val="00527CDB"/>
    <w:rsid w:val="005341C9"/>
    <w:rsid w:val="005369CA"/>
    <w:rsid w:val="00536DE9"/>
    <w:rsid w:val="00541E08"/>
    <w:rsid w:val="00550F87"/>
    <w:rsid w:val="005548F0"/>
    <w:rsid w:val="00554FE0"/>
    <w:rsid w:val="0055789A"/>
    <w:rsid w:val="00560952"/>
    <w:rsid w:val="005652D1"/>
    <w:rsid w:val="005660A0"/>
    <w:rsid w:val="00566A4F"/>
    <w:rsid w:val="00567D64"/>
    <w:rsid w:val="005978D4"/>
    <w:rsid w:val="005A23FA"/>
    <w:rsid w:val="005B2A67"/>
    <w:rsid w:val="005B3DCD"/>
    <w:rsid w:val="005B4AD4"/>
    <w:rsid w:val="005B54A5"/>
    <w:rsid w:val="005C2798"/>
    <w:rsid w:val="005C36C3"/>
    <w:rsid w:val="005C56EE"/>
    <w:rsid w:val="005D1714"/>
    <w:rsid w:val="005D7638"/>
    <w:rsid w:val="005F12F5"/>
    <w:rsid w:val="005F7C7D"/>
    <w:rsid w:val="006044B7"/>
    <w:rsid w:val="006071CE"/>
    <w:rsid w:val="006075B5"/>
    <w:rsid w:val="0061018C"/>
    <w:rsid w:val="0061094E"/>
    <w:rsid w:val="00610C96"/>
    <w:rsid w:val="00613440"/>
    <w:rsid w:val="00613BE3"/>
    <w:rsid w:val="00622ECA"/>
    <w:rsid w:val="0062327B"/>
    <w:rsid w:val="00632777"/>
    <w:rsid w:val="00633750"/>
    <w:rsid w:val="00634491"/>
    <w:rsid w:val="0063679C"/>
    <w:rsid w:val="00637055"/>
    <w:rsid w:val="00641D59"/>
    <w:rsid w:val="00644507"/>
    <w:rsid w:val="00646880"/>
    <w:rsid w:val="00647D2A"/>
    <w:rsid w:val="006537BB"/>
    <w:rsid w:val="0065643E"/>
    <w:rsid w:val="00660F7B"/>
    <w:rsid w:val="00664039"/>
    <w:rsid w:val="00667E07"/>
    <w:rsid w:val="00671785"/>
    <w:rsid w:val="00672BA9"/>
    <w:rsid w:val="00673005"/>
    <w:rsid w:val="006804BE"/>
    <w:rsid w:val="00682A35"/>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3A50"/>
    <w:rsid w:val="0072548A"/>
    <w:rsid w:val="007277A6"/>
    <w:rsid w:val="007437AB"/>
    <w:rsid w:val="00745425"/>
    <w:rsid w:val="007534F8"/>
    <w:rsid w:val="007545AD"/>
    <w:rsid w:val="007616A9"/>
    <w:rsid w:val="00763722"/>
    <w:rsid w:val="00764BC1"/>
    <w:rsid w:val="00770869"/>
    <w:rsid w:val="007738AA"/>
    <w:rsid w:val="00777363"/>
    <w:rsid w:val="00780A62"/>
    <w:rsid w:val="00783241"/>
    <w:rsid w:val="00784BDC"/>
    <w:rsid w:val="00792F28"/>
    <w:rsid w:val="007935CA"/>
    <w:rsid w:val="0079543F"/>
    <w:rsid w:val="00795880"/>
    <w:rsid w:val="007A4367"/>
    <w:rsid w:val="007B0867"/>
    <w:rsid w:val="007B1AC1"/>
    <w:rsid w:val="007B5A08"/>
    <w:rsid w:val="007B693D"/>
    <w:rsid w:val="007C1E89"/>
    <w:rsid w:val="007C4CDC"/>
    <w:rsid w:val="007C511F"/>
    <w:rsid w:val="007D2F84"/>
    <w:rsid w:val="007E041B"/>
    <w:rsid w:val="007E199A"/>
    <w:rsid w:val="007E1AED"/>
    <w:rsid w:val="007E2415"/>
    <w:rsid w:val="007E39F3"/>
    <w:rsid w:val="007E405E"/>
    <w:rsid w:val="007E68F4"/>
    <w:rsid w:val="007E6DE2"/>
    <w:rsid w:val="007F31BA"/>
    <w:rsid w:val="007F4078"/>
    <w:rsid w:val="0080014B"/>
    <w:rsid w:val="00801793"/>
    <w:rsid w:val="00803642"/>
    <w:rsid w:val="00806EA2"/>
    <w:rsid w:val="00812A2B"/>
    <w:rsid w:val="00814A4C"/>
    <w:rsid w:val="00815413"/>
    <w:rsid w:val="00831AAB"/>
    <w:rsid w:val="00832C99"/>
    <w:rsid w:val="00833BCD"/>
    <w:rsid w:val="00834B82"/>
    <w:rsid w:val="0083574E"/>
    <w:rsid w:val="0083640C"/>
    <w:rsid w:val="008374E3"/>
    <w:rsid w:val="0084157B"/>
    <w:rsid w:val="00842BFB"/>
    <w:rsid w:val="00846B85"/>
    <w:rsid w:val="00847DC3"/>
    <w:rsid w:val="00847F49"/>
    <w:rsid w:val="008535C5"/>
    <w:rsid w:val="00853765"/>
    <w:rsid w:val="0085516F"/>
    <w:rsid w:val="008660C7"/>
    <w:rsid w:val="00867186"/>
    <w:rsid w:val="00870AF6"/>
    <w:rsid w:val="00877452"/>
    <w:rsid w:val="00881268"/>
    <w:rsid w:val="0088394A"/>
    <w:rsid w:val="008860BD"/>
    <w:rsid w:val="00887399"/>
    <w:rsid w:val="0088779E"/>
    <w:rsid w:val="008912AF"/>
    <w:rsid w:val="00892114"/>
    <w:rsid w:val="00892CB9"/>
    <w:rsid w:val="008935CB"/>
    <w:rsid w:val="008B0E7E"/>
    <w:rsid w:val="008B65BD"/>
    <w:rsid w:val="008B7900"/>
    <w:rsid w:val="008C147D"/>
    <w:rsid w:val="008C71BF"/>
    <w:rsid w:val="008C7FE0"/>
    <w:rsid w:val="008D5717"/>
    <w:rsid w:val="008D60BD"/>
    <w:rsid w:val="008E44A9"/>
    <w:rsid w:val="008E66F3"/>
    <w:rsid w:val="008E6B4D"/>
    <w:rsid w:val="008E6BFF"/>
    <w:rsid w:val="008F17AD"/>
    <w:rsid w:val="008F21AF"/>
    <w:rsid w:val="008F2400"/>
    <w:rsid w:val="008F61BA"/>
    <w:rsid w:val="008F6E3C"/>
    <w:rsid w:val="008F7C55"/>
    <w:rsid w:val="00914A23"/>
    <w:rsid w:val="00930754"/>
    <w:rsid w:val="00930DA7"/>
    <w:rsid w:val="00934F68"/>
    <w:rsid w:val="009355AC"/>
    <w:rsid w:val="00935F38"/>
    <w:rsid w:val="00937586"/>
    <w:rsid w:val="00947889"/>
    <w:rsid w:val="009478BD"/>
    <w:rsid w:val="00960E98"/>
    <w:rsid w:val="00963A82"/>
    <w:rsid w:val="00972912"/>
    <w:rsid w:val="00976D1F"/>
    <w:rsid w:val="00981C81"/>
    <w:rsid w:val="00984747"/>
    <w:rsid w:val="009A2D24"/>
    <w:rsid w:val="009A456C"/>
    <w:rsid w:val="009A4E94"/>
    <w:rsid w:val="009B00E0"/>
    <w:rsid w:val="009B292A"/>
    <w:rsid w:val="009B76D5"/>
    <w:rsid w:val="009C165D"/>
    <w:rsid w:val="009C3CEA"/>
    <w:rsid w:val="009C3FD7"/>
    <w:rsid w:val="009C583D"/>
    <w:rsid w:val="009D2611"/>
    <w:rsid w:val="009D6BEC"/>
    <w:rsid w:val="009D79D2"/>
    <w:rsid w:val="009E247C"/>
    <w:rsid w:val="009E31BA"/>
    <w:rsid w:val="009F0528"/>
    <w:rsid w:val="009F0806"/>
    <w:rsid w:val="009F233B"/>
    <w:rsid w:val="00A05D16"/>
    <w:rsid w:val="00A0659F"/>
    <w:rsid w:val="00A079BA"/>
    <w:rsid w:val="00A14E8C"/>
    <w:rsid w:val="00A20C70"/>
    <w:rsid w:val="00A33875"/>
    <w:rsid w:val="00A360A1"/>
    <w:rsid w:val="00A402B3"/>
    <w:rsid w:val="00A54447"/>
    <w:rsid w:val="00A544B7"/>
    <w:rsid w:val="00A618CF"/>
    <w:rsid w:val="00A61CDD"/>
    <w:rsid w:val="00A62770"/>
    <w:rsid w:val="00A62EEB"/>
    <w:rsid w:val="00A65B22"/>
    <w:rsid w:val="00A660FF"/>
    <w:rsid w:val="00A73395"/>
    <w:rsid w:val="00A736E6"/>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915"/>
    <w:rsid w:val="00B01BB5"/>
    <w:rsid w:val="00B026CC"/>
    <w:rsid w:val="00B04AF4"/>
    <w:rsid w:val="00B05214"/>
    <w:rsid w:val="00B068CC"/>
    <w:rsid w:val="00B30D97"/>
    <w:rsid w:val="00B31074"/>
    <w:rsid w:val="00B3181A"/>
    <w:rsid w:val="00B35A7C"/>
    <w:rsid w:val="00B44ECD"/>
    <w:rsid w:val="00B450D1"/>
    <w:rsid w:val="00B53D47"/>
    <w:rsid w:val="00B54A25"/>
    <w:rsid w:val="00B618C3"/>
    <w:rsid w:val="00B63652"/>
    <w:rsid w:val="00B668B0"/>
    <w:rsid w:val="00B70F5C"/>
    <w:rsid w:val="00B71873"/>
    <w:rsid w:val="00B75AE5"/>
    <w:rsid w:val="00B800C0"/>
    <w:rsid w:val="00B8132B"/>
    <w:rsid w:val="00B84C5A"/>
    <w:rsid w:val="00B858F5"/>
    <w:rsid w:val="00B8736C"/>
    <w:rsid w:val="00B93668"/>
    <w:rsid w:val="00B974D8"/>
    <w:rsid w:val="00BA68C6"/>
    <w:rsid w:val="00BB12F1"/>
    <w:rsid w:val="00BB2450"/>
    <w:rsid w:val="00BB276E"/>
    <w:rsid w:val="00BB3FEE"/>
    <w:rsid w:val="00BB5EB0"/>
    <w:rsid w:val="00BC245A"/>
    <w:rsid w:val="00BC2CEE"/>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357A"/>
    <w:rsid w:val="00C15193"/>
    <w:rsid w:val="00C15609"/>
    <w:rsid w:val="00C15F6A"/>
    <w:rsid w:val="00C236D3"/>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1CE"/>
    <w:rsid w:val="00C66F2E"/>
    <w:rsid w:val="00C6707E"/>
    <w:rsid w:val="00C6785C"/>
    <w:rsid w:val="00C70FD1"/>
    <w:rsid w:val="00C7253D"/>
    <w:rsid w:val="00C72B76"/>
    <w:rsid w:val="00C733AA"/>
    <w:rsid w:val="00C73C3B"/>
    <w:rsid w:val="00C83027"/>
    <w:rsid w:val="00C84B8A"/>
    <w:rsid w:val="00C85E65"/>
    <w:rsid w:val="00C87CA1"/>
    <w:rsid w:val="00C911B4"/>
    <w:rsid w:val="00C91B3B"/>
    <w:rsid w:val="00C94262"/>
    <w:rsid w:val="00C976E1"/>
    <w:rsid w:val="00CA148E"/>
    <w:rsid w:val="00CA3A9A"/>
    <w:rsid w:val="00CB3A66"/>
    <w:rsid w:val="00CB6BC1"/>
    <w:rsid w:val="00CB7021"/>
    <w:rsid w:val="00CB7295"/>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247C7"/>
    <w:rsid w:val="00D31A6F"/>
    <w:rsid w:val="00D353D1"/>
    <w:rsid w:val="00D367DB"/>
    <w:rsid w:val="00D36E05"/>
    <w:rsid w:val="00D37E5B"/>
    <w:rsid w:val="00D44F27"/>
    <w:rsid w:val="00D45304"/>
    <w:rsid w:val="00D46165"/>
    <w:rsid w:val="00D461C7"/>
    <w:rsid w:val="00D50424"/>
    <w:rsid w:val="00D525C9"/>
    <w:rsid w:val="00D57D3E"/>
    <w:rsid w:val="00D742FD"/>
    <w:rsid w:val="00D76249"/>
    <w:rsid w:val="00D80195"/>
    <w:rsid w:val="00DA7D12"/>
    <w:rsid w:val="00DC23CF"/>
    <w:rsid w:val="00DC6562"/>
    <w:rsid w:val="00DE130D"/>
    <w:rsid w:val="00DE24CF"/>
    <w:rsid w:val="00DE407C"/>
    <w:rsid w:val="00DE5020"/>
    <w:rsid w:val="00DE5525"/>
    <w:rsid w:val="00DE7C7D"/>
    <w:rsid w:val="00DF2992"/>
    <w:rsid w:val="00DF2D0C"/>
    <w:rsid w:val="00DF5885"/>
    <w:rsid w:val="00E00058"/>
    <w:rsid w:val="00E002D0"/>
    <w:rsid w:val="00E01B9D"/>
    <w:rsid w:val="00E0468F"/>
    <w:rsid w:val="00E04F5E"/>
    <w:rsid w:val="00E0522E"/>
    <w:rsid w:val="00E120F4"/>
    <w:rsid w:val="00E12532"/>
    <w:rsid w:val="00E136A3"/>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67C8D"/>
    <w:rsid w:val="00E75DC9"/>
    <w:rsid w:val="00E81610"/>
    <w:rsid w:val="00E84910"/>
    <w:rsid w:val="00E85B28"/>
    <w:rsid w:val="00E91976"/>
    <w:rsid w:val="00E947A6"/>
    <w:rsid w:val="00E97FC7"/>
    <w:rsid w:val="00EA0690"/>
    <w:rsid w:val="00EA3956"/>
    <w:rsid w:val="00EA58AD"/>
    <w:rsid w:val="00EA7136"/>
    <w:rsid w:val="00EB325A"/>
    <w:rsid w:val="00EB514D"/>
    <w:rsid w:val="00EC02A5"/>
    <w:rsid w:val="00EC176B"/>
    <w:rsid w:val="00EC33CD"/>
    <w:rsid w:val="00EC5BE5"/>
    <w:rsid w:val="00ED2650"/>
    <w:rsid w:val="00ED721A"/>
    <w:rsid w:val="00EE393D"/>
    <w:rsid w:val="00EF01CF"/>
    <w:rsid w:val="00EF6A47"/>
    <w:rsid w:val="00EF7AF9"/>
    <w:rsid w:val="00F00952"/>
    <w:rsid w:val="00F0148B"/>
    <w:rsid w:val="00F01495"/>
    <w:rsid w:val="00F10138"/>
    <w:rsid w:val="00F13F92"/>
    <w:rsid w:val="00F2132D"/>
    <w:rsid w:val="00F22ECA"/>
    <w:rsid w:val="00F240E8"/>
    <w:rsid w:val="00F244FA"/>
    <w:rsid w:val="00F366A2"/>
    <w:rsid w:val="00F44F43"/>
    <w:rsid w:val="00F450E1"/>
    <w:rsid w:val="00F50DF4"/>
    <w:rsid w:val="00F57AFE"/>
    <w:rsid w:val="00F6278E"/>
    <w:rsid w:val="00F63360"/>
    <w:rsid w:val="00F63C41"/>
    <w:rsid w:val="00F63E96"/>
    <w:rsid w:val="00F701E3"/>
    <w:rsid w:val="00F71008"/>
    <w:rsid w:val="00F71F8C"/>
    <w:rsid w:val="00F85246"/>
    <w:rsid w:val="00F86AD4"/>
    <w:rsid w:val="00FA0113"/>
    <w:rsid w:val="00FA076C"/>
    <w:rsid w:val="00FA12B2"/>
    <w:rsid w:val="00FA18A7"/>
    <w:rsid w:val="00FA7610"/>
    <w:rsid w:val="00FB02BD"/>
    <w:rsid w:val="00FB328F"/>
    <w:rsid w:val="00FB398F"/>
    <w:rsid w:val="00FB4EF8"/>
    <w:rsid w:val="00FB54AE"/>
    <w:rsid w:val="00FB709A"/>
    <w:rsid w:val="00FB78DD"/>
    <w:rsid w:val="00FC3EF3"/>
    <w:rsid w:val="00FC5D35"/>
    <w:rsid w:val="00FC5FB5"/>
    <w:rsid w:val="00FD2049"/>
    <w:rsid w:val="00FD2140"/>
    <w:rsid w:val="00FD5B5F"/>
    <w:rsid w:val="00FD5BDE"/>
    <w:rsid w:val="00FD68EC"/>
    <w:rsid w:val="00FE24A5"/>
    <w:rsid w:val="00FE31E5"/>
    <w:rsid w:val="00FF19AD"/>
    <w:rsid w:val="00FF1EB5"/>
    <w:rsid w:val="00FF292D"/>
    <w:rsid w:val="00FF298D"/>
    <w:rsid w:val="00FF2FC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50"/>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A736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2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ystatdb.cystat.gov.cy/pxweb/el/8.CYSTAT-DB/8.CYSTAT-DB__National%20Accounts__"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SubthemeStatistics?s=45" TargetMode="External"/><Relationship Id="rId5" Type="http://schemas.openxmlformats.org/officeDocument/2006/relationships/webSettings" Target="webSettings.xml"/><Relationship Id="rId15" Type="http://schemas.openxmlformats.org/officeDocument/2006/relationships/hyperlink" Target="mailto:dioannou@cystat.mof.gov.cy"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icharalambou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6501</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14</cp:revision>
  <cp:lastPrinted>2016-09-28T08:22:00Z</cp:lastPrinted>
  <dcterms:created xsi:type="dcterms:W3CDTF">2025-01-27T12:51:00Z</dcterms:created>
  <dcterms:modified xsi:type="dcterms:W3CDTF">2025-02-12T09:32:00Z</dcterms:modified>
</cp:coreProperties>
</file>