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77777777" w:rsidR="007437AB" w:rsidRPr="00204F41" w:rsidRDefault="007437AB" w:rsidP="006F1E66">
      <w:pPr>
        <w:jc w:val="both"/>
        <w:rPr>
          <w:rFonts w:ascii="Verdana" w:hAnsi="Verdana" w:cs="Arial"/>
          <w:sz w:val="18"/>
          <w:szCs w:val="18"/>
        </w:rPr>
      </w:pPr>
    </w:p>
    <w:p w14:paraId="533BD33E" w14:textId="129E29C8" w:rsidR="001A0A44" w:rsidRPr="00204F41" w:rsidRDefault="00E3798D" w:rsidP="001A0A44">
      <w:pPr>
        <w:jc w:val="right"/>
        <w:rPr>
          <w:rFonts w:ascii="Verdana" w:eastAsia="Malgun Gothic" w:hAnsi="Verdana" w:cs="Arial"/>
          <w:sz w:val="18"/>
          <w:szCs w:val="18"/>
        </w:rPr>
      </w:pPr>
      <w:r w:rsidRPr="00204F41">
        <w:rPr>
          <w:rFonts w:ascii="Verdana" w:hAnsi="Verdana" w:cs="Arial"/>
          <w:sz w:val="18"/>
          <w:szCs w:val="18"/>
        </w:rPr>
        <w:t>26</w:t>
      </w:r>
      <w:r w:rsidR="001A0A44" w:rsidRPr="00204F41">
        <w:rPr>
          <w:rFonts w:ascii="Verdana" w:hAnsi="Verdana" w:cs="Arial"/>
          <w:sz w:val="18"/>
          <w:szCs w:val="18"/>
        </w:rPr>
        <w:t xml:space="preserve"> </w:t>
      </w:r>
      <w:r w:rsidRPr="00204F41">
        <w:rPr>
          <w:rFonts w:ascii="Verdana" w:hAnsi="Verdana" w:cs="Arial"/>
          <w:sz w:val="18"/>
          <w:szCs w:val="18"/>
        </w:rPr>
        <w:t>March</w:t>
      </w:r>
      <w:r w:rsidR="001A0A44" w:rsidRPr="00204F41">
        <w:rPr>
          <w:rFonts w:ascii="Verdana" w:hAnsi="Verdana" w:cs="Arial"/>
          <w:sz w:val="18"/>
          <w:szCs w:val="18"/>
        </w:rPr>
        <w:t>,</w:t>
      </w:r>
      <w:r w:rsidR="001A0A44" w:rsidRPr="00204F41">
        <w:rPr>
          <w:rFonts w:ascii="Verdana" w:eastAsia="Malgun Gothic" w:hAnsi="Verdana" w:cs="Arial"/>
          <w:sz w:val="18"/>
          <w:szCs w:val="18"/>
        </w:rPr>
        <w:t xml:space="preserve"> 202</w:t>
      </w:r>
      <w:r w:rsidRPr="00204F41">
        <w:rPr>
          <w:rFonts w:ascii="Verdana" w:eastAsia="Malgun Gothic" w:hAnsi="Verdana" w:cs="Arial"/>
          <w:sz w:val="18"/>
          <w:szCs w:val="18"/>
        </w:rPr>
        <w:t>6</w:t>
      </w:r>
    </w:p>
    <w:p w14:paraId="125280A5" w14:textId="77777777" w:rsidR="001A0A44" w:rsidRPr="00204F41" w:rsidRDefault="001A0A44" w:rsidP="001A0A44">
      <w:pPr>
        <w:jc w:val="right"/>
        <w:rPr>
          <w:rFonts w:ascii="Verdana" w:eastAsia="Malgun Gothic" w:hAnsi="Verdana" w:cs="Arial"/>
          <w:sz w:val="18"/>
          <w:szCs w:val="18"/>
        </w:rPr>
      </w:pPr>
    </w:p>
    <w:p w14:paraId="39546142" w14:textId="4500E8F8" w:rsidR="001A0A44" w:rsidRPr="00204F41" w:rsidRDefault="001A0A44" w:rsidP="001A0A44">
      <w:pPr>
        <w:ind w:right="-1"/>
        <w:jc w:val="center"/>
        <w:rPr>
          <w:rFonts w:ascii="Verdana" w:eastAsia="Malgun Gothic" w:hAnsi="Verdana" w:cs="Arial"/>
          <w:b/>
          <w:sz w:val="24"/>
          <w:szCs w:val="24"/>
        </w:rPr>
      </w:pPr>
      <w:r w:rsidRPr="00204F41">
        <w:rPr>
          <w:rFonts w:ascii="Verdana" w:eastAsia="Malgun Gothic" w:hAnsi="Verdana" w:cs="Arial"/>
          <w:b/>
          <w:sz w:val="24"/>
          <w:szCs w:val="24"/>
        </w:rPr>
        <w:t>PRESS RELEASE</w:t>
      </w:r>
    </w:p>
    <w:p w14:paraId="4EF64124" w14:textId="582DF41E" w:rsidR="001A0A44" w:rsidRPr="00204F41" w:rsidRDefault="001A0A44" w:rsidP="001A0A44">
      <w:pPr>
        <w:ind w:right="-1"/>
        <w:jc w:val="center"/>
        <w:rPr>
          <w:rFonts w:ascii="Verdana" w:eastAsia="Malgun Gothic" w:hAnsi="Verdana" w:cs="Arial"/>
          <w:b/>
          <w:sz w:val="24"/>
          <w:szCs w:val="24"/>
        </w:rPr>
      </w:pPr>
    </w:p>
    <w:p w14:paraId="3B5F5212" w14:textId="1E70414C" w:rsidR="001A0A44" w:rsidRPr="00204F41" w:rsidRDefault="001A0A44" w:rsidP="001A0A44">
      <w:pPr>
        <w:ind w:right="-1"/>
        <w:rPr>
          <w:rFonts w:ascii="Verdana" w:eastAsia="Times New Roman" w:hAnsi="Verdana"/>
          <w:b/>
          <w:bCs/>
          <w:u w:val="single"/>
          <w:shd w:val="clear" w:color="auto" w:fill="FFFFFF"/>
        </w:rPr>
      </w:pPr>
      <w:bookmarkStart w:id="0" w:name="_Hlk57290677"/>
      <w:r w:rsidRPr="00204F41">
        <w:rPr>
          <w:rFonts w:ascii="Verdana" w:eastAsia="Times New Roman" w:hAnsi="Verdana"/>
          <w:u w:val="single"/>
          <w:shd w:val="clear" w:color="auto" w:fill="FFFFFF"/>
        </w:rPr>
        <w:t>SUPPLY, USE AND INPUT-OUTPUT TABLES</w:t>
      </w:r>
      <w:r w:rsidRPr="00204F41">
        <w:rPr>
          <w:rFonts w:ascii="Verdana" w:eastAsia="Times New Roman" w:hAnsi="Verdana"/>
          <w:bCs/>
          <w:u w:val="single"/>
          <w:shd w:val="clear" w:color="auto" w:fill="FFFFFF"/>
        </w:rPr>
        <w:t>:</w:t>
      </w:r>
      <w:bookmarkEnd w:id="0"/>
      <w:r w:rsidRPr="00204F41">
        <w:rPr>
          <w:rFonts w:ascii="Verdana" w:eastAsia="Times New Roman" w:hAnsi="Verdana"/>
          <w:b/>
          <w:bCs/>
          <w:u w:val="single"/>
          <w:shd w:val="clear" w:color="auto" w:fill="FFFFFF"/>
        </w:rPr>
        <w:t xml:space="preserve"> 20</w:t>
      </w:r>
      <w:r w:rsidR="00903ADA" w:rsidRPr="00204F41">
        <w:rPr>
          <w:rFonts w:ascii="Verdana" w:eastAsia="Times New Roman" w:hAnsi="Verdana"/>
          <w:b/>
          <w:bCs/>
          <w:u w:val="single"/>
          <w:shd w:val="clear" w:color="auto" w:fill="FFFFFF"/>
        </w:rPr>
        <w:t>2</w:t>
      </w:r>
      <w:r w:rsidR="008D7BE8" w:rsidRPr="00204F41">
        <w:rPr>
          <w:rFonts w:ascii="Verdana" w:eastAsia="Times New Roman" w:hAnsi="Verdana"/>
          <w:b/>
          <w:bCs/>
          <w:u w:val="single"/>
          <w:shd w:val="clear" w:color="auto" w:fill="FFFFFF"/>
        </w:rPr>
        <w:t>2</w:t>
      </w:r>
    </w:p>
    <w:p w14:paraId="17091CC3" w14:textId="77777777" w:rsidR="001A0A44" w:rsidRPr="00204F41" w:rsidRDefault="001A0A44" w:rsidP="001A0A44">
      <w:pPr>
        <w:ind w:right="-1"/>
        <w:rPr>
          <w:rFonts w:ascii="Verdana" w:eastAsia="Times New Roman" w:hAnsi="Verdana"/>
          <w:b/>
          <w:bCs/>
          <w:u w:val="single"/>
          <w:shd w:val="clear" w:color="auto" w:fill="FFFFFF"/>
        </w:rPr>
      </w:pPr>
    </w:p>
    <w:p w14:paraId="75FB0E45" w14:textId="6B74EB89" w:rsidR="001A0A44" w:rsidRPr="00204F41" w:rsidRDefault="001A0A44" w:rsidP="001A0A44">
      <w:pPr>
        <w:ind w:right="-1"/>
        <w:jc w:val="center"/>
        <w:rPr>
          <w:rFonts w:ascii="Verdana" w:eastAsia="Malgun Gothic" w:hAnsi="Verdana" w:cs="Arial"/>
          <w:b/>
          <w:bCs/>
        </w:rPr>
      </w:pPr>
      <w:r w:rsidRPr="00204F41">
        <w:rPr>
          <w:rFonts w:ascii="Verdana" w:eastAsia="Malgun Gothic" w:hAnsi="Verdana" w:cs="Arial"/>
          <w:b/>
          <w:bCs/>
        </w:rPr>
        <w:t xml:space="preserve">Total </w:t>
      </w:r>
      <w:r w:rsidR="00A15555" w:rsidRPr="00204F41">
        <w:rPr>
          <w:rFonts w:ascii="Verdana" w:eastAsia="Malgun Gothic" w:hAnsi="Verdana" w:cs="Arial"/>
          <w:b/>
          <w:bCs/>
        </w:rPr>
        <w:t>S</w:t>
      </w:r>
      <w:r w:rsidRPr="00204F41">
        <w:rPr>
          <w:rFonts w:ascii="Verdana" w:eastAsia="Malgun Gothic" w:hAnsi="Verdana" w:cs="Arial"/>
          <w:b/>
          <w:bCs/>
        </w:rPr>
        <w:t xml:space="preserve">upply and </w:t>
      </w:r>
      <w:r w:rsidR="00A15555" w:rsidRPr="00204F41">
        <w:rPr>
          <w:rFonts w:ascii="Verdana" w:eastAsia="Malgun Gothic" w:hAnsi="Verdana" w:cs="Arial"/>
          <w:b/>
          <w:bCs/>
        </w:rPr>
        <w:t>U</w:t>
      </w:r>
      <w:r w:rsidRPr="00204F41">
        <w:rPr>
          <w:rFonts w:ascii="Verdana" w:eastAsia="Malgun Gothic" w:hAnsi="Verdana" w:cs="Arial"/>
          <w:b/>
          <w:bCs/>
        </w:rPr>
        <w:t xml:space="preserve">se at </w:t>
      </w:r>
      <w:r w:rsidR="00A15555" w:rsidRPr="00204F41">
        <w:rPr>
          <w:rFonts w:ascii="Verdana" w:eastAsia="Malgun Gothic" w:hAnsi="Verdana" w:cs="Arial"/>
          <w:b/>
          <w:bCs/>
        </w:rPr>
        <w:t>P</w:t>
      </w:r>
      <w:r w:rsidRPr="00204F41">
        <w:rPr>
          <w:rFonts w:ascii="Verdana" w:eastAsia="Malgun Gothic" w:hAnsi="Verdana" w:cs="Arial"/>
          <w:b/>
          <w:bCs/>
        </w:rPr>
        <w:t xml:space="preserve">urchasers’ </w:t>
      </w:r>
      <w:r w:rsidR="00A15555" w:rsidRPr="00204F41">
        <w:rPr>
          <w:rFonts w:ascii="Verdana" w:eastAsia="Malgun Gothic" w:hAnsi="Verdana" w:cs="Arial"/>
          <w:b/>
          <w:bCs/>
        </w:rPr>
        <w:t>P</w:t>
      </w:r>
      <w:r w:rsidRPr="00204F41">
        <w:rPr>
          <w:rFonts w:ascii="Verdana" w:eastAsia="Malgun Gothic" w:hAnsi="Verdana" w:cs="Arial"/>
          <w:b/>
          <w:bCs/>
        </w:rPr>
        <w:t xml:space="preserve">rices for </w:t>
      </w:r>
      <w:r w:rsidR="00903ADA" w:rsidRPr="00204F41">
        <w:rPr>
          <w:rFonts w:ascii="Verdana" w:eastAsia="Malgun Gothic" w:hAnsi="Verdana" w:cs="Arial"/>
          <w:b/>
          <w:bCs/>
        </w:rPr>
        <w:t xml:space="preserve">the year </w:t>
      </w:r>
      <w:r w:rsidRPr="00204F41">
        <w:rPr>
          <w:rFonts w:ascii="Verdana" w:eastAsia="Malgun Gothic" w:hAnsi="Verdana" w:cs="Arial"/>
          <w:b/>
          <w:bCs/>
        </w:rPr>
        <w:t>20</w:t>
      </w:r>
      <w:r w:rsidR="00903ADA" w:rsidRPr="00204F41">
        <w:rPr>
          <w:rFonts w:ascii="Verdana" w:eastAsia="Malgun Gothic" w:hAnsi="Verdana" w:cs="Arial"/>
          <w:b/>
          <w:bCs/>
        </w:rPr>
        <w:t>2</w:t>
      </w:r>
      <w:r w:rsidR="00E3798D" w:rsidRPr="00204F41">
        <w:rPr>
          <w:rFonts w:ascii="Verdana" w:eastAsia="Malgun Gothic" w:hAnsi="Verdana" w:cs="Arial"/>
          <w:b/>
          <w:bCs/>
        </w:rPr>
        <w:t>2</w:t>
      </w:r>
      <w:r w:rsidRPr="00204F41">
        <w:rPr>
          <w:rFonts w:ascii="Verdana" w:eastAsia="Malgun Gothic" w:hAnsi="Verdana" w:cs="Arial"/>
          <w:b/>
          <w:bCs/>
        </w:rPr>
        <w:t xml:space="preserve">, </w:t>
      </w:r>
      <w:r w:rsidR="00A15555" w:rsidRPr="00204F41">
        <w:rPr>
          <w:rFonts w:ascii="Verdana" w:eastAsia="Malgun Gothic" w:hAnsi="Verdana" w:cs="Arial"/>
          <w:b/>
          <w:bCs/>
        </w:rPr>
        <w:t>B</w:t>
      </w:r>
      <w:r w:rsidRPr="00204F41">
        <w:rPr>
          <w:rFonts w:ascii="Verdana" w:eastAsia="Malgun Gothic" w:hAnsi="Verdana" w:cs="Arial"/>
          <w:b/>
          <w:bCs/>
        </w:rPr>
        <w:t>alanced at €</w:t>
      </w:r>
      <w:r w:rsidR="00E3798D" w:rsidRPr="00204F41">
        <w:rPr>
          <w:rFonts w:ascii="Verdana" w:eastAsia="Malgun Gothic" w:hAnsi="Verdana" w:cs="Arial"/>
          <w:b/>
          <w:bCs/>
        </w:rPr>
        <w:t>96</w:t>
      </w:r>
      <w:r w:rsidRPr="00204F41">
        <w:rPr>
          <w:rFonts w:ascii="Verdana" w:eastAsia="Malgun Gothic" w:hAnsi="Verdana" w:cs="Arial"/>
          <w:b/>
          <w:bCs/>
        </w:rPr>
        <w:t>.</w:t>
      </w:r>
      <w:r w:rsidR="00E3798D" w:rsidRPr="00204F41">
        <w:rPr>
          <w:rFonts w:ascii="Verdana" w:eastAsia="Malgun Gothic" w:hAnsi="Verdana" w:cs="Arial"/>
          <w:b/>
          <w:bCs/>
        </w:rPr>
        <w:t>6</w:t>
      </w:r>
      <w:r w:rsidR="007426D2" w:rsidRPr="00204F41">
        <w:rPr>
          <w:rFonts w:ascii="Verdana" w:eastAsia="Malgun Gothic" w:hAnsi="Verdana" w:cs="Arial"/>
          <w:b/>
          <w:bCs/>
        </w:rPr>
        <w:t>58</w:t>
      </w:r>
      <w:r w:rsidRPr="00204F41">
        <w:rPr>
          <w:rFonts w:ascii="Verdana" w:eastAsia="Malgun Gothic" w:hAnsi="Verdana" w:cs="Arial"/>
          <w:b/>
          <w:bCs/>
        </w:rPr>
        <w:t>,</w:t>
      </w:r>
      <w:r w:rsidR="00E3798D" w:rsidRPr="00204F41">
        <w:rPr>
          <w:rFonts w:ascii="Verdana" w:eastAsia="Malgun Gothic" w:hAnsi="Verdana" w:cs="Arial"/>
          <w:b/>
          <w:bCs/>
        </w:rPr>
        <w:t>5</w:t>
      </w:r>
      <w:r w:rsidRPr="00204F41">
        <w:rPr>
          <w:rFonts w:ascii="Verdana" w:eastAsia="Malgun Gothic" w:hAnsi="Verdana" w:cs="Arial"/>
          <w:b/>
          <w:bCs/>
        </w:rPr>
        <w:t xml:space="preserve"> mn</w:t>
      </w:r>
    </w:p>
    <w:p w14:paraId="631F4D56" w14:textId="42E6D1E1" w:rsidR="006E18EE" w:rsidRPr="00204F41" w:rsidRDefault="006E18EE" w:rsidP="001A0A44">
      <w:pPr>
        <w:ind w:right="-1"/>
        <w:jc w:val="center"/>
        <w:rPr>
          <w:rFonts w:ascii="Verdana" w:eastAsia="Malgun Gothic" w:hAnsi="Verdana" w:cs="Arial"/>
          <w:b/>
          <w:bCs/>
        </w:rPr>
      </w:pPr>
    </w:p>
    <w:p w14:paraId="3C2511C4" w14:textId="1ECBA47F" w:rsidR="006E18EE" w:rsidRPr="00204F41" w:rsidRDefault="006E18EE" w:rsidP="00FA3DE7">
      <w:pPr>
        <w:jc w:val="both"/>
        <w:rPr>
          <w:rFonts w:ascii="Verdana" w:hAnsi="Verdana" w:cs="Arial"/>
          <w:sz w:val="18"/>
          <w:szCs w:val="18"/>
        </w:rPr>
      </w:pPr>
      <w:r w:rsidRPr="00204F41">
        <w:rPr>
          <w:rFonts w:ascii="Verdana" w:hAnsi="Verdana" w:cs="Arial"/>
          <w:sz w:val="18"/>
          <w:szCs w:val="18"/>
        </w:rPr>
        <w:t xml:space="preserve">The Statistical Service announces the publication of the </w:t>
      </w:r>
      <w:bookmarkStart w:id="1" w:name="_Hlk95898452"/>
      <w:r w:rsidRPr="00204F41">
        <w:rPr>
          <w:rFonts w:ascii="Verdana" w:hAnsi="Verdana" w:cs="Arial"/>
          <w:sz w:val="18"/>
          <w:szCs w:val="18"/>
        </w:rPr>
        <w:t>Supply, Use and Input-Output tables of Cyprus, for the year 20</w:t>
      </w:r>
      <w:bookmarkEnd w:id="1"/>
      <w:r w:rsidR="00903ADA" w:rsidRPr="00204F41">
        <w:rPr>
          <w:rFonts w:ascii="Verdana" w:hAnsi="Verdana" w:cs="Arial"/>
          <w:sz w:val="18"/>
          <w:szCs w:val="18"/>
        </w:rPr>
        <w:t>2</w:t>
      </w:r>
      <w:r w:rsidR="00E3798D" w:rsidRPr="00204F41">
        <w:rPr>
          <w:rFonts w:ascii="Verdana" w:hAnsi="Verdana" w:cs="Arial"/>
          <w:sz w:val="18"/>
          <w:szCs w:val="18"/>
        </w:rPr>
        <w:t>2</w:t>
      </w:r>
      <w:r w:rsidRPr="00204F41">
        <w:rPr>
          <w:rFonts w:ascii="Verdana" w:hAnsi="Verdana" w:cs="Arial"/>
          <w:sz w:val="18"/>
          <w:szCs w:val="18"/>
        </w:rPr>
        <w:t xml:space="preserve"> in current prices and in previous year prices. It is noted that the</w:t>
      </w:r>
      <w:r w:rsidR="003A27A9" w:rsidRPr="00204F41">
        <w:rPr>
          <w:rFonts w:ascii="Verdana" w:hAnsi="Verdana" w:cs="Arial"/>
          <w:sz w:val="18"/>
          <w:szCs w:val="18"/>
        </w:rPr>
        <w:t xml:space="preserve"> data for the year</w:t>
      </w:r>
      <w:r w:rsidR="00E3798D" w:rsidRPr="00204F41">
        <w:rPr>
          <w:rFonts w:ascii="Verdana" w:hAnsi="Verdana" w:cs="Arial"/>
          <w:sz w:val="18"/>
          <w:szCs w:val="18"/>
        </w:rPr>
        <w:t>s</w:t>
      </w:r>
      <w:r w:rsidR="003A27A9" w:rsidRPr="00204F41">
        <w:rPr>
          <w:rFonts w:ascii="Verdana" w:hAnsi="Verdana" w:cs="Arial"/>
          <w:sz w:val="18"/>
          <w:szCs w:val="18"/>
        </w:rPr>
        <w:t xml:space="preserve"> </w:t>
      </w:r>
      <w:r w:rsidR="00E3798D" w:rsidRPr="00204F41">
        <w:rPr>
          <w:rFonts w:ascii="Verdana" w:hAnsi="Verdana" w:cs="Arial"/>
          <w:sz w:val="18"/>
          <w:szCs w:val="18"/>
        </w:rPr>
        <w:t>2018-</w:t>
      </w:r>
      <w:r w:rsidR="003A27A9" w:rsidRPr="00204F41">
        <w:rPr>
          <w:rFonts w:ascii="Verdana" w:hAnsi="Verdana" w:cs="Arial"/>
          <w:sz w:val="18"/>
          <w:szCs w:val="18"/>
        </w:rPr>
        <w:t>20</w:t>
      </w:r>
      <w:r w:rsidR="007426D2" w:rsidRPr="00204F41">
        <w:rPr>
          <w:rFonts w:ascii="Verdana" w:hAnsi="Verdana" w:cs="Arial"/>
          <w:sz w:val="18"/>
          <w:szCs w:val="18"/>
        </w:rPr>
        <w:t>2</w:t>
      </w:r>
      <w:r w:rsidR="00204F41" w:rsidRPr="00204F41">
        <w:rPr>
          <w:rFonts w:ascii="Verdana" w:hAnsi="Verdana" w:cs="Arial"/>
          <w:sz w:val="18"/>
          <w:szCs w:val="18"/>
        </w:rPr>
        <w:t>1</w:t>
      </w:r>
      <w:r w:rsidR="003A27A9" w:rsidRPr="00204F41">
        <w:rPr>
          <w:rFonts w:ascii="Verdana" w:hAnsi="Verdana" w:cs="Arial"/>
          <w:sz w:val="18"/>
          <w:szCs w:val="18"/>
        </w:rPr>
        <w:t xml:space="preserve"> ha</w:t>
      </w:r>
      <w:r w:rsidR="003A7BC6" w:rsidRPr="00204F41">
        <w:rPr>
          <w:rFonts w:ascii="Verdana" w:hAnsi="Verdana" w:cs="Arial"/>
          <w:sz w:val="18"/>
          <w:szCs w:val="18"/>
        </w:rPr>
        <w:t>s</w:t>
      </w:r>
      <w:r w:rsidR="003A27A9" w:rsidRPr="00204F41">
        <w:rPr>
          <w:rFonts w:ascii="Verdana" w:hAnsi="Verdana" w:cs="Arial"/>
          <w:sz w:val="18"/>
          <w:szCs w:val="18"/>
        </w:rPr>
        <w:t xml:space="preserve"> been revised.</w:t>
      </w:r>
    </w:p>
    <w:p w14:paraId="752757BA" w14:textId="212F9894" w:rsidR="006E18EE" w:rsidRPr="00204F41" w:rsidRDefault="006E18EE" w:rsidP="00FA3DE7">
      <w:pPr>
        <w:jc w:val="both"/>
        <w:rPr>
          <w:rFonts w:ascii="Verdana" w:hAnsi="Verdana" w:cs="Arial"/>
          <w:sz w:val="18"/>
          <w:szCs w:val="18"/>
        </w:rPr>
      </w:pPr>
    </w:p>
    <w:p w14:paraId="57E562A5" w14:textId="6A1F47C6" w:rsidR="00972CA0" w:rsidRPr="00204F41" w:rsidRDefault="006E18EE" w:rsidP="00FA3DE7">
      <w:pPr>
        <w:jc w:val="both"/>
        <w:rPr>
          <w:rFonts w:ascii="Verdana" w:hAnsi="Verdana" w:cs="Arial"/>
          <w:sz w:val="18"/>
          <w:szCs w:val="18"/>
        </w:rPr>
      </w:pPr>
      <w:r w:rsidRPr="00204F41">
        <w:rPr>
          <w:rFonts w:ascii="Verdana" w:hAnsi="Verdana" w:cs="Arial"/>
          <w:sz w:val="18"/>
          <w:szCs w:val="18"/>
        </w:rPr>
        <w:t>For the year 20</w:t>
      </w:r>
      <w:r w:rsidR="00903ADA" w:rsidRPr="00204F41">
        <w:rPr>
          <w:rFonts w:ascii="Verdana" w:hAnsi="Verdana" w:cs="Arial"/>
          <w:sz w:val="18"/>
          <w:szCs w:val="18"/>
        </w:rPr>
        <w:t>2</w:t>
      </w:r>
      <w:r w:rsidR="00944AC4" w:rsidRPr="00204F41">
        <w:rPr>
          <w:rFonts w:ascii="Verdana" w:hAnsi="Verdana" w:cs="Arial"/>
          <w:sz w:val="18"/>
          <w:szCs w:val="18"/>
        </w:rPr>
        <w:t>2</w:t>
      </w:r>
      <w:r w:rsidRPr="00204F41">
        <w:rPr>
          <w:rFonts w:ascii="Verdana" w:hAnsi="Verdana" w:cs="Arial"/>
          <w:sz w:val="18"/>
          <w:szCs w:val="18"/>
        </w:rPr>
        <w:t>, total supply and use at purchasers’ prices are balanced at €</w:t>
      </w:r>
      <w:r w:rsidR="00944AC4" w:rsidRPr="00204F41">
        <w:rPr>
          <w:rFonts w:ascii="Verdana" w:hAnsi="Verdana" w:cs="Arial"/>
          <w:sz w:val="18"/>
          <w:szCs w:val="18"/>
        </w:rPr>
        <w:t>96</w:t>
      </w:r>
      <w:r w:rsidRPr="00204F41">
        <w:rPr>
          <w:rFonts w:ascii="Verdana" w:hAnsi="Verdana" w:cs="Arial"/>
          <w:sz w:val="18"/>
          <w:szCs w:val="18"/>
        </w:rPr>
        <w:t>.</w:t>
      </w:r>
      <w:r w:rsidR="00944AC4" w:rsidRPr="00204F41">
        <w:rPr>
          <w:rFonts w:ascii="Verdana" w:hAnsi="Verdana" w:cs="Arial"/>
          <w:sz w:val="18"/>
          <w:szCs w:val="18"/>
        </w:rPr>
        <w:t>6</w:t>
      </w:r>
      <w:r w:rsidR="007426D2" w:rsidRPr="00204F41">
        <w:rPr>
          <w:rFonts w:ascii="Verdana" w:hAnsi="Verdana" w:cs="Arial"/>
          <w:sz w:val="18"/>
          <w:szCs w:val="18"/>
        </w:rPr>
        <w:t>58</w:t>
      </w:r>
      <w:r w:rsidRPr="00204F41">
        <w:rPr>
          <w:rFonts w:ascii="Verdana" w:hAnsi="Verdana" w:cs="Arial"/>
          <w:sz w:val="18"/>
          <w:szCs w:val="18"/>
        </w:rPr>
        <w:t>,</w:t>
      </w:r>
      <w:r w:rsidR="00944AC4" w:rsidRPr="00204F41">
        <w:rPr>
          <w:rFonts w:ascii="Verdana" w:hAnsi="Verdana" w:cs="Arial"/>
          <w:sz w:val="18"/>
          <w:szCs w:val="18"/>
        </w:rPr>
        <w:t>5</w:t>
      </w:r>
      <w:r w:rsidRPr="00204F41">
        <w:rPr>
          <w:rFonts w:ascii="Verdana" w:hAnsi="Verdana" w:cs="Arial"/>
          <w:sz w:val="18"/>
          <w:szCs w:val="18"/>
        </w:rPr>
        <w:t xml:space="preserve"> mn. Business services account for </w:t>
      </w:r>
      <w:r w:rsidR="009C4AA4" w:rsidRPr="00204F41">
        <w:rPr>
          <w:rFonts w:ascii="Verdana" w:hAnsi="Verdana" w:cs="Arial"/>
          <w:sz w:val="18"/>
          <w:szCs w:val="18"/>
        </w:rPr>
        <w:t>4</w:t>
      </w:r>
      <w:r w:rsidR="00944AC4" w:rsidRPr="00204F41">
        <w:rPr>
          <w:rFonts w:ascii="Verdana" w:hAnsi="Verdana" w:cs="Arial"/>
          <w:sz w:val="18"/>
          <w:szCs w:val="18"/>
        </w:rPr>
        <w:t>8</w:t>
      </w:r>
      <w:r w:rsidRPr="00204F41">
        <w:rPr>
          <w:rFonts w:ascii="Verdana" w:hAnsi="Verdana" w:cs="Arial"/>
          <w:sz w:val="18"/>
          <w:szCs w:val="18"/>
        </w:rPr>
        <w:t>,</w:t>
      </w:r>
      <w:r w:rsidR="00944AC4" w:rsidRPr="00204F41">
        <w:rPr>
          <w:rFonts w:ascii="Verdana" w:hAnsi="Verdana" w:cs="Arial"/>
          <w:sz w:val="18"/>
          <w:szCs w:val="18"/>
        </w:rPr>
        <w:t>4</w:t>
      </w:r>
      <w:r w:rsidRPr="00204F41">
        <w:rPr>
          <w:rFonts w:ascii="Verdana" w:hAnsi="Verdana" w:cs="Arial"/>
          <w:sz w:val="18"/>
          <w:szCs w:val="18"/>
        </w:rPr>
        <w:t xml:space="preserve">% of total supply, followed by manufacturing products </w:t>
      </w:r>
      <w:r w:rsidR="009C4AA4" w:rsidRPr="00204F41">
        <w:rPr>
          <w:rFonts w:ascii="Verdana" w:hAnsi="Verdana" w:cs="Arial"/>
          <w:sz w:val="18"/>
          <w:szCs w:val="18"/>
        </w:rPr>
        <w:t>2</w:t>
      </w:r>
      <w:r w:rsidR="00944AC4" w:rsidRPr="00204F41">
        <w:rPr>
          <w:rFonts w:ascii="Verdana" w:hAnsi="Verdana" w:cs="Arial"/>
          <w:sz w:val="18"/>
          <w:szCs w:val="18"/>
        </w:rPr>
        <w:t>5</w:t>
      </w:r>
      <w:r w:rsidRPr="00204F41">
        <w:rPr>
          <w:rFonts w:ascii="Verdana" w:hAnsi="Verdana" w:cs="Arial"/>
          <w:sz w:val="18"/>
          <w:szCs w:val="18"/>
        </w:rPr>
        <w:t>,</w:t>
      </w:r>
      <w:r w:rsidR="00944AC4" w:rsidRPr="00204F41">
        <w:rPr>
          <w:rFonts w:ascii="Verdana" w:hAnsi="Verdana" w:cs="Arial"/>
          <w:sz w:val="18"/>
          <w:szCs w:val="18"/>
        </w:rPr>
        <w:t>1</w:t>
      </w:r>
      <w:r w:rsidRPr="00204F41">
        <w:rPr>
          <w:rFonts w:ascii="Verdana" w:hAnsi="Verdana" w:cs="Arial"/>
          <w:sz w:val="18"/>
          <w:szCs w:val="18"/>
        </w:rPr>
        <w:t>% and distribution &amp; transport services 1</w:t>
      </w:r>
      <w:r w:rsidR="00903ADA" w:rsidRPr="00204F41">
        <w:rPr>
          <w:rFonts w:ascii="Verdana" w:hAnsi="Verdana" w:cs="Arial"/>
          <w:sz w:val="18"/>
          <w:szCs w:val="18"/>
        </w:rPr>
        <w:t>0</w:t>
      </w:r>
      <w:r w:rsidRPr="00204F41">
        <w:rPr>
          <w:rFonts w:ascii="Verdana" w:hAnsi="Verdana" w:cs="Arial"/>
          <w:sz w:val="18"/>
          <w:szCs w:val="18"/>
        </w:rPr>
        <w:t>,</w:t>
      </w:r>
      <w:r w:rsidR="00944AC4" w:rsidRPr="00204F41">
        <w:rPr>
          <w:rFonts w:ascii="Verdana" w:hAnsi="Verdana" w:cs="Arial"/>
          <w:sz w:val="18"/>
          <w:szCs w:val="18"/>
        </w:rPr>
        <w:t>5</w:t>
      </w:r>
      <w:r w:rsidRPr="00204F41">
        <w:rPr>
          <w:rFonts w:ascii="Verdana" w:hAnsi="Verdana" w:cs="Arial"/>
          <w:sz w:val="18"/>
          <w:szCs w:val="18"/>
        </w:rPr>
        <w:t xml:space="preserve">%. The share of other services in total supply is </w:t>
      </w:r>
      <w:r w:rsidR="00944AC4" w:rsidRPr="00204F41">
        <w:rPr>
          <w:rFonts w:ascii="Verdana" w:hAnsi="Verdana" w:cs="Arial"/>
          <w:sz w:val="18"/>
          <w:szCs w:val="18"/>
        </w:rPr>
        <w:t>8</w:t>
      </w:r>
      <w:r w:rsidRPr="00204F41">
        <w:rPr>
          <w:rFonts w:ascii="Verdana" w:hAnsi="Verdana" w:cs="Arial"/>
          <w:sz w:val="18"/>
          <w:szCs w:val="18"/>
        </w:rPr>
        <w:t>,</w:t>
      </w:r>
      <w:r w:rsidR="00944AC4" w:rsidRPr="00204F41">
        <w:rPr>
          <w:rFonts w:ascii="Verdana" w:hAnsi="Verdana" w:cs="Arial"/>
          <w:sz w:val="18"/>
          <w:szCs w:val="18"/>
        </w:rPr>
        <w:t>4</w:t>
      </w:r>
      <w:r w:rsidRPr="00204F41">
        <w:rPr>
          <w:rFonts w:ascii="Verdana" w:hAnsi="Verdana" w:cs="Arial"/>
          <w:sz w:val="18"/>
          <w:szCs w:val="18"/>
        </w:rPr>
        <w:t xml:space="preserve">%, of construction works </w:t>
      </w:r>
      <w:r w:rsidR="000C6C22" w:rsidRPr="00204F41">
        <w:rPr>
          <w:rFonts w:ascii="Verdana" w:hAnsi="Verdana" w:cs="Arial"/>
          <w:sz w:val="18"/>
          <w:szCs w:val="18"/>
        </w:rPr>
        <w:t>6</w:t>
      </w:r>
      <w:r w:rsidRPr="00204F41">
        <w:rPr>
          <w:rFonts w:ascii="Verdana" w:hAnsi="Verdana" w:cs="Arial"/>
          <w:sz w:val="18"/>
          <w:szCs w:val="18"/>
        </w:rPr>
        <w:t>,</w:t>
      </w:r>
      <w:r w:rsidR="000C6C22" w:rsidRPr="00204F41">
        <w:rPr>
          <w:rFonts w:ascii="Verdana" w:hAnsi="Verdana" w:cs="Arial"/>
          <w:sz w:val="18"/>
          <w:szCs w:val="18"/>
        </w:rPr>
        <w:t>2</w:t>
      </w:r>
      <w:r w:rsidRPr="00204F41">
        <w:rPr>
          <w:rFonts w:ascii="Verdana" w:hAnsi="Verdana" w:cs="Arial"/>
          <w:sz w:val="18"/>
          <w:szCs w:val="18"/>
        </w:rPr>
        <w:t>% and of agriculture, forestry &amp; fishing products 1,</w:t>
      </w:r>
      <w:r w:rsidR="000C6C22" w:rsidRPr="00204F41">
        <w:rPr>
          <w:rFonts w:ascii="Verdana" w:hAnsi="Verdana" w:cs="Arial"/>
          <w:sz w:val="18"/>
          <w:szCs w:val="18"/>
        </w:rPr>
        <w:t>4</w:t>
      </w:r>
      <w:r w:rsidRPr="00204F41">
        <w:rPr>
          <w:rFonts w:ascii="Verdana" w:hAnsi="Verdana" w:cs="Arial"/>
          <w:sz w:val="18"/>
          <w:szCs w:val="18"/>
        </w:rPr>
        <w:t>%.</w:t>
      </w:r>
      <w:r w:rsidR="00D848FB">
        <w:rPr>
          <w:rFonts w:ascii="Verdana" w:hAnsi="Verdana" w:cs="Arial"/>
          <w:sz w:val="18"/>
          <w:szCs w:val="18"/>
        </w:rPr>
        <w:t xml:space="preserve"> (Figure 1)</w:t>
      </w:r>
    </w:p>
    <w:p w14:paraId="2C1DF38E" w14:textId="14154FED" w:rsidR="00660CA4" w:rsidRPr="00204F41" w:rsidRDefault="00660CA4" w:rsidP="006E18EE">
      <w:pPr>
        <w:ind w:right="-1"/>
        <w:jc w:val="both"/>
        <w:rPr>
          <w:rFonts w:ascii="Verdana" w:hAnsi="Verdana" w:cs="Arial"/>
          <w:sz w:val="18"/>
          <w:szCs w:val="18"/>
        </w:rPr>
      </w:pPr>
    </w:p>
    <w:p w14:paraId="5D9892AF" w14:textId="77777777" w:rsidR="00C858E7" w:rsidRPr="00204F41" w:rsidRDefault="00C858E7" w:rsidP="006E18EE">
      <w:pPr>
        <w:ind w:right="-1"/>
        <w:jc w:val="both"/>
        <w:rPr>
          <w:rFonts w:ascii="Verdana" w:hAnsi="Verdana" w:cs="Arial"/>
          <w:sz w:val="18"/>
          <w:szCs w:val="18"/>
        </w:rPr>
      </w:pPr>
    </w:p>
    <w:p w14:paraId="10A7F990" w14:textId="7E78C89D" w:rsidR="00660CA4" w:rsidRPr="00204F41" w:rsidRDefault="00E8086A" w:rsidP="002672E2">
      <w:pPr>
        <w:ind w:right="-1"/>
        <w:jc w:val="center"/>
        <w:rPr>
          <w:rFonts w:ascii="Verdana" w:hAnsi="Verdana" w:cs="Arial"/>
          <w:sz w:val="18"/>
          <w:szCs w:val="18"/>
        </w:rPr>
      </w:pPr>
      <w:r w:rsidRPr="00204F41">
        <w:rPr>
          <w:rFonts w:ascii="Verdana" w:hAnsi="Verdana" w:cs="Arial"/>
          <w:noProof/>
          <w:sz w:val="18"/>
          <w:szCs w:val="18"/>
        </w:rPr>
        <w:drawing>
          <wp:inline distT="0" distB="0" distL="0" distR="0" wp14:anchorId="69B4E197" wp14:editId="1DB8F87E">
            <wp:extent cx="6115050" cy="4737100"/>
            <wp:effectExtent l="0" t="0" r="0" b="6350"/>
            <wp:docPr id="2838801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737100"/>
                    </a:xfrm>
                    <a:prstGeom prst="rect">
                      <a:avLst/>
                    </a:prstGeom>
                    <a:noFill/>
                  </pic:spPr>
                </pic:pic>
              </a:graphicData>
            </a:graphic>
          </wp:inline>
        </w:drawing>
      </w:r>
    </w:p>
    <w:p w14:paraId="506DE893" w14:textId="28233DDC" w:rsidR="00E361C3" w:rsidRPr="00204F41" w:rsidRDefault="00E361C3" w:rsidP="006E18EE">
      <w:pPr>
        <w:ind w:right="-1"/>
        <w:jc w:val="both"/>
        <w:rPr>
          <w:rFonts w:ascii="Verdana" w:hAnsi="Verdana" w:cs="Arial"/>
          <w:sz w:val="18"/>
          <w:szCs w:val="18"/>
        </w:rPr>
      </w:pPr>
    </w:p>
    <w:p w14:paraId="03B44AFF" w14:textId="6467F56E" w:rsidR="00326594" w:rsidRPr="00204F41" w:rsidRDefault="00326594" w:rsidP="00326594">
      <w:pPr>
        <w:jc w:val="both"/>
        <w:rPr>
          <w:rFonts w:ascii="Verdana" w:hAnsi="Verdana" w:cs="Arial"/>
          <w:sz w:val="18"/>
          <w:szCs w:val="18"/>
        </w:rPr>
      </w:pPr>
      <w:r w:rsidRPr="00204F41">
        <w:rPr>
          <w:rFonts w:ascii="Verdana" w:hAnsi="Verdana" w:cs="Arial"/>
          <w:sz w:val="18"/>
          <w:szCs w:val="18"/>
        </w:rPr>
        <w:lastRenderedPageBreak/>
        <w:t xml:space="preserve">The table </w:t>
      </w:r>
      <w:r w:rsidR="00D848FB">
        <w:rPr>
          <w:rFonts w:ascii="Verdana" w:hAnsi="Verdana" w:cs="Arial"/>
          <w:sz w:val="18"/>
          <w:szCs w:val="18"/>
        </w:rPr>
        <w:t xml:space="preserve">1 </w:t>
      </w:r>
      <w:r w:rsidRPr="00204F41">
        <w:rPr>
          <w:rFonts w:ascii="Verdana" w:hAnsi="Verdana" w:cs="Arial"/>
          <w:sz w:val="18"/>
          <w:szCs w:val="18"/>
        </w:rPr>
        <w:t xml:space="preserve">below </w:t>
      </w:r>
      <w:r w:rsidR="008E568D" w:rsidRPr="00204F41">
        <w:rPr>
          <w:rFonts w:ascii="Verdana" w:hAnsi="Verdana" w:cs="Arial"/>
          <w:sz w:val="18"/>
          <w:szCs w:val="18"/>
        </w:rPr>
        <w:t>presents</w:t>
      </w:r>
      <w:r w:rsidRPr="00204F41">
        <w:rPr>
          <w:rFonts w:ascii="Verdana" w:hAnsi="Verdana" w:cs="Arial"/>
          <w:sz w:val="18"/>
          <w:szCs w:val="18"/>
        </w:rPr>
        <w:t xml:space="preserve"> an aggregated version of the 20</w:t>
      </w:r>
      <w:r w:rsidR="00C858E7" w:rsidRPr="00204F41">
        <w:rPr>
          <w:rFonts w:ascii="Verdana" w:hAnsi="Verdana" w:cs="Arial"/>
          <w:sz w:val="18"/>
          <w:szCs w:val="18"/>
        </w:rPr>
        <w:t>2</w:t>
      </w:r>
      <w:r w:rsidR="00487975" w:rsidRPr="00204F41">
        <w:rPr>
          <w:rFonts w:ascii="Verdana" w:hAnsi="Verdana" w:cs="Arial"/>
          <w:sz w:val="18"/>
          <w:szCs w:val="18"/>
        </w:rPr>
        <w:t>2</w:t>
      </w:r>
      <w:r w:rsidRPr="00204F41">
        <w:rPr>
          <w:rFonts w:ascii="Verdana" w:hAnsi="Verdana" w:cs="Arial"/>
          <w:sz w:val="18"/>
          <w:szCs w:val="18"/>
        </w:rPr>
        <w:t xml:space="preserve"> Supply table at current prices. Total domestic production in basic prices is €</w:t>
      </w:r>
      <w:r w:rsidR="005713B3" w:rsidRPr="00204F41">
        <w:rPr>
          <w:rFonts w:ascii="Verdana" w:hAnsi="Verdana" w:cs="Arial"/>
          <w:sz w:val="18"/>
          <w:szCs w:val="18"/>
        </w:rPr>
        <w:t>64</w:t>
      </w:r>
      <w:r w:rsidRPr="00204F41">
        <w:rPr>
          <w:rFonts w:ascii="Verdana" w:hAnsi="Verdana" w:cs="Arial"/>
          <w:sz w:val="18"/>
          <w:szCs w:val="18"/>
        </w:rPr>
        <w:t>.</w:t>
      </w:r>
      <w:r w:rsidR="0071359C" w:rsidRPr="00204F41">
        <w:rPr>
          <w:rFonts w:ascii="Verdana" w:hAnsi="Verdana" w:cs="Arial"/>
          <w:sz w:val="18"/>
          <w:szCs w:val="18"/>
        </w:rPr>
        <w:t>3</w:t>
      </w:r>
      <w:r w:rsidR="005713B3" w:rsidRPr="00204F41">
        <w:rPr>
          <w:rFonts w:ascii="Verdana" w:hAnsi="Verdana" w:cs="Arial"/>
          <w:sz w:val="18"/>
          <w:szCs w:val="18"/>
        </w:rPr>
        <w:t>8</w:t>
      </w:r>
      <w:r w:rsidR="0071359C" w:rsidRPr="00204F41">
        <w:rPr>
          <w:rFonts w:ascii="Verdana" w:hAnsi="Verdana" w:cs="Arial"/>
          <w:sz w:val="18"/>
          <w:szCs w:val="18"/>
        </w:rPr>
        <w:t>1</w:t>
      </w:r>
      <w:r w:rsidRPr="00204F41">
        <w:rPr>
          <w:rFonts w:ascii="Verdana" w:hAnsi="Verdana" w:cs="Arial"/>
          <w:sz w:val="18"/>
          <w:szCs w:val="18"/>
        </w:rPr>
        <w:t>,</w:t>
      </w:r>
      <w:r w:rsidR="005713B3" w:rsidRPr="00204F41">
        <w:rPr>
          <w:rFonts w:ascii="Verdana" w:hAnsi="Verdana" w:cs="Arial"/>
          <w:sz w:val="18"/>
          <w:szCs w:val="18"/>
        </w:rPr>
        <w:t>7</w:t>
      </w:r>
      <w:r w:rsidRPr="00204F41">
        <w:rPr>
          <w:rFonts w:ascii="Verdana" w:hAnsi="Verdana" w:cs="Arial"/>
          <w:sz w:val="18"/>
          <w:szCs w:val="18"/>
        </w:rPr>
        <w:t xml:space="preserve"> mn in 20</w:t>
      </w:r>
      <w:r w:rsidR="00C858E7" w:rsidRPr="00204F41">
        <w:rPr>
          <w:rFonts w:ascii="Verdana" w:hAnsi="Verdana" w:cs="Arial"/>
          <w:sz w:val="18"/>
          <w:szCs w:val="18"/>
        </w:rPr>
        <w:t>2</w:t>
      </w:r>
      <w:r w:rsidR="005713B3" w:rsidRPr="00204F41">
        <w:rPr>
          <w:rFonts w:ascii="Verdana" w:hAnsi="Verdana" w:cs="Arial"/>
          <w:sz w:val="18"/>
          <w:szCs w:val="18"/>
        </w:rPr>
        <w:t>2</w:t>
      </w:r>
      <w:r w:rsidRPr="00204F41">
        <w:rPr>
          <w:rFonts w:ascii="Verdana" w:hAnsi="Verdana" w:cs="Arial"/>
          <w:sz w:val="18"/>
          <w:szCs w:val="18"/>
        </w:rPr>
        <w:t>, total imports €</w:t>
      </w:r>
      <w:r w:rsidR="0071359C" w:rsidRPr="00204F41">
        <w:rPr>
          <w:rFonts w:ascii="Verdana" w:hAnsi="Verdana" w:cs="Arial"/>
          <w:sz w:val="18"/>
          <w:szCs w:val="18"/>
        </w:rPr>
        <w:t>2</w:t>
      </w:r>
      <w:r w:rsidR="005713B3" w:rsidRPr="00204F41">
        <w:rPr>
          <w:rFonts w:ascii="Verdana" w:hAnsi="Verdana" w:cs="Arial"/>
          <w:sz w:val="18"/>
          <w:szCs w:val="18"/>
        </w:rPr>
        <w:t>8</w:t>
      </w:r>
      <w:r w:rsidRPr="00204F41">
        <w:rPr>
          <w:rFonts w:ascii="Verdana" w:hAnsi="Verdana" w:cs="Arial"/>
          <w:sz w:val="18"/>
          <w:szCs w:val="18"/>
        </w:rPr>
        <w:t>.</w:t>
      </w:r>
      <w:r w:rsidR="005713B3" w:rsidRPr="00204F41">
        <w:rPr>
          <w:rFonts w:ascii="Verdana" w:hAnsi="Verdana" w:cs="Arial"/>
          <w:sz w:val="18"/>
          <w:szCs w:val="18"/>
        </w:rPr>
        <w:t>932</w:t>
      </w:r>
      <w:r w:rsidRPr="00204F41">
        <w:rPr>
          <w:rFonts w:ascii="Verdana" w:hAnsi="Verdana" w:cs="Arial"/>
          <w:sz w:val="18"/>
          <w:szCs w:val="18"/>
        </w:rPr>
        <w:t>,</w:t>
      </w:r>
      <w:r w:rsidR="005713B3" w:rsidRPr="00204F41">
        <w:rPr>
          <w:rFonts w:ascii="Verdana" w:hAnsi="Verdana" w:cs="Arial"/>
          <w:sz w:val="18"/>
          <w:szCs w:val="18"/>
        </w:rPr>
        <w:t>0</w:t>
      </w:r>
      <w:r w:rsidRPr="00204F41">
        <w:rPr>
          <w:rFonts w:ascii="Verdana" w:hAnsi="Verdana" w:cs="Arial"/>
          <w:sz w:val="18"/>
          <w:szCs w:val="18"/>
        </w:rPr>
        <w:t xml:space="preserve"> mn and net taxes on products €</w:t>
      </w:r>
      <w:r w:rsidR="005713B3" w:rsidRPr="00204F41">
        <w:rPr>
          <w:rFonts w:ascii="Verdana" w:hAnsi="Verdana" w:cs="Arial"/>
          <w:sz w:val="18"/>
          <w:szCs w:val="18"/>
        </w:rPr>
        <w:t>3</w:t>
      </w:r>
      <w:r w:rsidRPr="00204F41">
        <w:rPr>
          <w:rFonts w:ascii="Verdana" w:hAnsi="Verdana" w:cs="Arial"/>
          <w:sz w:val="18"/>
          <w:szCs w:val="18"/>
        </w:rPr>
        <w:t>.</w:t>
      </w:r>
      <w:r w:rsidR="005713B3" w:rsidRPr="00204F41">
        <w:rPr>
          <w:rFonts w:ascii="Verdana" w:hAnsi="Verdana" w:cs="Arial"/>
          <w:sz w:val="18"/>
          <w:szCs w:val="18"/>
        </w:rPr>
        <w:t>344</w:t>
      </w:r>
      <w:r w:rsidRPr="00204F41">
        <w:rPr>
          <w:rFonts w:ascii="Verdana" w:hAnsi="Verdana" w:cs="Arial"/>
          <w:sz w:val="18"/>
          <w:szCs w:val="18"/>
        </w:rPr>
        <w:t>,</w:t>
      </w:r>
      <w:r w:rsidR="005713B3" w:rsidRPr="00204F41">
        <w:rPr>
          <w:rFonts w:ascii="Verdana" w:hAnsi="Verdana" w:cs="Arial"/>
          <w:sz w:val="18"/>
          <w:szCs w:val="18"/>
        </w:rPr>
        <w:t>8</w:t>
      </w:r>
      <w:r w:rsidRPr="00204F41">
        <w:rPr>
          <w:rFonts w:ascii="Verdana" w:hAnsi="Verdana" w:cs="Arial"/>
          <w:sz w:val="18"/>
          <w:szCs w:val="18"/>
        </w:rPr>
        <w:t xml:space="preserve"> mn.</w:t>
      </w:r>
    </w:p>
    <w:tbl>
      <w:tblPr>
        <w:tblpPr w:leftFromText="180" w:rightFromText="180" w:vertAnchor="page" w:horzAnchor="margin" w:tblpXSpec="center" w:tblpY="1621"/>
        <w:tblW w:w="10093" w:type="dxa"/>
        <w:tblLook w:val="04A0" w:firstRow="1" w:lastRow="0" w:firstColumn="1" w:lastColumn="0" w:noHBand="0" w:noVBand="1"/>
      </w:tblPr>
      <w:tblGrid>
        <w:gridCol w:w="3832"/>
        <w:gridCol w:w="1331"/>
        <w:gridCol w:w="1235"/>
        <w:gridCol w:w="1180"/>
        <w:gridCol w:w="1181"/>
        <w:gridCol w:w="1334"/>
      </w:tblGrid>
      <w:tr w:rsidR="00FA3DE7" w:rsidRPr="00FA3DE7" w14:paraId="350506DD" w14:textId="77777777" w:rsidTr="00982737">
        <w:trPr>
          <w:trHeight w:val="300"/>
        </w:trPr>
        <w:tc>
          <w:tcPr>
            <w:tcW w:w="9639" w:type="dxa"/>
            <w:gridSpan w:val="6"/>
            <w:tcBorders>
              <w:top w:val="nil"/>
              <w:left w:val="nil"/>
              <w:bottom w:val="single" w:sz="4" w:space="0" w:color="2F5496" w:themeColor="accent1" w:themeShade="BF"/>
              <w:right w:val="nil"/>
            </w:tcBorders>
            <w:noWrap/>
            <w:vAlign w:val="center"/>
            <w:hideMark/>
          </w:tcPr>
          <w:p w14:paraId="1AC28F6D" w14:textId="164C2775" w:rsidR="00326594" w:rsidRPr="00FA3DE7" w:rsidRDefault="00982737" w:rsidP="00982737">
            <w:pPr>
              <w:spacing w:line="276" w:lineRule="auto"/>
              <w:ind w:right="-113"/>
              <w:jc w:val="both"/>
              <w:rPr>
                <w:rFonts w:ascii="Verdana" w:eastAsia="Times New Roman" w:hAnsi="Verdana" w:cs="Arial"/>
                <w:color w:val="366092"/>
                <w:sz w:val="18"/>
                <w:szCs w:val="18"/>
              </w:rPr>
            </w:pPr>
            <w:r w:rsidRPr="00FA3DE7">
              <w:rPr>
                <w:rFonts w:ascii="Verdana" w:eastAsia="Malgun Gothic" w:hAnsi="Verdana" w:cs="Arial"/>
                <w:color w:val="366092"/>
                <w:sz w:val="18"/>
                <w:szCs w:val="18"/>
              </w:rPr>
              <w:t xml:space="preserve">Table 1: </w:t>
            </w:r>
            <w:r w:rsidR="00326594" w:rsidRPr="00FA3DE7">
              <w:rPr>
                <w:rFonts w:ascii="Verdana" w:eastAsia="Malgun Gothic" w:hAnsi="Verdana" w:cs="Arial"/>
                <w:color w:val="366092"/>
                <w:sz w:val="18"/>
                <w:szCs w:val="18"/>
              </w:rPr>
              <w:t>Supply, 20</w:t>
            </w:r>
            <w:r w:rsidR="00C858E7" w:rsidRPr="00FA3DE7">
              <w:rPr>
                <w:rFonts w:ascii="Verdana" w:eastAsia="Malgun Gothic" w:hAnsi="Verdana" w:cs="Arial"/>
                <w:color w:val="366092"/>
                <w:sz w:val="18"/>
                <w:szCs w:val="18"/>
              </w:rPr>
              <w:t>2</w:t>
            </w:r>
            <w:r w:rsidR="00C84736" w:rsidRPr="00FA3DE7">
              <w:rPr>
                <w:rFonts w:ascii="Verdana" w:eastAsia="Malgun Gothic" w:hAnsi="Verdana" w:cs="Arial"/>
                <w:color w:val="366092"/>
                <w:sz w:val="18"/>
                <w:szCs w:val="18"/>
              </w:rPr>
              <w:t>2</w:t>
            </w:r>
            <w:r w:rsidR="00326594" w:rsidRPr="00FA3DE7">
              <w:rPr>
                <w:rFonts w:ascii="Verdana" w:eastAsia="Malgun Gothic" w:hAnsi="Verdana" w:cs="Arial"/>
                <w:color w:val="366092"/>
                <w:sz w:val="18"/>
                <w:szCs w:val="18"/>
              </w:rPr>
              <w:t xml:space="preserve"> €mn</w:t>
            </w:r>
          </w:p>
        </w:tc>
      </w:tr>
      <w:tr w:rsidR="00FA3DE7" w:rsidRPr="00FA3DE7" w14:paraId="0A79BCB6" w14:textId="77777777" w:rsidTr="00FA3DE7">
        <w:trPr>
          <w:trHeight w:val="826"/>
        </w:trPr>
        <w:tc>
          <w:tcPr>
            <w:tcW w:w="3681" w:type="dxa"/>
            <w:tcBorders>
              <w:top w:val="single" w:sz="4" w:space="0" w:color="366092"/>
              <w:bottom w:val="single" w:sz="4" w:space="0" w:color="366092"/>
            </w:tcBorders>
            <w:noWrap/>
            <w:vAlign w:val="center"/>
            <w:hideMark/>
          </w:tcPr>
          <w:p w14:paraId="1CE523F4" w14:textId="77777777" w:rsidR="00326594" w:rsidRPr="00FA3DE7" w:rsidRDefault="00326594" w:rsidP="00326594">
            <w:pPr>
              <w:spacing w:line="276" w:lineRule="auto"/>
              <w:ind w:left="-247"/>
              <w:jc w:val="center"/>
              <w:rPr>
                <w:rFonts w:ascii="Verdana" w:eastAsia="Times New Roman" w:hAnsi="Verdana" w:cs="Calibri"/>
                <w:b/>
                <w:bCs/>
                <w:color w:val="366092"/>
                <w:sz w:val="17"/>
                <w:szCs w:val="17"/>
              </w:rPr>
            </w:pPr>
            <w:r w:rsidRPr="00FA3DE7">
              <w:rPr>
                <w:rFonts w:ascii="Verdana" w:eastAsia="Malgun Gothic" w:hAnsi="Verdana" w:cs="Arial"/>
                <w:b/>
                <w:color w:val="366092"/>
                <w:sz w:val="17"/>
                <w:szCs w:val="17"/>
              </w:rPr>
              <w:t>Product Categories (CPA)</w:t>
            </w:r>
          </w:p>
        </w:tc>
        <w:tc>
          <w:tcPr>
            <w:tcW w:w="1278" w:type="dxa"/>
            <w:tcBorders>
              <w:top w:val="single" w:sz="4" w:space="0" w:color="2F5496" w:themeColor="accent1" w:themeShade="BF"/>
              <w:bottom w:val="single" w:sz="4" w:space="0" w:color="2F5496" w:themeColor="accent1" w:themeShade="BF"/>
            </w:tcBorders>
            <w:vAlign w:val="center"/>
            <w:hideMark/>
          </w:tcPr>
          <w:p w14:paraId="1DA10F0D" w14:textId="77777777" w:rsidR="00326594" w:rsidRPr="00FA3DE7" w:rsidRDefault="00326594" w:rsidP="00326594">
            <w:pPr>
              <w:spacing w:line="276" w:lineRule="auto"/>
              <w:ind w:left="-142"/>
              <w:jc w:val="center"/>
              <w:rPr>
                <w:rFonts w:ascii="Verdana" w:eastAsia="Malgun Gothic" w:hAnsi="Verdana" w:cs="Arial"/>
                <w:b/>
                <w:color w:val="366092"/>
                <w:sz w:val="17"/>
                <w:szCs w:val="17"/>
              </w:rPr>
            </w:pPr>
            <w:r w:rsidRPr="00FA3DE7">
              <w:rPr>
                <w:rFonts w:ascii="Verdana" w:eastAsia="Malgun Gothic" w:hAnsi="Verdana" w:cs="Arial"/>
                <w:b/>
                <w:color w:val="366092"/>
                <w:sz w:val="17"/>
                <w:szCs w:val="17"/>
              </w:rPr>
              <w:t>Domestic Production</w:t>
            </w:r>
          </w:p>
        </w:tc>
        <w:tc>
          <w:tcPr>
            <w:tcW w:w="1137" w:type="dxa"/>
            <w:tcBorders>
              <w:top w:val="single" w:sz="4" w:space="0" w:color="2F5496" w:themeColor="accent1" w:themeShade="BF"/>
              <w:bottom w:val="single" w:sz="4" w:space="0" w:color="2F5496" w:themeColor="accent1" w:themeShade="BF"/>
            </w:tcBorders>
            <w:vAlign w:val="center"/>
            <w:hideMark/>
          </w:tcPr>
          <w:p w14:paraId="46CB1D2B" w14:textId="77777777" w:rsidR="00326594" w:rsidRPr="00FA3DE7" w:rsidRDefault="00326594" w:rsidP="00326594">
            <w:pPr>
              <w:spacing w:line="276" w:lineRule="auto"/>
              <w:ind w:left="-142"/>
              <w:jc w:val="center"/>
              <w:rPr>
                <w:rFonts w:ascii="Verdana" w:eastAsia="Malgun Gothic" w:hAnsi="Verdana" w:cs="Arial"/>
                <w:b/>
                <w:color w:val="366092"/>
                <w:sz w:val="17"/>
                <w:szCs w:val="17"/>
              </w:rPr>
            </w:pPr>
            <w:r w:rsidRPr="00FA3DE7">
              <w:rPr>
                <w:rFonts w:ascii="Verdana" w:eastAsia="Malgun Gothic" w:hAnsi="Verdana" w:cs="Arial"/>
                <w:b/>
                <w:color w:val="366092"/>
                <w:sz w:val="17"/>
                <w:szCs w:val="17"/>
              </w:rPr>
              <w:t>Imports</w:t>
            </w:r>
          </w:p>
        </w:tc>
        <w:tc>
          <w:tcPr>
            <w:tcW w:w="1134" w:type="dxa"/>
            <w:tcBorders>
              <w:top w:val="single" w:sz="4" w:space="0" w:color="2F5496" w:themeColor="accent1" w:themeShade="BF"/>
              <w:bottom w:val="single" w:sz="4" w:space="0" w:color="2F5496" w:themeColor="accent1" w:themeShade="BF"/>
            </w:tcBorders>
            <w:vAlign w:val="center"/>
            <w:hideMark/>
          </w:tcPr>
          <w:p w14:paraId="792AE457" w14:textId="77777777" w:rsidR="00326594" w:rsidRPr="00FA3DE7" w:rsidRDefault="00326594" w:rsidP="00326594">
            <w:pPr>
              <w:spacing w:line="276" w:lineRule="auto"/>
              <w:ind w:left="-142"/>
              <w:jc w:val="center"/>
              <w:rPr>
                <w:rFonts w:ascii="Verdana" w:eastAsia="Malgun Gothic" w:hAnsi="Verdana" w:cs="Arial"/>
                <w:b/>
                <w:color w:val="366092"/>
                <w:sz w:val="17"/>
                <w:szCs w:val="17"/>
              </w:rPr>
            </w:pPr>
            <w:r w:rsidRPr="00FA3DE7">
              <w:rPr>
                <w:rFonts w:ascii="Verdana" w:eastAsia="Malgun Gothic" w:hAnsi="Verdana" w:cs="Arial"/>
                <w:b/>
                <w:color w:val="366092"/>
                <w:sz w:val="17"/>
                <w:szCs w:val="17"/>
              </w:rPr>
              <w:t>Trade Margins</w:t>
            </w:r>
          </w:p>
        </w:tc>
        <w:tc>
          <w:tcPr>
            <w:tcW w:w="1135" w:type="dxa"/>
            <w:tcBorders>
              <w:top w:val="single" w:sz="4" w:space="0" w:color="2F5496" w:themeColor="accent1" w:themeShade="BF"/>
              <w:bottom w:val="single" w:sz="4" w:space="0" w:color="2F5496" w:themeColor="accent1" w:themeShade="BF"/>
            </w:tcBorders>
            <w:vAlign w:val="center"/>
            <w:hideMark/>
          </w:tcPr>
          <w:p w14:paraId="7D86E91E" w14:textId="77777777" w:rsidR="00326594" w:rsidRPr="00FA3DE7" w:rsidRDefault="00326594" w:rsidP="00326594">
            <w:pPr>
              <w:spacing w:line="276" w:lineRule="auto"/>
              <w:ind w:left="-142"/>
              <w:jc w:val="center"/>
              <w:rPr>
                <w:rFonts w:ascii="Verdana" w:eastAsia="Malgun Gothic" w:hAnsi="Verdana" w:cs="Arial"/>
                <w:b/>
                <w:color w:val="366092"/>
                <w:sz w:val="17"/>
                <w:szCs w:val="17"/>
              </w:rPr>
            </w:pPr>
            <w:r w:rsidRPr="00FA3DE7">
              <w:rPr>
                <w:rFonts w:ascii="Verdana" w:eastAsia="Malgun Gothic" w:hAnsi="Verdana" w:cs="Arial"/>
                <w:b/>
                <w:color w:val="366092"/>
                <w:sz w:val="17"/>
                <w:szCs w:val="17"/>
              </w:rPr>
              <w:t>Net Taxes on Products</w:t>
            </w:r>
          </w:p>
        </w:tc>
        <w:tc>
          <w:tcPr>
            <w:tcW w:w="1274" w:type="dxa"/>
            <w:tcBorders>
              <w:top w:val="single" w:sz="4" w:space="0" w:color="2F5496" w:themeColor="accent1" w:themeShade="BF"/>
              <w:bottom w:val="single" w:sz="4" w:space="0" w:color="2F5496" w:themeColor="accent1" w:themeShade="BF"/>
            </w:tcBorders>
            <w:vAlign w:val="center"/>
            <w:hideMark/>
          </w:tcPr>
          <w:p w14:paraId="3BAA2C7E" w14:textId="5FC418CA" w:rsidR="00326594" w:rsidRPr="00FA3DE7" w:rsidRDefault="00C858E7" w:rsidP="009C2DE2">
            <w:pPr>
              <w:spacing w:line="276" w:lineRule="auto"/>
              <w:ind w:left="-142"/>
              <w:jc w:val="center"/>
              <w:rPr>
                <w:rFonts w:ascii="Verdana" w:eastAsia="Malgun Gothic" w:hAnsi="Verdana" w:cs="Arial"/>
                <w:b/>
                <w:color w:val="366092"/>
                <w:sz w:val="17"/>
                <w:szCs w:val="17"/>
              </w:rPr>
            </w:pPr>
            <w:r w:rsidRPr="00FA3DE7">
              <w:rPr>
                <w:rFonts w:ascii="Verdana" w:eastAsia="Malgun Gothic" w:hAnsi="Verdana" w:cs="Arial"/>
                <w:b/>
                <w:color w:val="366092"/>
                <w:sz w:val="17"/>
                <w:szCs w:val="17"/>
              </w:rPr>
              <w:t xml:space="preserve"> </w:t>
            </w:r>
            <w:r w:rsidR="00326594" w:rsidRPr="00FA3DE7">
              <w:rPr>
                <w:rFonts w:ascii="Verdana" w:eastAsia="Malgun Gothic" w:hAnsi="Verdana" w:cs="Arial"/>
                <w:b/>
                <w:color w:val="366092"/>
                <w:sz w:val="17"/>
                <w:szCs w:val="17"/>
              </w:rPr>
              <w:t>Total Supply (purchasers' prices)</w:t>
            </w:r>
          </w:p>
        </w:tc>
      </w:tr>
      <w:tr w:rsidR="00FA3DE7" w:rsidRPr="00FA3DE7" w14:paraId="2FE0766D" w14:textId="77777777" w:rsidTr="00FA3DE7">
        <w:trPr>
          <w:trHeight w:val="300"/>
        </w:trPr>
        <w:tc>
          <w:tcPr>
            <w:tcW w:w="3681" w:type="dxa"/>
            <w:tcBorders>
              <w:top w:val="single" w:sz="4" w:space="0" w:color="366092"/>
              <w:bottom w:val="nil"/>
            </w:tcBorders>
            <w:noWrap/>
            <w:vAlign w:val="center"/>
            <w:hideMark/>
          </w:tcPr>
          <w:p w14:paraId="7B494AE9"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Agriculture, forestry &amp; fishing (CPA 01-03)</w:t>
            </w:r>
          </w:p>
        </w:tc>
        <w:tc>
          <w:tcPr>
            <w:tcW w:w="1278" w:type="dxa"/>
            <w:tcBorders>
              <w:top w:val="single" w:sz="4" w:space="0" w:color="2F5496" w:themeColor="accent1" w:themeShade="BF"/>
              <w:bottom w:val="nil"/>
            </w:tcBorders>
            <w:noWrap/>
            <w:vAlign w:val="center"/>
            <w:hideMark/>
          </w:tcPr>
          <w:p w14:paraId="45CBC0B5" w14:textId="3EAB91FD"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840,5</w:t>
            </w:r>
          </w:p>
        </w:tc>
        <w:tc>
          <w:tcPr>
            <w:tcW w:w="1137" w:type="dxa"/>
            <w:tcBorders>
              <w:top w:val="single" w:sz="4" w:space="0" w:color="2F5496" w:themeColor="accent1" w:themeShade="BF"/>
              <w:bottom w:val="nil"/>
            </w:tcBorders>
            <w:noWrap/>
            <w:vAlign w:val="center"/>
            <w:hideMark/>
          </w:tcPr>
          <w:p w14:paraId="34ACC788" w14:textId="5B44EBFD"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324,4</w:t>
            </w:r>
          </w:p>
        </w:tc>
        <w:tc>
          <w:tcPr>
            <w:tcW w:w="1134" w:type="dxa"/>
            <w:tcBorders>
              <w:top w:val="single" w:sz="4" w:space="0" w:color="2F5496" w:themeColor="accent1" w:themeShade="BF"/>
              <w:bottom w:val="nil"/>
            </w:tcBorders>
            <w:noWrap/>
            <w:vAlign w:val="center"/>
            <w:hideMark/>
          </w:tcPr>
          <w:p w14:paraId="636F75D6" w14:textId="4912AFD9"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123,0</w:t>
            </w:r>
          </w:p>
        </w:tc>
        <w:tc>
          <w:tcPr>
            <w:tcW w:w="1135" w:type="dxa"/>
            <w:tcBorders>
              <w:top w:val="single" w:sz="4" w:space="0" w:color="2F5496" w:themeColor="accent1" w:themeShade="BF"/>
              <w:bottom w:val="nil"/>
            </w:tcBorders>
            <w:noWrap/>
            <w:vAlign w:val="center"/>
            <w:hideMark/>
          </w:tcPr>
          <w:p w14:paraId="46086CE2" w14:textId="1B5B4F00"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22,4</w:t>
            </w:r>
          </w:p>
        </w:tc>
        <w:tc>
          <w:tcPr>
            <w:tcW w:w="1274" w:type="dxa"/>
            <w:tcBorders>
              <w:top w:val="single" w:sz="4" w:space="0" w:color="2F5496" w:themeColor="accent1" w:themeShade="BF"/>
              <w:bottom w:val="nil"/>
            </w:tcBorders>
            <w:noWrap/>
            <w:vAlign w:val="center"/>
            <w:hideMark/>
          </w:tcPr>
          <w:p w14:paraId="4C45E148" w14:textId="3D3ACF08"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1.310,2</w:t>
            </w:r>
          </w:p>
        </w:tc>
      </w:tr>
      <w:tr w:rsidR="00FA3DE7" w:rsidRPr="00FA3DE7" w14:paraId="374A0355" w14:textId="77777777" w:rsidTr="00982737">
        <w:trPr>
          <w:trHeight w:val="300"/>
        </w:trPr>
        <w:tc>
          <w:tcPr>
            <w:tcW w:w="3681" w:type="dxa"/>
            <w:tcBorders>
              <w:top w:val="nil"/>
              <w:bottom w:val="nil"/>
            </w:tcBorders>
            <w:noWrap/>
            <w:vAlign w:val="center"/>
            <w:hideMark/>
          </w:tcPr>
          <w:p w14:paraId="512C0352"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Manufacturing (CPA 05-39)</w:t>
            </w:r>
          </w:p>
        </w:tc>
        <w:tc>
          <w:tcPr>
            <w:tcW w:w="1278" w:type="dxa"/>
            <w:tcBorders>
              <w:top w:val="nil"/>
              <w:bottom w:val="nil"/>
            </w:tcBorders>
            <w:noWrap/>
            <w:vAlign w:val="center"/>
            <w:hideMark/>
          </w:tcPr>
          <w:p w14:paraId="208844D2" w14:textId="04DECF72"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6.688,2</w:t>
            </w:r>
          </w:p>
        </w:tc>
        <w:tc>
          <w:tcPr>
            <w:tcW w:w="1137" w:type="dxa"/>
            <w:tcBorders>
              <w:top w:val="nil"/>
              <w:bottom w:val="nil"/>
            </w:tcBorders>
            <w:noWrap/>
            <w:vAlign w:val="center"/>
            <w:hideMark/>
          </w:tcPr>
          <w:p w14:paraId="26C4F293" w14:textId="33772C4A"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11.619,6</w:t>
            </w:r>
          </w:p>
        </w:tc>
        <w:tc>
          <w:tcPr>
            <w:tcW w:w="1134" w:type="dxa"/>
            <w:tcBorders>
              <w:top w:val="nil"/>
              <w:bottom w:val="nil"/>
            </w:tcBorders>
            <w:noWrap/>
            <w:vAlign w:val="center"/>
            <w:hideMark/>
          </w:tcPr>
          <w:p w14:paraId="6C9AB369" w14:textId="7693A16C"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4.159,0</w:t>
            </w:r>
          </w:p>
        </w:tc>
        <w:tc>
          <w:tcPr>
            <w:tcW w:w="1135" w:type="dxa"/>
            <w:tcBorders>
              <w:top w:val="nil"/>
              <w:bottom w:val="nil"/>
            </w:tcBorders>
            <w:noWrap/>
            <w:vAlign w:val="center"/>
            <w:hideMark/>
          </w:tcPr>
          <w:p w14:paraId="05E1C453" w14:textId="70FCB61E"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1.834,3</w:t>
            </w:r>
          </w:p>
        </w:tc>
        <w:tc>
          <w:tcPr>
            <w:tcW w:w="1274" w:type="dxa"/>
            <w:tcBorders>
              <w:top w:val="nil"/>
              <w:bottom w:val="nil"/>
            </w:tcBorders>
            <w:noWrap/>
            <w:vAlign w:val="center"/>
            <w:hideMark/>
          </w:tcPr>
          <w:p w14:paraId="41355D53" w14:textId="057A3817"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24.301,0</w:t>
            </w:r>
          </w:p>
        </w:tc>
      </w:tr>
      <w:tr w:rsidR="00FA3DE7" w:rsidRPr="00FA3DE7" w14:paraId="2413F151" w14:textId="77777777" w:rsidTr="00982737">
        <w:trPr>
          <w:trHeight w:val="300"/>
        </w:trPr>
        <w:tc>
          <w:tcPr>
            <w:tcW w:w="3681" w:type="dxa"/>
            <w:tcBorders>
              <w:top w:val="nil"/>
              <w:bottom w:val="nil"/>
            </w:tcBorders>
            <w:noWrap/>
            <w:vAlign w:val="center"/>
            <w:hideMark/>
          </w:tcPr>
          <w:p w14:paraId="2D6EA6FA"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Construction (CPA 41-43)</w:t>
            </w:r>
          </w:p>
        </w:tc>
        <w:tc>
          <w:tcPr>
            <w:tcW w:w="1278" w:type="dxa"/>
            <w:tcBorders>
              <w:top w:val="nil"/>
              <w:bottom w:val="nil"/>
            </w:tcBorders>
            <w:noWrap/>
            <w:vAlign w:val="center"/>
            <w:hideMark/>
          </w:tcPr>
          <w:p w14:paraId="09088929" w14:textId="496ACC3E"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5.454,7</w:t>
            </w:r>
          </w:p>
        </w:tc>
        <w:tc>
          <w:tcPr>
            <w:tcW w:w="1137" w:type="dxa"/>
            <w:tcBorders>
              <w:top w:val="nil"/>
              <w:bottom w:val="nil"/>
            </w:tcBorders>
            <w:noWrap/>
            <w:vAlign w:val="center"/>
            <w:hideMark/>
          </w:tcPr>
          <w:p w14:paraId="2782902F" w14:textId="4256997C"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3,7</w:t>
            </w:r>
          </w:p>
        </w:tc>
        <w:tc>
          <w:tcPr>
            <w:tcW w:w="1134" w:type="dxa"/>
            <w:tcBorders>
              <w:top w:val="nil"/>
              <w:bottom w:val="nil"/>
            </w:tcBorders>
            <w:noWrap/>
            <w:vAlign w:val="center"/>
            <w:hideMark/>
          </w:tcPr>
          <w:p w14:paraId="56E22DF2" w14:textId="2F52D5CD" w:rsidR="00C858E7" w:rsidRPr="00FA3DE7" w:rsidRDefault="00C858E7"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0,0</w:t>
            </w:r>
          </w:p>
        </w:tc>
        <w:tc>
          <w:tcPr>
            <w:tcW w:w="1135" w:type="dxa"/>
            <w:tcBorders>
              <w:top w:val="nil"/>
              <w:bottom w:val="nil"/>
            </w:tcBorders>
            <w:noWrap/>
            <w:vAlign w:val="center"/>
            <w:hideMark/>
          </w:tcPr>
          <w:p w14:paraId="3E0972B5" w14:textId="65E69DD8"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549,3</w:t>
            </w:r>
          </w:p>
        </w:tc>
        <w:tc>
          <w:tcPr>
            <w:tcW w:w="1274" w:type="dxa"/>
            <w:tcBorders>
              <w:top w:val="nil"/>
              <w:bottom w:val="nil"/>
            </w:tcBorders>
            <w:noWrap/>
            <w:vAlign w:val="center"/>
            <w:hideMark/>
          </w:tcPr>
          <w:p w14:paraId="0B8262C6" w14:textId="2AFD8C2C"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6.007,7</w:t>
            </w:r>
          </w:p>
        </w:tc>
      </w:tr>
      <w:tr w:rsidR="00FA3DE7" w:rsidRPr="00FA3DE7" w14:paraId="2AF386FC" w14:textId="77777777" w:rsidTr="00982737">
        <w:trPr>
          <w:trHeight w:val="300"/>
        </w:trPr>
        <w:tc>
          <w:tcPr>
            <w:tcW w:w="3681" w:type="dxa"/>
            <w:tcBorders>
              <w:top w:val="nil"/>
              <w:bottom w:val="nil"/>
            </w:tcBorders>
            <w:noWrap/>
            <w:vAlign w:val="center"/>
            <w:hideMark/>
          </w:tcPr>
          <w:p w14:paraId="2C1D6A6C"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Distribution &amp; transport (CPA 45-53)</w:t>
            </w:r>
          </w:p>
        </w:tc>
        <w:tc>
          <w:tcPr>
            <w:tcW w:w="1278" w:type="dxa"/>
            <w:tcBorders>
              <w:top w:val="nil"/>
              <w:bottom w:val="nil"/>
            </w:tcBorders>
            <w:noWrap/>
            <w:vAlign w:val="center"/>
            <w:hideMark/>
          </w:tcPr>
          <w:p w14:paraId="7F887B56" w14:textId="197B2F4B"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11.788,6</w:t>
            </w:r>
          </w:p>
        </w:tc>
        <w:tc>
          <w:tcPr>
            <w:tcW w:w="1137" w:type="dxa"/>
            <w:tcBorders>
              <w:top w:val="nil"/>
              <w:bottom w:val="nil"/>
            </w:tcBorders>
            <w:noWrap/>
            <w:vAlign w:val="center"/>
            <w:hideMark/>
          </w:tcPr>
          <w:p w14:paraId="31F084BC" w14:textId="45729ACF"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2.713,1</w:t>
            </w:r>
          </w:p>
        </w:tc>
        <w:tc>
          <w:tcPr>
            <w:tcW w:w="1134" w:type="dxa"/>
            <w:tcBorders>
              <w:top w:val="nil"/>
              <w:bottom w:val="nil"/>
            </w:tcBorders>
            <w:noWrap/>
            <w:vAlign w:val="center"/>
            <w:hideMark/>
          </w:tcPr>
          <w:p w14:paraId="7320E8C0" w14:textId="21E3F8DF"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-4.331,9</w:t>
            </w:r>
          </w:p>
        </w:tc>
        <w:tc>
          <w:tcPr>
            <w:tcW w:w="1135" w:type="dxa"/>
            <w:tcBorders>
              <w:top w:val="nil"/>
              <w:bottom w:val="nil"/>
            </w:tcBorders>
            <w:noWrap/>
            <w:vAlign w:val="center"/>
            <w:hideMark/>
          </w:tcPr>
          <w:p w14:paraId="508E0064" w14:textId="7C62F677"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4,1</w:t>
            </w:r>
          </w:p>
        </w:tc>
        <w:tc>
          <w:tcPr>
            <w:tcW w:w="1274" w:type="dxa"/>
            <w:tcBorders>
              <w:top w:val="nil"/>
              <w:bottom w:val="nil"/>
            </w:tcBorders>
            <w:noWrap/>
            <w:vAlign w:val="center"/>
            <w:hideMark/>
          </w:tcPr>
          <w:p w14:paraId="72B1D2DE" w14:textId="60FE2E27"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10.173,8</w:t>
            </w:r>
          </w:p>
        </w:tc>
      </w:tr>
      <w:tr w:rsidR="00FA3DE7" w:rsidRPr="00FA3DE7" w14:paraId="7E4E78C3" w14:textId="77777777" w:rsidTr="00982737">
        <w:trPr>
          <w:trHeight w:val="300"/>
        </w:trPr>
        <w:tc>
          <w:tcPr>
            <w:tcW w:w="3681" w:type="dxa"/>
            <w:tcBorders>
              <w:top w:val="nil"/>
              <w:bottom w:val="nil"/>
            </w:tcBorders>
            <w:noWrap/>
            <w:vAlign w:val="center"/>
            <w:hideMark/>
          </w:tcPr>
          <w:p w14:paraId="5B8E4098"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Business services (CPA 55-82)</w:t>
            </w:r>
          </w:p>
        </w:tc>
        <w:tc>
          <w:tcPr>
            <w:tcW w:w="1278" w:type="dxa"/>
            <w:tcBorders>
              <w:top w:val="nil"/>
              <w:bottom w:val="nil"/>
            </w:tcBorders>
            <w:noWrap/>
            <w:vAlign w:val="center"/>
            <w:hideMark/>
          </w:tcPr>
          <w:p w14:paraId="7B50F942" w14:textId="258FFC84"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31.954,0</w:t>
            </w:r>
          </w:p>
        </w:tc>
        <w:tc>
          <w:tcPr>
            <w:tcW w:w="1137" w:type="dxa"/>
            <w:tcBorders>
              <w:top w:val="nil"/>
              <w:bottom w:val="nil"/>
            </w:tcBorders>
            <w:noWrap/>
            <w:vAlign w:val="center"/>
            <w:hideMark/>
          </w:tcPr>
          <w:p w14:paraId="6C774459" w14:textId="445BBC7F"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13.924,8</w:t>
            </w:r>
          </w:p>
        </w:tc>
        <w:tc>
          <w:tcPr>
            <w:tcW w:w="1134" w:type="dxa"/>
            <w:tcBorders>
              <w:top w:val="nil"/>
              <w:bottom w:val="nil"/>
            </w:tcBorders>
            <w:noWrap/>
            <w:vAlign w:val="center"/>
            <w:hideMark/>
          </w:tcPr>
          <w:p w14:paraId="3685EF69" w14:textId="38FDA4F4"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49,9</w:t>
            </w:r>
          </w:p>
        </w:tc>
        <w:tc>
          <w:tcPr>
            <w:tcW w:w="1135" w:type="dxa"/>
            <w:tcBorders>
              <w:top w:val="nil"/>
              <w:bottom w:val="nil"/>
            </w:tcBorders>
            <w:noWrap/>
            <w:vAlign w:val="center"/>
            <w:hideMark/>
          </w:tcPr>
          <w:p w14:paraId="4B3E6A55" w14:textId="6EBA390F"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834,2</w:t>
            </w:r>
          </w:p>
        </w:tc>
        <w:tc>
          <w:tcPr>
            <w:tcW w:w="1274" w:type="dxa"/>
            <w:tcBorders>
              <w:top w:val="nil"/>
              <w:bottom w:val="nil"/>
            </w:tcBorders>
            <w:noWrap/>
            <w:vAlign w:val="center"/>
            <w:hideMark/>
          </w:tcPr>
          <w:p w14:paraId="34821AE4" w14:textId="23535A7C"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46.762,9</w:t>
            </w:r>
          </w:p>
        </w:tc>
      </w:tr>
      <w:tr w:rsidR="00FA3DE7" w:rsidRPr="00FA3DE7" w14:paraId="6C021E2A" w14:textId="77777777" w:rsidTr="00FA3DE7">
        <w:trPr>
          <w:trHeight w:val="300"/>
        </w:trPr>
        <w:tc>
          <w:tcPr>
            <w:tcW w:w="3681" w:type="dxa"/>
            <w:tcBorders>
              <w:top w:val="nil"/>
              <w:bottom w:val="single" w:sz="4" w:space="0" w:color="366092"/>
            </w:tcBorders>
            <w:noWrap/>
            <w:vAlign w:val="center"/>
            <w:hideMark/>
          </w:tcPr>
          <w:p w14:paraId="237BCC2D" w14:textId="77777777" w:rsidR="00C858E7" w:rsidRPr="00FA3DE7" w:rsidRDefault="00C858E7" w:rsidP="00C858E7">
            <w:pPr>
              <w:spacing w:line="276" w:lineRule="auto"/>
              <w:ind w:left="-105"/>
              <w:rPr>
                <w:rFonts w:ascii="Verdana" w:eastAsia="Times New Roman" w:hAnsi="Verdana" w:cs="Arial"/>
                <w:color w:val="366092"/>
                <w:sz w:val="17"/>
                <w:szCs w:val="17"/>
              </w:rPr>
            </w:pPr>
            <w:r w:rsidRPr="00FA3DE7">
              <w:rPr>
                <w:rFonts w:ascii="Verdana" w:eastAsia="Times New Roman" w:hAnsi="Verdana" w:cs="Arial"/>
                <w:color w:val="366092"/>
                <w:sz w:val="17"/>
                <w:szCs w:val="17"/>
              </w:rPr>
              <w:t xml:space="preserve"> Other services (CPA 84-99)</w:t>
            </w:r>
          </w:p>
        </w:tc>
        <w:tc>
          <w:tcPr>
            <w:tcW w:w="1278" w:type="dxa"/>
            <w:tcBorders>
              <w:top w:val="nil"/>
              <w:bottom w:val="single" w:sz="4" w:space="0" w:color="366092"/>
            </w:tcBorders>
            <w:noWrap/>
            <w:vAlign w:val="center"/>
            <w:hideMark/>
          </w:tcPr>
          <w:p w14:paraId="5F548D39" w14:textId="5ABB4A94" w:rsidR="00C858E7" w:rsidRPr="00FA3DE7" w:rsidRDefault="00C84736"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7.655,8</w:t>
            </w:r>
          </w:p>
        </w:tc>
        <w:tc>
          <w:tcPr>
            <w:tcW w:w="1137" w:type="dxa"/>
            <w:tcBorders>
              <w:top w:val="nil"/>
              <w:bottom w:val="single" w:sz="4" w:space="0" w:color="366092"/>
            </w:tcBorders>
            <w:noWrap/>
            <w:vAlign w:val="center"/>
            <w:hideMark/>
          </w:tcPr>
          <w:p w14:paraId="49BAAA5C" w14:textId="74F29BD9"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346,5</w:t>
            </w:r>
          </w:p>
        </w:tc>
        <w:tc>
          <w:tcPr>
            <w:tcW w:w="1134" w:type="dxa"/>
            <w:tcBorders>
              <w:top w:val="nil"/>
              <w:bottom w:val="single" w:sz="4" w:space="0" w:color="366092"/>
            </w:tcBorders>
            <w:noWrap/>
            <w:vAlign w:val="center"/>
            <w:hideMark/>
          </w:tcPr>
          <w:p w14:paraId="19265F6B" w14:textId="635FDFD0" w:rsidR="00C858E7" w:rsidRPr="00FA3DE7" w:rsidRDefault="00C858E7"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0,0</w:t>
            </w:r>
          </w:p>
        </w:tc>
        <w:tc>
          <w:tcPr>
            <w:tcW w:w="1135" w:type="dxa"/>
            <w:tcBorders>
              <w:top w:val="nil"/>
              <w:bottom w:val="single" w:sz="4" w:space="0" w:color="366092"/>
            </w:tcBorders>
            <w:noWrap/>
            <w:vAlign w:val="center"/>
            <w:hideMark/>
          </w:tcPr>
          <w:p w14:paraId="70275719" w14:textId="6C7AD79B" w:rsidR="00C858E7" w:rsidRPr="00FA3DE7" w:rsidRDefault="00774D00" w:rsidP="00E61927">
            <w:pPr>
              <w:spacing w:line="276" w:lineRule="auto"/>
              <w:ind w:left="-105" w:right="227"/>
              <w:jc w:val="right"/>
              <w:rPr>
                <w:rFonts w:ascii="Verdana" w:hAnsi="Verdana"/>
                <w:color w:val="366092"/>
                <w:sz w:val="17"/>
                <w:szCs w:val="17"/>
              </w:rPr>
            </w:pPr>
            <w:r w:rsidRPr="00FA3DE7">
              <w:rPr>
                <w:rFonts w:ascii="Verdana" w:hAnsi="Verdana" w:cs="Calibri"/>
                <w:color w:val="366092"/>
                <w:sz w:val="17"/>
                <w:szCs w:val="17"/>
              </w:rPr>
              <w:t>100,5</w:t>
            </w:r>
          </w:p>
        </w:tc>
        <w:tc>
          <w:tcPr>
            <w:tcW w:w="1274" w:type="dxa"/>
            <w:tcBorders>
              <w:top w:val="nil"/>
              <w:bottom w:val="single" w:sz="4" w:space="0" w:color="366092"/>
            </w:tcBorders>
            <w:noWrap/>
            <w:vAlign w:val="center"/>
            <w:hideMark/>
          </w:tcPr>
          <w:p w14:paraId="30454202" w14:textId="7A6456E0" w:rsidR="00C858E7" w:rsidRPr="00FA3DE7" w:rsidRDefault="00774D00" w:rsidP="00C858E7">
            <w:pPr>
              <w:spacing w:line="276" w:lineRule="auto"/>
              <w:ind w:left="-105" w:right="227"/>
              <w:jc w:val="right"/>
              <w:rPr>
                <w:rFonts w:ascii="Verdana" w:hAnsi="Verdana"/>
                <w:b/>
                <w:bCs/>
                <w:color w:val="366092"/>
                <w:sz w:val="17"/>
                <w:szCs w:val="17"/>
              </w:rPr>
            </w:pPr>
            <w:r w:rsidRPr="00FA3DE7">
              <w:rPr>
                <w:rFonts w:ascii="Verdana" w:hAnsi="Verdana" w:cs="Calibri"/>
                <w:b/>
                <w:bCs/>
                <w:color w:val="366092"/>
                <w:sz w:val="17"/>
                <w:szCs w:val="17"/>
              </w:rPr>
              <w:t>8.102,9</w:t>
            </w:r>
          </w:p>
        </w:tc>
      </w:tr>
      <w:tr w:rsidR="00FA3DE7" w:rsidRPr="00FA3DE7" w14:paraId="0E808094" w14:textId="77777777" w:rsidTr="00FA3DE7">
        <w:trPr>
          <w:trHeight w:val="317"/>
        </w:trPr>
        <w:tc>
          <w:tcPr>
            <w:tcW w:w="3681" w:type="dxa"/>
            <w:tcBorders>
              <w:top w:val="single" w:sz="4" w:space="0" w:color="366092"/>
              <w:bottom w:val="single" w:sz="4" w:space="0" w:color="366092"/>
            </w:tcBorders>
            <w:noWrap/>
            <w:vAlign w:val="center"/>
            <w:hideMark/>
          </w:tcPr>
          <w:p w14:paraId="284C307D" w14:textId="77777777" w:rsidR="00C858E7" w:rsidRPr="00FA3DE7" w:rsidRDefault="00C858E7" w:rsidP="00C858E7">
            <w:pPr>
              <w:spacing w:line="276" w:lineRule="auto"/>
              <w:ind w:left="-105"/>
              <w:rPr>
                <w:rFonts w:ascii="Verdana" w:eastAsia="Times New Roman" w:hAnsi="Verdana" w:cs="Arial"/>
                <w:b/>
                <w:bCs/>
                <w:color w:val="366092"/>
                <w:sz w:val="17"/>
                <w:szCs w:val="17"/>
              </w:rPr>
            </w:pPr>
            <w:r w:rsidRPr="00FA3DE7">
              <w:rPr>
                <w:rFonts w:ascii="Verdana" w:eastAsia="Times New Roman" w:hAnsi="Verdana" w:cs="Arial"/>
                <w:b/>
                <w:bCs/>
                <w:color w:val="366092"/>
                <w:sz w:val="17"/>
                <w:szCs w:val="17"/>
              </w:rPr>
              <w:t xml:space="preserve"> Total Supply (CPA 01-99)</w:t>
            </w:r>
          </w:p>
        </w:tc>
        <w:tc>
          <w:tcPr>
            <w:tcW w:w="1278" w:type="dxa"/>
            <w:tcBorders>
              <w:top w:val="single" w:sz="4" w:space="0" w:color="366092"/>
              <w:bottom w:val="single" w:sz="4" w:space="0" w:color="366092"/>
            </w:tcBorders>
            <w:noWrap/>
            <w:vAlign w:val="center"/>
            <w:hideMark/>
          </w:tcPr>
          <w:p w14:paraId="0DECEF60" w14:textId="3589CB96" w:rsidR="00C858E7" w:rsidRPr="00FA3DE7" w:rsidRDefault="00774D00" w:rsidP="00C858E7">
            <w:pPr>
              <w:spacing w:after="26"/>
              <w:ind w:left="-105" w:right="227"/>
              <w:jc w:val="right"/>
              <w:rPr>
                <w:rFonts w:ascii="Verdana" w:hAnsi="Verdana"/>
                <w:b/>
                <w:bCs/>
                <w:color w:val="366092"/>
                <w:sz w:val="17"/>
                <w:szCs w:val="17"/>
              </w:rPr>
            </w:pPr>
            <w:r w:rsidRPr="00FA3DE7">
              <w:rPr>
                <w:rFonts w:ascii="Verdana" w:hAnsi="Verdana" w:cs="Calibri"/>
                <w:b/>
                <w:bCs/>
                <w:color w:val="366092"/>
                <w:sz w:val="17"/>
                <w:szCs w:val="17"/>
              </w:rPr>
              <w:t>64.381,7</w:t>
            </w:r>
          </w:p>
        </w:tc>
        <w:tc>
          <w:tcPr>
            <w:tcW w:w="1137" w:type="dxa"/>
            <w:tcBorders>
              <w:top w:val="single" w:sz="4" w:space="0" w:color="366092"/>
              <w:bottom w:val="single" w:sz="4" w:space="0" w:color="366092"/>
            </w:tcBorders>
            <w:noWrap/>
            <w:vAlign w:val="center"/>
            <w:hideMark/>
          </w:tcPr>
          <w:p w14:paraId="55A7DFAF" w14:textId="4B25C59D" w:rsidR="00C858E7" w:rsidRPr="00FA3DE7" w:rsidRDefault="00774D00" w:rsidP="00C858E7">
            <w:pPr>
              <w:spacing w:after="26"/>
              <w:ind w:left="-105" w:right="227"/>
              <w:jc w:val="right"/>
              <w:rPr>
                <w:rFonts w:ascii="Verdana" w:hAnsi="Verdana"/>
                <w:b/>
                <w:bCs/>
                <w:color w:val="366092"/>
                <w:sz w:val="17"/>
                <w:szCs w:val="17"/>
              </w:rPr>
            </w:pPr>
            <w:r w:rsidRPr="00FA3DE7">
              <w:rPr>
                <w:rFonts w:ascii="Verdana" w:hAnsi="Verdana" w:cs="Calibri"/>
                <w:b/>
                <w:bCs/>
                <w:color w:val="366092"/>
                <w:sz w:val="17"/>
                <w:szCs w:val="17"/>
              </w:rPr>
              <w:t>28.932,0</w:t>
            </w:r>
          </w:p>
        </w:tc>
        <w:tc>
          <w:tcPr>
            <w:tcW w:w="1134" w:type="dxa"/>
            <w:tcBorders>
              <w:top w:val="single" w:sz="4" w:space="0" w:color="366092"/>
              <w:bottom w:val="single" w:sz="4" w:space="0" w:color="366092"/>
            </w:tcBorders>
            <w:noWrap/>
            <w:vAlign w:val="center"/>
            <w:hideMark/>
          </w:tcPr>
          <w:p w14:paraId="243D240D" w14:textId="3C05880B" w:rsidR="00C858E7" w:rsidRPr="00FA3DE7" w:rsidRDefault="00C858E7" w:rsidP="00C858E7">
            <w:pPr>
              <w:spacing w:after="26"/>
              <w:ind w:left="-105" w:right="227"/>
              <w:jc w:val="right"/>
              <w:rPr>
                <w:rFonts w:ascii="Verdana" w:hAnsi="Verdana"/>
                <w:b/>
                <w:bCs/>
                <w:color w:val="366092"/>
                <w:sz w:val="17"/>
                <w:szCs w:val="17"/>
              </w:rPr>
            </w:pPr>
            <w:r w:rsidRPr="00FA3DE7">
              <w:rPr>
                <w:rFonts w:ascii="Verdana" w:hAnsi="Verdana" w:cs="Calibri"/>
                <w:b/>
                <w:bCs/>
                <w:color w:val="366092"/>
                <w:sz w:val="17"/>
                <w:szCs w:val="17"/>
              </w:rPr>
              <w:t>0,0</w:t>
            </w:r>
          </w:p>
        </w:tc>
        <w:tc>
          <w:tcPr>
            <w:tcW w:w="1135" w:type="dxa"/>
            <w:tcBorders>
              <w:top w:val="single" w:sz="4" w:space="0" w:color="366092"/>
              <w:bottom w:val="single" w:sz="4" w:space="0" w:color="366092"/>
            </w:tcBorders>
            <w:noWrap/>
            <w:vAlign w:val="center"/>
            <w:hideMark/>
          </w:tcPr>
          <w:p w14:paraId="589CDAA4" w14:textId="2226CD10" w:rsidR="00C858E7" w:rsidRPr="00FA3DE7" w:rsidRDefault="00774D00" w:rsidP="00C858E7">
            <w:pPr>
              <w:spacing w:after="26"/>
              <w:ind w:left="-105" w:right="227"/>
              <w:jc w:val="right"/>
              <w:rPr>
                <w:rFonts w:ascii="Verdana" w:hAnsi="Verdana"/>
                <w:b/>
                <w:bCs/>
                <w:color w:val="366092"/>
                <w:sz w:val="17"/>
                <w:szCs w:val="17"/>
              </w:rPr>
            </w:pPr>
            <w:r w:rsidRPr="00FA3DE7">
              <w:rPr>
                <w:rFonts w:ascii="Verdana" w:hAnsi="Verdana" w:cs="Calibri"/>
                <w:b/>
                <w:bCs/>
                <w:color w:val="366092"/>
                <w:sz w:val="17"/>
                <w:szCs w:val="17"/>
              </w:rPr>
              <w:t>3.344,8</w:t>
            </w:r>
          </w:p>
        </w:tc>
        <w:tc>
          <w:tcPr>
            <w:tcW w:w="1274" w:type="dxa"/>
            <w:tcBorders>
              <w:top w:val="single" w:sz="4" w:space="0" w:color="366092"/>
              <w:bottom w:val="single" w:sz="4" w:space="0" w:color="366092"/>
            </w:tcBorders>
            <w:noWrap/>
            <w:vAlign w:val="center"/>
            <w:hideMark/>
          </w:tcPr>
          <w:p w14:paraId="147CB034" w14:textId="3836EA42" w:rsidR="00C858E7" w:rsidRPr="00FA3DE7" w:rsidRDefault="00774D00" w:rsidP="00C858E7">
            <w:pPr>
              <w:spacing w:after="26"/>
              <w:ind w:left="-105" w:right="227"/>
              <w:jc w:val="right"/>
              <w:rPr>
                <w:rFonts w:ascii="Verdana" w:hAnsi="Verdana"/>
                <w:b/>
                <w:bCs/>
                <w:color w:val="366092"/>
                <w:sz w:val="17"/>
                <w:szCs w:val="17"/>
              </w:rPr>
            </w:pPr>
            <w:r w:rsidRPr="00FA3DE7">
              <w:rPr>
                <w:rFonts w:ascii="Verdana" w:hAnsi="Verdana" w:cs="Calibri"/>
                <w:b/>
                <w:bCs/>
                <w:color w:val="366092"/>
                <w:sz w:val="17"/>
                <w:szCs w:val="17"/>
              </w:rPr>
              <w:t>96.658,5</w:t>
            </w:r>
          </w:p>
        </w:tc>
      </w:tr>
    </w:tbl>
    <w:p w14:paraId="7E6B7301" w14:textId="7B27E58C" w:rsidR="00326594" w:rsidRPr="00204F41" w:rsidRDefault="00326594" w:rsidP="00326594">
      <w:pPr>
        <w:jc w:val="both"/>
        <w:rPr>
          <w:rFonts w:ascii="Verdana" w:hAnsi="Verdana" w:cs="Arial"/>
          <w:sz w:val="18"/>
          <w:szCs w:val="18"/>
        </w:rPr>
      </w:pPr>
    </w:p>
    <w:p w14:paraId="3E959F98" w14:textId="65B902F1" w:rsidR="00C15A09" w:rsidRPr="00204F41" w:rsidRDefault="00C15A09" w:rsidP="00FA3DE7">
      <w:pPr>
        <w:jc w:val="both"/>
        <w:rPr>
          <w:rFonts w:ascii="Verdana" w:hAnsi="Verdana" w:cs="Arial"/>
          <w:sz w:val="18"/>
          <w:szCs w:val="18"/>
        </w:rPr>
      </w:pPr>
      <w:r w:rsidRPr="00204F41">
        <w:rPr>
          <w:rFonts w:ascii="Verdana" w:hAnsi="Verdana" w:cs="Arial"/>
          <w:sz w:val="18"/>
          <w:szCs w:val="18"/>
        </w:rPr>
        <w:t xml:space="preserve">The domestic production accounts for </w:t>
      </w:r>
      <w:r w:rsidR="00C858E7" w:rsidRPr="00204F41">
        <w:rPr>
          <w:rFonts w:ascii="Verdana" w:hAnsi="Verdana" w:cs="Arial"/>
          <w:sz w:val="18"/>
          <w:szCs w:val="18"/>
        </w:rPr>
        <w:t>6</w:t>
      </w:r>
      <w:r w:rsidR="005713B3" w:rsidRPr="00204F41">
        <w:rPr>
          <w:rFonts w:ascii="Verdana" w:hAnsi="Verdana" w:cs="Arial"/>
          <w:sz w:val="18"/>
          <w:szCs w:val="18"/>
        </w:rPr>
        <w:t>6</w:t>
      </w:r>
      <w:r w:rsidRPr="00204F41">
        <w:rPr>
          <w:rFonts w:ascii="Verdana" w:hAnsi="Verdana" w:cs="Arial"/>
          <w:sz w:val="18"/>
          <w:szCs w:val="18"/>
        </w:rPr>
        <w:t>,</w:t>
      </w:r>
      <w:r w:rsidR="005713B3" w:rsidRPr="00204F41">
        <w:rPr>
          <w:rFonts w:ascii="Verdana" w:hAnsi="Verdana" w:cs="Arial"/>
          <w:sz w:val="18"/>
          <w:szCs w:val="18"/>
        </w:rPr>
        <w:t>6</w:t>
      </w:r>
      <w:r w:rsidRPr="00204F41">
        <w:rPr>
          <w:rFonts w:ascii="Verdana" w:hAnsi="Verdana" w:cs="Arial"/>
          <w:sz w:val="18"/>
          <w:szCs w:val="18"/>
        </w:rPr>
        <w:t>% of total supply, imports for 2</w:t>
      </w:r>
      <w:r w:rsidR="005713B3" w:rsidRPr="00204F41">
        <w:rPr>
          <w:rFonts w:ascii="Verdana" w:hAnsi="Verdana" w:cs="Arial"/>
          <w:sz w:val="18"/>
          <w:szCs w:val="18"/>
        </w:rPr>
        <w:t>9</w:t>
      </w:r>
      <w:r w:rsidRPr="00204F41">
        <w:rPr>
          <w:rFonts w:ascii="Verdana" w:hAnsi="Verdana" w:cs="Arial"/>
          <w:sz w:val="18"/>
          <w:szCs w:val="18"/>
        </w:rPr>
        <w:t>,</w:t>
      </w:r>
      <w:r w:rsidR="005713B3" w:rsidRPr="00204F41">
        <w:rPr>
          <w:rFonts w:ascii="Verdana" w:hAnsi="Verdana" w:cs="Arial"/>
          <w:sz w:val="18"/>
          <w:szCs w:val="18"/>
        </w:rPr>
        <w:t>9</w:t>
      </w:r>
      <w:r w:rsidRPr="00204F41">
        <w:rPr>
          <w:rFonts w:ascii="Verdana" w:hAnsi="Verdana" w:cs="Arial"/>
          <w:sz w:val="18"/>
          <w:szCs w:val="18"/>
        </w:rPr>
        <w:t xml:space="preserve">% and net taxes for </w:t>
      </w:r>
      <w:r w:rsidR="00C858E7" w:rsidRPr="00204F41">
        <w:rPr>
          <w:rFonts w:ascii="Verdana" w:hAnsi="Verdana" w:cs="Arial"/>
          <w:sz w:val="18"/>
          <w:szCs w:val="18"/>
        </w:rPr>
        <w:t>3</w:t>
      </w:r>
      <w:r w:rsidRPr="00204F41">
        <w:rPr>
          <w:rFonts w:ascii="Verdana" w:hAnsi="Verdana" w:cs="Arial"/>
          <w:sz w:val="18"/>
          <w:szCs w:val="18"/>
        </w:rPr>
        <w:t>,</w:t>
      </w:r>
      <w:r w:rsidR="005713B3" w:rsidRPr="00204F41">
        <w:rPr>
          <w:rFonts w:ascii="Verdana" w:hAnsi="Verdana" w:cs="Arial"/>
          <w:sz w:val="18"/>
          <w:szCs w:val="18"/>
        </w:rPr>
        <w:t>5</w:t>
      </w:r>
      <w:r w:rsidRPr="00204F41">
        <w:rPr>
          <w:rFonts w:ascii="Verdana" w:hAnsi="Verdana" w:cs="Arial"/>
          <w:sz w:val="18"/>
          <w:szCs w:val="18"/>
        </w:rPr>
        <w:t>%. Imports have a particularly large share (4</w:t>
      </w:r>
      <w:r w:rsidR="005713B3" w:rsidRPr="00204F41">
        <w:rPr>
          <w:rFonts w:ascii="Verdana" w:hAnsi="Verdana" w:cs="Arial"/>
          <w:sz w:val="18"/>
          <w:szCs w:val="18"/>
        </w:rPr>
        <w:t>7</w:t>
      </w:r>
      <w:r w:rsidRPr="00204F41">
        <w:rPr>
          <w:rFonts w:ascii="Verdana" w:hAnsi="Verdana" w:cs="Arial"/>
          <w:sz w:val="18"/>
          <w:szCs w:val="18"/>
        </w:rPr>
        <w:t>,</w:t>
      </w:r>
      <w:r w:rsidR="005713B3" w:rsidRPr="00204F41">
        <w:rPr>
          <w:rFonts w:ascii="Verdana" w:hAnsi="Verdana" w:cs="Arial"/>
          <w:sz w:val="18"/>
          <w:szCs w:val="18"/>
        </w:rPr>
        <w:t>8</w:t>
      </w:r>
      <w:r w:rsidRPr="00204F41">
        <w:rPr>
          <w:rFonts w:ascii="Verdana" w:hAnsi="Verdana" w:cs="Arial"/>
          <w:sz w:val="18"/>
          <w:szCs w:val="18"/>
        </w:rPr>
        <w:t xml:space="preserve">%) of total supply of manufacturing products. Net taxes on products have a higher share in the supply of </w:t>
      </w:r>
      <w:r w:rsidR="00A56232" w:rsidRPr="00204F41">
        <w:rPr>
          <w:rFonts w:ascii="Verdana" w:hAnsi="Verdana" w:cs="Arial"/>
          <w:sz w:val="18"/>
          <w:szCs w:val="18"/>
        </w:rPr>
        <w:t xml:space="preserve">construction works (9,1%) and </w:t>
      </w:r>
      <w:r w:rsidRPr="00204F41">
        <w:rPr>
          <w:rFonts w:ascii="Verdana" w:hAnsi="Verdana" w:cs="Arial"/>
          <w:sz w:val="18"/>
          <w:szCs w:val="18"/>
        </w:rPr>
        <w:t>manufacturing products (</w:t>
      </w:r>
      <w:r w:rsidR="00A56232" w:rsidRPr="00204F41">
        <w:rPr>
          <w:rFonts w:ascii="Verdana" w:hAnsi="Verdana" w:cs="Arial"/>
          <w:sz w:val="18"/>
          <w:szCs w:val="18"/>
        </w:rPr>
        <w:t>7</w:t>
      </w:r>
      <w:r w:rsidRPr="00204F41">
        <w:rPr>
          <w:rFonts w:ascii="Verdana" w:hAnsi="Verdana" w:cs="Arial"/>
          <w:sz w:val="18"/>
          <w:szCs w:val="18"/>
        </w:rPr>
        <w:t>,</w:t>
      </w:r>
      <w:r w:rsidR="00A56232" w:rsidRPr="00204F41">
        <w:rPr>
          <w:rFonts w:ascii="Verdana" w:hAnsi="Verdana" w:cs="Arial"/>
          <w:sz w:val="18"/>
          <w:szCs w:val="18"/>
        </w:rPr>
        <w:t>6</w:t>
      </w:r>
      <w:r w:rsidRPr="00204F41">
        <w:rPr>
          <w:rFonts w:ascii="Verdana" w:hAnsi="Verdana" w:cs="Arial"/>
          <w:sz w:val="18"/>
          <w:szCs w:val="18"/>
        </w:rPr>
        <w:t>%), than in the other product categories.</w:t>
      </w:r>
      <w:r w:rsidR="00D848FB">
        <w:rPr>
          <w:rFonts w:ascii="Verdana" w:hAnsi="Verdana" w:cs="Arial"/>
          <w:sz w:val="18"/>
          <w:szCs w:val="18"/>
        </w:rPr>
        <w:t xml:space="preserve"> (Figure </w:t>
      </w:r>
      <w:r w:rsidR="00313164">
        <w:rPr>
          <w:rFonts w:ascii="Verdana" w:hAnsi="Verdana" w:cs="Arial"/>
          <w:sz w:val="18"/>
          <w:szCs w:val="18"/>
        </w:rPr>
        <w:t>2</w:t>
      </w:r>
      <w:r w:rsidR="00D848FB">
        <w:rPr>
          <w:rFonts w:ascii="Verdana" w:hAnsi="Verdana" w:cs="Arial"/>
          <w:sz w:val="18"/>
          <w:szCs w:val="18"/>
        </w:rPr>
        <w:t>)</w:t>
      </w:r>
    </w:p>
    <w:p w14:paraId="566C4E41" w14:textId="77777777" w:rsidR="0084103F" w:rsidRPr="00204F41" w:rsidRDefault="0084103F" w:rsidP="00C15A09">
      <w:pPr>
        <w:ind w:right="-1"/>
        <w:jc w:val="both"/>
        <w:rPr>
          <w:rFonts w:ascii="Verdana" w:hAnsi="Verdana" w:cs="Arial"/>
          <w:sz w:val="18"/>
          <w:szCs w:val="18"/>
        </w:rPr>
      </w:pPr>
    </w:p>
    <w:p w14:paraId="449E132F" w14:textId="181C9B69" w:rsidR="00326594" w:rsidRPr="00204F41" w:rsidRDefault="007A1083" w:rsidP="002672E2">
      <w:pPr>
        <w:jc w:val="center"/>
        <w:rPr>
          <w:rFonts w:ascii="Verdana" w:hAnsi="Verdana" w:cs="Arial"/>
          <w:sz w:val="18"/>
          <w:szCs w:val="18"/>
        </w:rPr>
      </w:pPr>
      <w:r w:rsidRPr="00204F41">
        <w:rPr>
          <w:rFonts w:ascii="Verdana" w:hAnsi="Verdana" w:cs="Arial"/>
          <w:noProof/>
          <w:sz w:val="18"/>
          <w:szCs w:val="18"/>
        </w:rPr>
        <w:drawing>
          <wp:inline distT="0" distB="0" distL="0" distR="0" wp14:anchorId="062ADCE1" wp14:editId="173B8D28">
            <wp:extent cx="6096000" cy="2883535"/>
            <wp:effectExtent l="0" t="0" r="0" b="0"/>
            <wp:docPr id="653994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2883535"/>
                    </a:xfrm>
                    <a:prstGeom prst="rect">
                      <a:avLst/>
                    </a:prstGeom>
                    <a:noFill/>
                  </pic:spPr>
                </pic:pic>
              </a:graphicData>
            </a:graphic>
          </wp:inline>
        </w:drawing>
      </w:r>
    </w:p>
    <w:p w14:paraId="1A847A43" w14:textId="77777777" w:rsidR="00326594" w:rsidRPr="00204F41" w:rsidRDefault="00326594" w:rsidP="006E18EE">
      <w:pPr>
        <w:ind w:right="-1"/>
        <w:jc w:val="both"/>
        <w:rPr>
          <w:rFonts w:ascii="Verdana" w:hAnsi="Verdana" w:cs="Arial"/>
          <w:sz w:val="18"/>
          <w:szCs w:val="18"/>
        </w:rPr>
      </w:pPr>
    </w:p>
    <w:p w14:paraId="22EE823C" w14:textId="340CB256" w:rsidR="00906134" w:rsidRPr="00204F41" w:rsidRDefault="00906134" w:rsidP="00906134">
      <w:pPr>
        <w:jc w:val="both"/>
        <w:rPr>
          <w:rFonts w:ascii="Verdana" w:hAnsi="Verdana" w:cs="Arial"/>
          <w:sz w:val="18"/>
          <w:szCs w:val="18"/>
        </w:rPr>
      </w:pPr>
      <w:r w:rsidRPr="00204F41">
        <w:rPr>
          <w:rFonts w:ascii="Verdana" w:hAnsi="Verdana" w:cs="Arial"/>
          <w:sz w:val="18"/>
          <w:szCs w:val="18"/>
        </w:rPr>
        <w:t xml:space="preserve">The following table </w:t>
      </w:r>
      <w:r w:rsidR="00313164">
        <w:rPr>
          <w:rFonts w:ascii="Verdana" w:hAnsi="Verdana" w:cs="Arial"/>
          <w:sz w:val="18"/>
          <w:szCs w:val="18"/>
        </w:rPr>
        <w:t xml:space="preserve">2 </w:t>
      </w:r>
      <w:r w:rsidR="008E568D" w:rsidRPr="00204F41">
        <w:rPr>
          <w:rFonts w:ascii="Verdana" w:hAnsi="Verdana" w:cs="Arial"/>
          <w:sz w:val="18"/>
          <w:szCs w:val="18"/>
        </w:rPr>
        <w:t xml:space="preserve">presents </w:t>
      </w:r>
      <w:r w:rsidRPr="00204F41">
        <w:rPr>
          <w:rFonts w:ascii="Verdana" w:hAnsi="Verdana" w:cs="Arial"/>
          <w:sz w:val="18"/>
          <w:szCs w:val="18"/>
        </w:rPr>
        <w:t>an aggregated version of the 20</w:t>
      </w:r>
      <w:r w:rsidR="00C858E7" w:rsidRPr="00204F41">
        <w:rPr>
          <w:rFonts w:ascii="Verdana" w:hAnsi="Verdana" w:cs="Arial"/>
          <w:sz w:val="18"/>
          <w:szCs w:val="18"/>
        </w:rPr>
        <w:t>2</w:t>
      </w:r>
      <w:r w:rsidR="007A1083" w:rsidRPr="00204F41">
        <w:rPr>
          <w:rFonts w:ascii="Verdana" w:hAnsi="Verdana" w:cs="Arial"/>
          <w:sz w:val="18"/>
          <w:szCs w:val="18"/>
        </w:rPr>
        <w:t>2</w:t>
      </w:r>
      <w:r w:rsidRPr="00204F41">
        <w:rPr>
          <w:rFonts w:ascii="Verdana" w:hAnsi="Verdana" w:cs="Arial"/>
          <w:sz w:val="18"/>
          <w:szCs w:val="18"/>
        </w:rPr>
        <w:t xml:space="preserve"> Use table at current prices. Total intermediate consumption is €</w:t>
      </w:r>
      <w:r w:rsidR="001B367B" w:rsidRPr="00204F41">
        <w:rPr>
          <w:rFonts w:ascii="Verdana" w:hAnsi="Verdana" w:cs="Arial"/>
          <w:sz w:val="18"/>
          <w:szCs w:val="18"/>
        </w:rPr>
        <w:t>3</w:t>
      </w:r>
      <w:r w:rsidR="007A1083" w:rsidRPr="00204F41">
        <w:rPr>
          <w:rFonts w:ascii="Verdana" w:hAnsi="Verdana" w:cs="Arial"/>
          <w:sz w:val="18"/>
          <w:szCs w:val="18"/>
        </w:rPr>
        <w:t>8</w:t>
      </w:r>
      <w:r w:rsidRPr="00204F41">
        <w:rPr>
          <w:rFonts w:ascii="Verdana" w:hAnsi="Verdana" w:cs="Arial"/>
          <w:sz w:val="18"/>
          <w:szCs w:val="18"/>
        </w:rPr>
        <w:t>.</w:t>
      </w:r>
      <w:r w:rsidR="007A1083" w:rsidRPr="00204F41">
        <w:rPr>
          <w:rFonts w:ascii="Verdana" w:hAnsi="Verdana" w:cs="Arial"/>
          <w:sz w:val="18"/>
          <w:szCs w:val="18"/>
        </w:rPr>
        <w:t>081</w:t>
      </w:r>
      <w:r w:rsidRPr="00204F41">
        <w:rPr>
          <w:rFonts w:ascii="Verdana" w:hAnsi="Verdana" w:cs="Arial"/>
          <w:sz w:val="18"/>
          <w:szCs w:val="18"/>
        </w:rPr>
        <w:t>,</w:t>
      </w:r>
      <w:r w:rsidR="001B367B" w:rsidRPr="00204F41">
        <w:rPr>
          <w:rFonts w:ascii="Verdana" w:hAnsi="Verdana" w:cs="Arial"/>
          <w:sz w:val="18"/>
          <w:szCs w:val="18"/>
        </w:rPr>
        <w:t>2</w:t>
      </w:r>
      <w:r w:rsidRPr="00204F41">
        <w:rPr>
          <w:rFonts w:ascii="Verdana" w:hAnsi="Verdana" w:cs="Arial"/>
          <w:sz w:val="18"/>
          <w:szCs w:val="18"/>
        </w:rPr>
        <w:t xml:space="preserve"> mn in 20</w:t>
      </w:r>
      <w:r w:rsidR="00C858E7" w:rsidRPr="00204F41">
        <w:rPr>
          <w:rFonts w:ascii="Verdana" w:hAnsi="Verdana" w:cs="Arial"/>
          <w:sz w:val="18"/>
          <w:szCs w:val="18"/>
        </w:rPr>
        <w:t>2</w:t>
      </w:r>
      <w:r w:rsidR="007A1083" w:rsidRPr="00204F41">
        <w:rPr>
          <w:rFonts w:ascii="Verdana" w:hAnsi="Verdana" w:cs="Arial"/>
          <w:sz w:val="18"/>
          <w:szCs w:val="18"/>
        </w:rPr>
        <w:t>2</w:t>
      </w:r>
      <w:r w:rsidRPr="00204F41">
        <w:rPr>
          <w:rFonts w:ascii="Verdana" w:hAnsi="Verdana" w:cs="Arial"/>
          <w:sz w:val="18"/>
          <w:szCs w:val="18"/>
        </w:rPr>
        <w:t>. Total final consumption is €</w:t>
      </w:r>
      <w:r w:rsidR="001B367B" w:rsidRPr="00204F41">
        <w:rPr>
          <w:rFonts w:ascii="Verdana" w:hAnsi="Verdana" w:cs="Arial"/>
          <w:sz w:val="18"/>
          <w:szCs w:val="18"/>
        </w:rPr>
        <w:t>2</w:t>
      </w:r>
      <w:r w:rsidR="007A1083" w:rsidRPr="00204F41">
        <w:rPr>
          <w:rFonts w:ascii="Verdana" w:hAnsi="Verdana" w:cs="Arial"/>
          <w:sz w:val="18"/>
          <w:szCs w:val="18"/>
        </w:rPr>
        <w:t>3</w:t>
      </w:r>
      <w:r w:rsidRPr="00204F41">
        <w:rPr>
          <w:rFonts w:ascii="Verdana" w:hAnsi="Verdana" w:cs="Arial"/>
          <w:sz w:val="18"/>
          <w:szCs w:val="18"/>
        </w:rPr>
        <w:t>.</w:t>
      </w:r>
      <w:r w:rsidR="007A1083" w:rsidRPr="00204F41">
        <w:rPr>
          <w:rFonts w:ascii="Verdana" w:hAnsi="Verdana" w:cs="Arial"/>
          <w:sz w:val="18"/>
          <w:szCs w:val="18"/>
        </w:rPr>
        <w:t>965</w:t>
      </w:r>
      <w:r w:rsidRPr="00204F41">
        <w:rPr>
          <w:rFonts w:ascii="Verdana" w:hAnsi="Verdana" w:cs="Arial"/>
          <w:sz w:val="18"/>
          <w:szCs w:val="18"/>
        </w:rPr>
        <w:t>,</w:t>
      </w:r>
      <w:r w:rsidR="007A1083" w:rsidRPr="00204F41">
        <w:rPr>
          <w:rFonts w:ascii="Verdana" w:hAnsi="Verdana" w:cs="Arial"/>
          <w:sz w:val="18"/>
          <w:szCs w:val="18"/>
        </w:rPr>
        <w:t>8</w:t>
      </w:r>
      <w:r w:rsidRPr="00204F41">
        <w:rPr>
          <w:rFonts w:ascii="Verdana" w:hAnsi="Verdana" w:cs="Arial"/>
          <w:sz w:val="18"/>
          <w:szCs w:val="18"/>
        </w:rPr>
        <w:t xml:space="preserve"> mn, gross capital formation is valued at €</w:t>
      </w:r>
      <w:r w:rsidR="007A1083" w:rsidRPr="00204F41">
        <w:rPr>
          <w:rFonts w:ascii="Verdana" w:hAnsi="Verdana" w:cs="Arial"/>
          <w:sz w:val="18"/>
          <w:szCs w:val="18"/>
        </w:rPr>
        <w:t>6</w:t>
      </w:r>
      <w:r w:rsidRPr="00204F41">
        <w:rPr>
          <w:rFonts w:ascii="Verdana" w:hAnsi="Verdana" w:cs="Arial"/>
          <w:sz w:val="18"/>
          <w:szCs w:val="18"/>
        </w:rPr>
        <w:t>.</w:t>
      </w:r>
      <w:r w:rsidR="001B367B" w:rsidRPr="00204F41">
        <w:rPr>
          <w:rFonts w:ascii="Verdana" w:hAnsi="Verdana" w:cs="Arial"/>
          <w:sz w:val="18"/>
          <w:szCs w:val="18"/>
        </w:rPr>
        <w:t>10</w:t>
      </w:r>
      <w:r w:rsidR="007A1083" w:rsidRPr="00204F41">
        <w:rPr>
          <w:rFonts w:ascii="Verdana" w:hAnsi="Verdana" w:cs="Arial"/>
          <w:sz w:val="18"/>
          <w:szCs w:val="18"/>
        </w:rPr>
        <w:t>5</w:t>
      </w:r>
      <w:r w:rsidRPr="00204F41">
        <w:rPr>
          <w:rFonts w:ascii="Verdana" w:hAnsi="Verdana" w:cs="Arial"/>
          <w:sz w:val="18"/>
          <w:szCs w:val="18"/>
        </w:rPr>
        <w:t>,</w:t>
      </w:r>
      <w:r w:rsidR="007A1083" w:rsidRPr="00204F41">
        <w:rPr>
          <w:rFonts w:ascii="Verdana" w:hAnsi="Verdana" w:cs="Arial"/>
          <w:sz w:val="18"/>
          <w:szCs w:val="18"/>
        </w:rPr>
        <w:t>5</w:t>
      </w:r>
      <w:r w:rsidRPr="00204F41">
        <w:rPr>
          <w:rFonts w:ascii="Verdana" w:hAnsi="Verdana" w:cs="Arial"/>
          <w:sz w:val="18"/>
          <w:szCs w:val="18"/>
        </w:rPr>
        <w:t xml:space="preserve"> mn and total exports at €</w:t>
      </w:r>
      <w:r w:rsidR="001B367B" w:rsidRPr="00204F41">
        <w:rPr>
          <w:rFonts w:ascii="Verdana" w:hAnsi="Verdana" w:cs="Arial"/>
          <w:sz w:val="18"/>
          <w:szCs w:val="18"/>
        </w:rPr>
        <w:t>2</w:t>
      </w:r>
      <w:r w:rsidR="007A1083" w:rsidRPr="00204F41">
        <w:rPr>
          <w:rFonts w:ascii="Verdana" w:hAnsi="Verdana" w:cs="Arial"/>
          <w:sz w:val="18"/>
          <w:szCs w:val="18"/>
        </w:rPr>
        <w:t>8</w:t>
      </w:r>
      <w:r w:rsidRPr="00204F41">
        <w:rPr>
          <w:rFonts w:ascii="Verdana" w:hAnsi="Verdana" w:cs="Arial"/>
          <w:sz w:val="18"/>
          <w:szCs w:val="18"/>
        </w:rPr>
        <w:t>.</w:t>
      </w:r>
      <w:r w:rsidR="007A1083" w:rsidRPr="00204F41">
        <w:rPr>
          <w:rFonts w:ascii="Verdana" w:hAnsi="Verdana" w:cs="Arial"/>
          <w:sz w:val="18"/>
          <w:szCs w:val="18"/>
        </w:rPr>
        <w:t>506</w:t>
      </w:r>
      <w:r w:rsidRPr="00204F41">
        <w:rPr>
          <w:rFonts w:ascii="Verdana" w:hAnsi="Verdana" w:cs="Arial"/>
          <w:sz w:val="18"/>
          <w:szCs w:val="18"/>
        </w:rPr>
        <w:t>,</w:t>
      </w:r>
      <w:r w:rsidR="001B367B" w:rsidRPr="00204F41">
        <w:rPr>
          <w:rFonts w:ascii="Verdana" w:hAnsi="Verdana" w:cs="Arial"/>
          <w:sz w:val="18"/>
          <w:szCs w:val="18"/>
        </w:rPr>
        <w:t>1</w:t>
      </w:r>
      <w:r w:rsidRPr="00204F41">
        <w:rPr>
          <w:rFonts w:ascii="Verdana" w:hAnsi="Verdana" w:cs="Arial"/>
          <w:sz w:val="18"/>
          <w:szCs w:val="18"/>
        </w:rPr>
        <w:t xml:space="preserve"> </w:t>
      </w:r>
      <w:proofErr w:type="spellStart"/>
      <w:r w:rsidRPr="00204F41">
        <w:rPr>
          <w:rFonts w:ascii="Verdana" w:hAnsi="Verdana" w:cs="Arial"/>
          <w:sz w:val="18"/>
          <w:szCs w:val="18"/>
        </w:rPr>
        <w:t>mn</w:t>
      </w:r>
      <w:proofErr w:type="spellEnd"/>
      <w:r w:rsidRPr="00204F41">
        <w:rPr>
          <w:rFonts w:ascii="Verdana" w:hAnsi="Verdana" w:cs="Arial"/>
          <w:sz w:val="18"/>
          <w:szCs w:val="18"/>
        </w:rPr>
        <w:t>.</w:t>
      </w:r>
    </w:p>
    <w:p w14:paraId="2E70E905" w14:textId="77777777" w:rsidR="008B40A0" w:rsidRPr="00204F41" w:rsidRDefault="008B40A0" w:rsidP="00906134">
      <w:pPr>
        <w:jc w:val="both"/>
        <w:rPr>
          <w:rFonts w:ascii="Verdana" w:hAnsi="Verdana" w:cs="Arial"/>
          <w:b/>
          <w:bCs/>
          <w:sz w:val="18"/>
          <w:szCs w:val="18"/>
        </w:rPr>
      </w:pPr>
    </w:p>
    <w:tbl>
      <w:tblPr>
        <w:tblW w:w="10206" w:type="dxa"/>
        <w:jc w:val="center"/>
        <w:tblLayout w:type="fixed"/>
        <w:tblLook w:val="04A0" w:firstRow="1" w:lastRow="0" w:firstColumn="1" w:lastColumn="0" w:noHBand="0" w:noVBand="1"/>
      </w:tblPr>
      <w:tblGrid>
        <w:gridCol w:w="3828"/>
        <w:gridCol w:w="1436"/>
        <w:gridCol w:w="1379"/>
        <w:gridCol w:w="1149"/>
        <w:gridCol w:w="1086"/>
        <w:gridCol w:w="1328"/>
      </w:tblGrid>
      <w:tr w:rsidR="00894C57" w:rsidRPr="00894C57" w14:paraId="2D92C236" w14:textId="77777777" w:rsidTr="00894C57">
        <w:trPr>
          <w:trHeight w:val="284"/>
          <w:jc w:val="center"/>
        </w:trPr>
        <w:tc>
          <w:tcPr>
            <w:tcW w:w="3859" w:type="dxa"/>
            <w:tcBorders>
              <w:bottom w:val="single" w:sz="4" w:space="0" w:color="366092"/>
            </w:tcBorders>
            <w:noWrap/>
            <w:vAlign w:val="center"/>
          </w:tcPr>
          <w:p w14:paraId="4F88223B" w14:textId="3556D90D" w:rsidR="00C53606" w:rsidRPr="00894C57" w:rsidRDefault="00C53606" w:rsidP="00C53606">
            <w:pPr>
              <w:spacing w:line="276" w:lineRule="auto"/>
              <w:rPr>
                <w:rFonts w:ascii="Verdana" w:eastAsia="Malgun Gothic" w:hAnsi="Verdana" w:cs="Arial"/>
                <w:bCs/>
                <w:color w:val="366092"/>
                <w:sz w:val="18"/>
                <w:szCs w:val="18"/>
              </w:rPr>
            </w:pPr>
            <w:r w:rsidRPr="00894C57">
              <w:rPr>
                <w:rFonts w:ascii="Verdana" w:eastAsia="Malgun Gothic" w:hAnsi="Verdana" w:cs="Arial"/>
                <w:bCs/>
                <w:color w:val="366092"/>
                <w:sz w:val="18"/>
                <w:szCs w:val="18"/>
              </w:rPr>
              <w:t>Table 2: Use, 202</w:t>
            </w:r>
            <w:r w:rsidR="007A1083" w:rsidRPr="00894C57">
              <w:rPr>
                <w:rFonts w:ascii="Verdana" w:eastAsia="Malgun Gothic" w:hAnsi="Verdana" w:cs="Arial"/>
                <w:bCs/>
                <w:color w:val="366092"/>
                <w:sz w:val="18"/>
                <w:szCs w:val="18"/>
              </w:rPr>
              <w:t>2</w:t>
            </w:r>
            <w:r w:rsidRPr="00894C57">
              <w:rPr>
                <w:rFonts w:ascii="Verdana" w:eastAsia="Malgun Gothic" w:hAnsi="Verdana" w:cs="Arial"/>
                <w:bCs/>
                <w:color w:val="366092"/>
                <w:sz w:val="18"/>
                <w:szCs w:val="18"/>
              </w:rPr>
              <w:t xml:space="preserve"> €mn</w:t>
            </w:r>
          </w:p>
        </w:tc>
        <w:tc>
          <w:tcPr>
            <w:tcW w:w="1447" w:type="dxa"/>
            <w:tcBorders>
              <w:bottom w:val="single" w:sz="4" w:space="0" w:color="2F5496" w:themeColor="accent1" w:themeShade="BF"/>
            </w:tcBorders>
            <w:vAlign w:val="center"/>
          </w:tcPr>
          <w:p w14:paraId="34960EDF" w14:textId="77777777" w:rsidR="00C53606" w:rsidRPr="00894C57" w:rsidRDefault="00C53606" w:rsidP="008B40A0">
            <w:pPr>
              <w:spacing w:line="276" w:lineRule="auto"/>
              <w:ind w:left="-105"/>
              <w:jc w:val="center"/>
              <w:rPr>
                <w:rFonts w:ascii="Verdana" w:eastAsia="Malgun Gothic" w:hAnsi="Verdana" w:cs="Arial"/>
                <w:b/>
                <w:color w:val="366092"/>
                <w:sz w:val="17"/>
                <w:szCs w:val="17"/>
              </w:rPr>
            </w:pPr>
          </w:p>
        </w:tc>
        <w:tc>
          <w:tcPr>
            <w:tcW w:w="1389" w:type="dxa"/>
            <w:tcBorders>
              <w:bottom w:val="single" w:sz="4" w:space="0" w:color="2F5496" w:themeColor="accent1" w:themeShade="BF"/>
            </w:tcBorders>
            <w:vAlign w:val="center"/>
          </w:tcPr>
          <w:p w14:paraId="7BC547E4" w14:textId="77777777" w:rsidR="00C53606" w:rsidRPr="00894C57" w:rsidRDefault="00C53606" w:rsidP="008B40A0">
            <w:pPr>
              <w:spacing w:line="276" w:lineRule="auto"/>
              <w:ind w:left="-105"/>
              <w:jc w:val="center"/>
              <w:rPr>
                <w:rFonts w:ascii="Verdana" w:eastAsia="Malgun Gothic" w:hAnsi="Verdana" w:cs="Arial"/>
                <w:b/>
                <w:color w:val="366092"/>
                <w:sz w:val="17"/>
                <w:szCs w:val="17"/>
              </w:rPr>
            </w:pPr>
          </w:p>
        </w:tc>
        <w:tc>
          <w:tcPr>
            <w:tcW w:w="1157" w:type="dxa"/>
            <w:tcBorders>
              <w:bottom w:val="single" w:sz="4" w:space="0" w:color="2F5496" w:themeColor="accent1" w:themeShade="BF"/>
            </w:tcBorders>
            <w:vAlign w:val="center"/>
          </w:tcPr>
          <w:p w14:paraId="5A63EF96" w14:textId="77777777" w:rsidR="00C53606" w:rsidRPr="00894C57" w:rsidRDefault="00C53606" w:rsidP="008B40A0">
            <w:pPr>
              <w:spacing w:line="276" w:lineRule="auto"/>
              <w:ind w:left="-105"/>
              <w:jc w:val="center"/>
              <w:rPr>
                <w:rFonts w:ascii="Verdana" w:eastAsia="Malgun Gothic" w:hAnsi="Verdana" w:cs="Arial"/>
                <w:b/>
                <w:color w:val="366092"/>
                <w:sz w:val="17"/>
                <w:szCs w:val="17"/>
              </w:rPr>
            </w:pPr>
          </w:p>
        </w:tc>
        <w:tc>
          <w:tcPr>
            <w:tcW w:w="1094" w:type="dxa"/>
            <w:tcBorders>
              <w:bottom w:val="single" w:sz="4" w:space="0" w:color="2F5496" w:themeColor="accent1" w:themeShade="BF"/>
            </w:tcBorders>
            <w:vAlign w:val="center"/>
          </w:tcPr>
          <w:p w14:paraId="46EB2DC6" w14:textId="77777777" w:rsidR="00C53606" w:rsidRPr="00894C57" w:rsidRDefault="00C53606" w:rsidP="00DC6FCE">
            <w:pPr>
              <w:spacing w:line="276" w:lineRule="auto"/>
              <w:ind w:left="-105"/>
              <w:jc w:val="center"/>
              <w:rPr>
                <w:rFonts w:ascii="Verdana" w:eastAsia="Malgun Gothic" w:hAnsi="Verdana" w:cs="Arial"/>
                <w:b/>
                <w:color w:val="366092"/>
                <w:sz w:val="17"/>
                <w:szCs w:val="17"/>
              </w:rPr>
            </w:pPr>
          </w:p>
        </w:tc>
        <w:tc>
          <w:tcPr>
            <w:tcW w:w="1338" w:type="dxa"/>
            <w:tcBorders>
              <w:bottom w:val="single" w:sz="4" w:space="0" w:color="2F5496" w:themeColor="accent1" w:themeShade="BF"/>
            </w:tcBorders>
            <w:vAlign w:val="center"/>
          </w:tcPr>
          <w:p w14:paraId="4747EE6E" w14:textId="77777777" w:rsidR="00C53606" w:rsidRPr="00894C57" w:rsidRDefault="00C53606" w:rsidP="008B40A0">
            <w:pPr>
              <w:spacing w:line="276" w:lineRule="auto"/>
              <w:ind w:left="-105"/>
              <w:jc w:val="center"/>
              <w:rPr>
                <w:rFonts w:ascii="Verdana" w:eastAsia="Malgun Gothic" w:hAnsi="Verdana" w:cs="Arial"/>
                <w:b/>
                <w:color w:val="366092"/>
                <w:sz w:val="17"/>
                <w:szCs w:val="17"/>
              </w:rPr>
            </w:pPr>
          </w:p>
        </w:tc>
      </w:tr>
      <w:tr w:rsidR="00894C57" w:rsidRPr="00894C57" w14:paraId="7D385622" w14:textId="77777777" w:rsidTr="00894C57">
        <w:trPr>
          <w:trHeight w:val="788"/>
          <w:jc w:val="center"/>
        </w:trPr>
        <w:tc>
          <w:tcPr>
            <w:tcW w:w="3859" w:type="dxa"/>
            <w:tcBorders>
              <w:top w:val="single" w:sz="4" w:space="0" w:color="366092"/>
              <w:bottom w:val="single" w:sz="4" w:space="0" w:color="366092"/>
            </w:tcBorders>
            <w:noWrap/>
            <w:vAlign w:val="center"/>
            <w:hideMark/>
          </w:tcPr>
          <w:p w14:paraId="27CB1BD4" w14:textId="77777777" w:rsidR="00906134" w:rsidRPr="00894C57" w:rsidRDefault="00906134" w:rsidP="008B40A0">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Product Categories (CPA)</w:t>
            </w:r>
          </w:p>
        </w:tc>
        <w:tc>
          <w:tcPr>
            <w:tcW w:w="1447" w:type="dxa"/>
            <w:tcBorders>
              <w:top w:val="single" w:sz="4" w:space="0" w:color="2F5496" w:themeColor="accent1" w:themeShade="BF"/>
              <w:bottom w:val="single" w:sz="4" w:space="0" w:color="2F5496" w:themeColor="accent1" w:themeShade="BF"/>
            </w:tcBorders>
            <w:vAlign w:val="center"/>
            <w:hideMark/>
          </w:tcPr>
          <w:p w14:paraId="35F75308" w14:textId="77777777" w:rsidR="00906134" w:rsidRPr="00894C57" w:rsidRDefault="00906134" w:rsidP="008B40A0">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Intermediate Consumption</w:t>
            </w:r>
          </w:p>
        </w:tc>
        <w:tc>
          <w:tcPr>
            <w:tcW w:w="1389" w:type="dxa"/>
            <w:tcBorders>
              <w:top w:val="single" w:sz="4" w:space="0" w:color="2F5496" w:themeColor="accent1" w:themeShade="BF"/>
              <w:bottom w:val="single" w:sz="4" w:space="0" w:color="2F5496" w:themeColor="accent1" w:themeShade="BF"/>
            </w:tcBorders>
            <w:vAlign w:val="center"/>
            <w:hideMark/>
          </w:tcPr>
          <w:p w14:paraId="6C392A87" w14:textId="77777777" w:rsidR="00906134" w:rsidRPr="00894C57" w:rsidRDefault="00906134" w:rsidP="008B40A0">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Final Consumption</w:t>
            </w:r>
          </w:p>
        </w:tc>
        <w:tc>
          <w:tcPr>
            <w:tcW w:w="1157" w:type="dxa"/>
            <w:tcBorders>
              <w:top w:val="single" w:sz="4" w:space="0" w:color="2F5496" w:themeColor="accent1" w:themeShade="BF"/>
              <w:bottom w:val="single" w:sz="4" w:space="0" w:color="2F5496" w:themeColor="accent1" w:themeShade="BF"/>
            </w:tcBorders>
            <w:vAlign w:val="center"/>
            <w:hideMark/>
          </w:tcPr>
          <w:p w14:paraId="682167F7" w14:textId="77777777" w:rsidR="00906134" w:rsidRPr="00894C57" w:rsidRDefault="00906134" w:rsidP="008B40A0">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Gross Capital Formation</w:t>
            </w:r>
          </w:p>
        </w:tc>
        <w:tc>
          <w:tcPr>
            <w:tcW w:w="1094" w:type="dxa"/>
            <w:tcBorders>
              <w:top w:val="single" w:sz="4" w:space="0" w:color="2F5496" w:themeColor="accent1" w:themeShade="BF"/>
              <w:bottom w:val="single" w:sz="4" w:space="0" w:color="2F5496" w:themeColor="accent1" w:themeShade="BF"/>
            </w:tcBorders>
            <w:vAlign w:val="center"/>
            <w:hideMark/>
          </w:tcPr>
          <w:p w14:paraId="649E505C" w14:textId="77777777" w:rsidR="00906134" w:rsidRPr="00894C57" w:rsidRDefault="00906134" w:rsidP="00DC6FCE">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Exports</w:t>
            </w:r>
          </w:p>
        </w:tc>
        <w:tc>
          <w:tcPr>
            <w:tcW w:w="1338" w:type="dxa"/>
            <w:tcBorders>
              <w:top w:val="single" w:sz="4" w:space="0" w:color="2F5496" w:themeColor="accent1" w:themeShade="BF"/>
              <w:bottom w:val="single" w:sz="4" w:space="0" w:color="2F5496" w:themeColor="accent1" w:themeShade="BF"/>
            </w:tcBorders>
            <w:vAlign w:val="center"/>
            <w:hideMark/>
          </w:tcPr>
          <w:p w14:paraId="287DCD43" w14:textId="77777777" w:rsidR="00906134" w:rsidRPr="00894C57" w:rsidRDefault="00906134" w:rsidP="008B40A0">
            <w:pPr>
              <w:spacing w:line="276" w:lineRule="auto"/>
              <w:ind w:left="-105"/>
              <w:jc w:val="center"/>
              <w:rPr>
                <w:rFonts w:ascii="Verdana" w:eastAsia="Malgun Gothic" w:hAnsi="Verdana" w:cs="Arial"/>
                <w:b/>
                <w:color w:val="366092"/>
                <w:sz w:val="17"/>
                <w:szCs w:val="17"/>
              </w:rPr>
            </w:pPr>
            <w:r w:rsidRPr="00894C57">
              <w:rPr>
                <w:rFonts w:ascii="Verdana" w:eastAsia="Malgun Gothic" w:hAnsi="Verdana" w:cs="Arial"/>
                <w:b/>
                <w:color w:val="366092"/>
                <w:sz w:val="17"/>
                <w:szCs w:val="17"/>
              </w:rPr>
              <w:t>Total Use (purchasers' prices)</w:t>
            </w:r>
          </w:p>
        </w:tc>
      </w:tr>
      <w:tr w:rsidR="00894C57" w:rsidRPr="00894C57" w14:paraId="70305CC6" w14:textId="77777777" w:rsidTr="00894C57">
        <w:trPr>
          <w:trHeight w:val="275"/>
          <w:jc w:val="center"/>
        </w:trPr>
        <w:tc>
          <w:tcPr>
            <w:tcW w:w="3859" w:type="dxa"/>
            <w:tcBorders>
              <w:top w:val="single" w:sz="4" w:space="0" w:color="366092"/>
            </w:tcBorders>
            <w:noWrap/>
            <w:vAlign w:val="center"/>
            <w:hideMark/>
          </w:tcPr>
          <w:p w14:paraId="754D4B89"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Agriculture, forestry &amp; fishing (CPA 01-03)</w:t>
            </w:r>
          </w:p>
        </w:tc>
        <w:tc>
          <w:tcPr>
            <w:tcW w:w="1447" w:type="dxa"/>
            <w:tcBorders>
              <w:top w:val="single" w:sz="4" w:space="0" w:color="2F5496" w:themeColor="accent1" w:themeShade="BF"/>
            </w:tcBorders>
            <w:noWrap/>
            <w:vAlign w:val="center"/>
            <w:hideMark/>
          </w:tcPr>
          <w:p w14:paraId="3157CA45" w14:textId="46CBA1CC"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673,7</w:t>
            </w:r>
          </w:p>
        </w:tc>
        <w:tc>
          <w:tcPr>
            <w:tcW w:w="1389" w:type="dxa"/>
            <w:tcBorders>
              <w:top w:val="single" w:sz="4" w:space="0" w:color="2F5496" w:themeColor="accent1" w:themeShade="BF"/>
            </w:tcBorders>
            <w:noWrap/>
            <w:vAlign w:val="center"/>
            <w:hideMark/>
          </w:tcPr>
          <w:p w14:paraId="0FF78A84" w14:textId="46228529"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543,2</w:t>
            </w:r>
          </w:p>
        </w:tc>
        <w:tc>
          <w:tcPr>
            <w:tcW w:w="1157" w:type="dxa"/>
            <w:tcBorders>
              <w:top w:val="single" w:sz="4" w:space="0" w:color="2F5496" w:themeColor="accent1" w:themeShade="BF"/>
            </w:tcBorders>
            <w:noWrap/>
            <w:vAlign w:val="center"/>
            <w:hideMark/>
          </w:tcPr>
          <w:p w14:paraId="2689AE71" w14:textId="4FD7B0A3" w:rsidR="00C858E7" w:rsidRPr="00894C57" w:rsidRDefault="00D07880"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-13,3</w:t>
            </w:r>
          </w:p>
        </w:tc>
        <w:tc>
          <w:tcPr>
            <w:tcW w:w="1094" w:type="dxa"/>
            <w:tcBorders>
              <w:top w:val="single" w:sz="4" w:space="0" w:color="2F5496" w:themeColor="accent1" w:themeShade="BF"/>
            </w:tcBorders>
            <w:noWrap/>
            <w:vAlign w:val="center"/>
            <w:hideMark/>
          </w:tcPr>
          <w:p w14:paraId="0AF5D948" w14:textId="544D2DF0"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106,7</w:t>
            </w:r>
          </w:p>
        </w:tc>
        <w:tc>
          <w:tcPr>
            <w:tcW w:w="1338" w:type="dxa"/>
            <w:tcBorders>
              <w:top w:val="single" w:sz="4" w:space="0" w:color="2F5496" w:themeColor="accent1" w:themeShade="BF"/>
            </w:tcBorders>
            <w:noWrap/>
            <w:vAlign w:val="bottom"/>
            <w:hideMark/>
          </w:tcPr>
          <w:p w14:paraId="149D436D" w14:textId="3985F054"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1.310,2</w:t>
            </w:r>
          </w:p>
        </w:tc>
      </w:tr>
      <w:tr w:rsidR="00894C57" w:rsidRPr="00894C57" w14:paraId="3A28B93D" w14:textId="77777777" w:rsidTr="00DC6FCE">
        <w:trPr>
          <w:trHeight w:val="300"/>
          <w:jc w:val="center"/>
        </w:trPr>
        <w:tc>
          <w:tcPr>
            <w:tcW w:w="3859" w:type="dxa"/>
            <w:noWrap/>
            <w:vAlign w:val="center"/>
            <w:hideMark/>
          </w:tcPr>
          <w:p w14:paraId="0A641045"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Manufacturing (CPA 05-39)</w:t>
            </w:r>
          </w:p>
        </w:tc>
        <w:tc>
          <w:tcPr>
            <w:tcW w:w="1447" w:type="dxa"/>
            <w:noWrap/>
            <w:vAlign w:val="center"/>
            <w:hideMark/>
          </w:tcPr>
          <w:p w14:paraId="3BD0CFC1" w14:textId="621A3D67"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9.514,1</w:t>
            </w:r>
          </w:p>
        </w:tc>
        <w:tc>
          <w:tcPr>
            <w:tcW w:w="1389" w:type="dxa"/>
            <w:noWrap/>
            <w:vAlign w:val="center"/>
            <w:hideMark/>
          </w:tcPr>
          <w:p w14:paraId="54BEEACA" w14:textId="2D681156"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7.958,3</w:t>
            </w:r>
          </w:p>
        </w:tc>
        <w:tc>
          <w:tcPr>
            <w:tcW w:w="1157" w:type="dxa"/>
            <w:noWrap/>
            <w:vAlign w:val="center"/>
            <w:hideMark/>
          </w:tcPr>
          <w:p w14:paraId="3B4232C1" w14:textId="4CB97915" w:rsidR="00C858E7" w:rsidRPr="00894C57" w:rsidRDefault="00D07880"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1.732,9</w:t>
            </w:r>
          </w:p>
        </w:tc>
        <w:tc>
          <w:tcPr>
            <w:tcW w:w="1094" w:type="dxa"/>
            <w:noWrap/>
            <w:vAlign w:val="center"/>
            <w:hideMark/>
          </w:tcPr>
          <w:p w14:paraId="75A1FB1D" w14:textId="774CD5B0"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5.095,7</w:t>
            </w:r>
          </w:p>
        </w:tc>
        <w:tc>
          <w:tcPr>
            <w:tcW w:w="1338" w:type="dxa"/>
            <w:noWrap/>
            <w:vAlign w:val="bottom"/>
            <w:hideMark/>
          </w:tcPr>
          <w:p w14:paraId="622B820B" w14:textId="0B1D8162"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24.301,0</w:t>
            </w:r>
          </w:p>
        </w:tc>
      </w:tr>
      <w:tr w:rsidR="00894C57" w:rsidRPr="00894C57" w14:paraId="0928CE65" w14:textId="77777777" w:rsidTr="00DC6FCE">
        <w:trPr>
          <w:trHeight w:val="265"/>
          <w:jc w:val="center"/>
        </w:trPr>
        <w:tc>
          <w:tcPr>
            <w:tcW w:w="3859" w:type="dxa"/>
            <w:noWrap/>
            <w:vAlign w:val="center"/>
            <w:hideMark/>
          </w:tcPr>
          <w:p w14:paraId="47571973"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Construction (CPA 41-43)</w:t>
            </w:r>
          </w:p>
        </w:tc>
        <w:tc>
          <w:tcPr>
            <w:tcW w:w="1447" w:type="dxa"/>
            <w:noWrap/>
            <w:vAlign w:val="center"/>
            <w:hideMark/>
          </w:tcPr>
          <w:p w14:paraId="737824C5" w14:textId="46A49DA0"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2.614,5</w:t>
            </w:r>
          </w:p>
        </w:tc>
        <w:tc>
          <w:tcPr>
            <w:tcW w:w="1389" w:type="dxa"/>
            <w:noWrap/>
            <w:vAlign w:val="center"/>
            <w:hideMark/>
          </w:tcPr>
          <w:p w14:paraId="63278B28" w14:textId="3264E06B"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13,3</w:t>
            </w:r>
          </w:p>
        </w:tc>
        <w:tc>
          <w:tcPr>
            <w:tcW w:w="1157" w:type="dxa"/>
            <w:noWrap/>
            <w:vAlign w:val="center"/>
            <w:hideMark/>
          </w:tcPr>
          <w:p w14:paraId="7F126574" w14:textId="763E8533" w:rsidR="00C858E7" w:rsidRPr="00894C57" w:rsidRDefault="00D07880"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3.335,5</w:t>
            </w:r>
          </w:p>
        </w:tc>
        <w:tc>
          <w:tcPr>
            <w:tcW w:w="1094" w:type="dxa"/>
            <w:noWrap/>
            <w:vAlign w:val="center"/>
            <w:hideMark/>
          </w:tcPr>
          <w:p w14:paraId="7FCB10DE" w14:textId="580177A7"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44,4</w:t>
            </w:r>
          </w:p>
        </w:tc>
        <w:tc>
          <w:tcPr>
            <w:tcW w:w="1338" w:type="dxa"/>
            <w:noWrap/>
            <w:vAlign w:val="bottom"/>
            <w:hideMark/>
          </w:tcPr>
          <w:p w14:paraId="2C530D0F" w14:textId="78057178"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6.007,7</w:t>
            </w:r>
          </w:p>
        </w:tc>
      </w:tr>
      <w:tr w:rsidR="00894C57" w:rsidRPr="00894C57" w14:paraId="799FFAD7" w14:textId="77777777" w:rsidTr="00DC6FCE">
        <w:trPr>
          <w:trHeight w:val="300"/>
          <w:jc w:val="center"/>
        </w:trPr>
        <w:tc>
          <w:tcPr>
            <w:tcW w:w="3859" w:type="dxa"/>
            <w:noWrap/>
            <w:vAlign w:val="center"/>
            <w:hideMark/>
          </w:tcPr>
          <w:p w14:paraId="7D82B947"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Distribution &amp; transport (CPA 45-53)</w:t>
            </w:r>
          </w:p>
        </w:tc>
        <w:tc>
          <w:tcPr>
            <w:tcW w:w="1447" w:type="dxa"/>
            <w:noWrap/>
            <w:vAlign w:val="center"/>
            <w:hideMark/>
          </w:tcPr>
          <w:p w14:paraId="1B0AC8AA" w14:textId="3B872EF0"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4.357,4</w:t>
            </w:r>
          </w:p>
        </w:tc>
        <w:tc>
          <w:tcPr>
            <w:tcW w:w="1389" w:type="dxa"/>
            <w:noWrap/>
            <w:vAlign w:val="center"/>
            <w:hideMark/>
          </w:tcPr>
          <w:p w14:paraId="07C0DC95" w14:textId="713D0348"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835,6</w:t>
            </w:r>
          </w:p>
        </w:tc>
        <w:tc>
          <w:tcPr>
            <w:tcW w:w="1157" w:type="dxa"/>
            <w:noWrap/>
            <w:vAlign w:val="center"/>
            <w:hideMark/>
          </w:tcPr>
          <w:p w14:paraId="0CDAE3CC" w14:textId="667D5391" w:rsidR="00C858E7" w:rsidRPr="00894C57" w:rsidRDefault="00C858E7"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0,0</w:t>
            </w:r>
          </w:p>
        </w:tc>
        <w:tc>
          <w:tcPr>
            <w:tcW w:w="1094" w:type="dxa"/>
            <w:noWrap/>
            <w:vAlign w:val="center"/>
            <w:hideMark/>
          </w:tcPr>
          <w:p w14:paraId="4461CE45" w14:textId="5DD61042"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4.980,9</w:t>
            </w:r>
          </w:p>
        </w:tc>
        <w:tc>
          <w:tcPr>
            <w:tcW w:w="1338" w:type="dxa"/>
            <w:noWrap/>
            <w:vAlign w:val="bottom"/>
            <w:hideMark/>
          </w:tcPr>
          <w:p w14:paraId="7732F9A4" w14:textId="20CF78C7"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10.173,8</w:t>
            </w:r>
          </w:p>
        </w:tc>
      </w:tr>
      <w:tr w:rsidR="00894C57" w:rsidRPr="00894C57" w14:paraId="5CDDFD2D" w14:textId="77777777" w:rsidTr="00DC6FCE">
        <w:trPr>
          <w:trHeight w:val="300"/>
          <w:jc w:val="center"/>
        </w:trPr>
        <w:tc>
          <w:tcPr>
            <w:tcW w:w="3859" w:type="dxa"/>
            <w:noWrap/>
            <w:vAlign w:val="center"/>
            <w:hideMark/>
          </w:tcPr>
          <w:p w14:paraId="09670A76"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Business services (CPA 55-82)</w:t>
            </w:r>
          </w:p>
        </w:tc>
        <w:tc>
          <w:tcPr>
            <w:tcW w:w="1447" w:type="dxa"/>
            <w:noWrap/>
            <w:vAlign w:val="center"/>
            <w:hideMark/>
          </w:tcPr>
          <w:p w14:paraId="51090A30" w14:textId="3A78904C"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20.336,1</w:t>
            </w:r>
          </w:p>
        </w:tc>
        <w:tc>
          <w:tcPr>
            <w:tcW w:w="1389" w:type="dxa"/>
            <w:noWrap/>
            <w:vAlign w:val="center"/>
            <w:hideMark/>
          </w:tcPr>
          <w:p w14:paraId="62D8AB8D" w14:textId="277AD83E"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7.478,1</w:t>
            </w:r>
          </w:p>
        </w:tc>
        <w:tc>
          <w:tcPr>
            <w:tcW w:w="1157" w:type="dxa"/>
            <w:noWrap/>
            <w:vAlign w:val="center"/>
            <w:hideMark/>
          </w:tcPr>
          <w:p w14:paraId="2D3A3171" w14:textId="67CDAA66" w:rsidR="00C858E7" w:rsidRPr="00894C57" w:rsidRDefault="00D07880"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1.034,9</w:t>
            </w:r>
          </w:p>
        </w:tc>
        <w:tc>
          <w:tcPr>
            <w:tcW w:w="1094" w:type="dxa"/>
            <w:noWrap/>
            <w:vAlign w:val="center"/>
            <w:hideMark/>
          </w:tcPr>
          <w:p w14:paraId="2C878123" w14:textId="3F1AE671"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17.913,8</w:t>
            </w:r>
          </w:p>
        </w:tc>
        <w:tc>
          <w:tcPr>
            <w:tcW w:w="1338" w:type="dxa"/>
            <w:noWrap/>
            <w:vAlign w:val="bottom"/>
            <w:hideMark/>
          </w:tcPr>
          <w:p w14:paraId="6571E152" w14:textId="1FE2A721"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46.762,9</w:t>
            </w:r>
          </w:p>
        </w:tc>
      </w:tr>
      <w:tr w:rsidR="00894C57" w:rsidRPr="00894C57" w14:paraId="4395F585" w14:textId="77777777" w:rsidTr="00894C57">
        <w:trPr>
          <w:trHeight w:val="300"/>
          <w:jc w:val="center"/>
        </w:trPr>
        <w:tc>
          <w:tcPr>
            <w:tcW w:w="3859" w:type="dxa"/>
            <w:tcBorders>
              <w:bottom w:val="single" w:sz="4" w:space="0" w:color="366092"/>
            </w:tcBorders>
            <w:noWrap/>
            <w:vAlign w:val="center"/>
            <w:hideMark/>
          </w:tcPr>
          <w:p w14:paraId="4B4680E3" w14:textId="77777777" w:rsidR="00C858E7" w:rsidRPr="00894C57" w:rsidRDefault="00C858E7" w:rsidP="008B40A0">
            <w:pPr>
              <w:spacing w:line="276" w:lineRule="auto"/>
              <w:ind w:left="-105"/>
              <w:rPr>
                <w:rFonts w:ascii="Verdana" w:eastAsia="Times New Roman" w:hAnsi="Verdana" w:cs="Arial"/>
                <w:color w:val="366092"/>
                <w:sz w:val="17"/>
                <w:szCs w:val="17"/>
              </w:rPr>
            </w:pPr>
            <w:r w:rsidRPr="00894C57">
              <w:rPr>
                <w:rFonts w:ascii="Verdana" w:eastAsia="Times New Roman" w:hAnsi="Verdana" w:cs="Arial"/>
                <w:color w:val="366092"/>
                <w:sz w:val="17"/>
                <w:szCs w:val="17"/>
              </w:rPr>
              <w:t xml:space="preserve"> Other services (CPA 84-99)</w:t>
            </w:r>
          </w:p>
        </w:tc>
        <w:tc>
          <w:tcPr>
            <w:tcW w:w="1447" w:type="dxa"/>
            <w:tcBorders>
              <w:bottom w:val="single" w:sz="4" w:space="0" w:color="366092"/>
            </w:tcBorders>
            <w:noWrap/>
            <w:vAlign w:val="center"/>
            <w:hideMark/>
          </w:tcPr>
          <w:p w14:paraId="6ACB60A0" w14:textId="05B4D94D"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585,3</w:t>
            </w:r>
          </w:p>
        </w:tc>
        <w:tc>
          <w:tcPr>
            <w:tcW w:w="1389" w:type="dxa"/>
            <w:tcBorders>
              <w:bottom w:val="single" w:sz="4" w:space="0" w:color="366092"/>
            </w:tcBorders>
            <w:noWrap/>
            <w:vAlign w:val="center"/>
            <w:hideMark/>
          </w:tcPr>
          <w:p w14:paraId="1746C400" w14:textId="1A4B5312" w:rsidR="00C858E7" w:rsidRPr="00894C57" w:rsidRDefault="00D07880" w:rsidP="008B40A0">
            <w:pPr>
              <w:spacing w:line="276" w:lineRule="auto"/>
              <w:ind w:left="-108" w:right="113"/>
              <w:jc w:val="right"/>
              <w:rPr>
                <w:rFonts w:ascii="Verdana" w:hAnsi="Verdana"/>
                <w:color w:val="366092"/>
                <w:sz w:val="17"/>
                <w:szCs w:val="17"/>
              </w:rPr>
            </w:pPr>
            <w:r w:rsidRPr="00894C57">
              <w:rPr>
                <w:rFonts w:ascii="Verdana" w:hAnsi="Verdana" w:cs="Calibri"/>
                <w:color w:val="366092"/>
                <w:sz w:val="17"/>
                <w:szCs w:val="17"/>
              </w:rPr>
              <w:t>7.137,3</w:t>
            </w:r>
          </w:p>
        </w:tc>
        <w:tc>
          <w:tcPr>
            <w:tcW w:w="1157" w:type="dxa"/>
            <w:tcBorders>
              <w:bottom w:val="single" w:sz="4" w:space="0" w:color="366092"/>
            </w:tcBorders>
            <w:noWrap/>
            <w:vAlign w:val="center"/>
            <w:hideMark/>
          </w:tcPr>
          <w:p w14:paraId="10DA00CE" w14:textId="5154EDFD" w:rsidR="00C858E7" w:rsidRPr="00894C57" w:rsidRDefault="00D07880" w:rsidP="008B40A0">
            <w:pPr>
              <w:spacing w:line="276" w:lineRule="auto"/>
              <w:ind w:left="-108" w:right="57"/>
              <w:jc w:val="right"/>
              <w:rPr>
                <w:rFonts w:ascii="Verdana" w:hAnsi="Verdana"/>
                <w:color w:val="366092"/>
                <w:sz w:val="17"/>
                <w:szCs w:val="17"/>
              </w:rPr>
            </w:pPr>
            <w:r w:rsidRPr="00894C57">
              <w:rPr>
                <w:rFonts w:ascii="Verdana" w:hAnsi="Verdana" w:cs="Calibri"/>
                <w:color w:val="366092"/>
                <w:sz w:val="17"/>
                <w:szCs w:val="17"/>
              </w:rPr>
              <w:t>15,5</w:t>
            </w:r>
          </w:p>
        </w:tc>
        <w:tc>
          <w:tcPr>
            <w:tcW w:w="1094" w:type="dxa"/>
            <w:tcBorders>
              <w:bottom w:val="single" w:sz="4" w:space="0" w:color="366092"/>
            </w:tcBorders>
            <w:noWrap/>
            <w:vAlign w:val="center"/>
            <w:hideMark/>
          </w:tcPr>
          <w:p w14:paraId="165D9948" w14:textId="2BE8A302" w:rsidR="00C858E7" w:rsidRPr="00894C57" w:rsidRDefault="00D07880" w:rsidP="00DC6FCE">
            <w:pPr>
              <w:spacing w:line="276" w:lineRule="auto"/>
              <w:ind w:left="-108"/>
              <w:jc w:val="right"/>
              <w:rPr>
                <w:rFonts w:ascii="Verdana" w:hAnsi="Verdana"/>
                <w:color w:val="366092"/>
                <w:sz w:val="17"/>
                <w:szCs w:val="17"/>
              </w:rPr>
            </w:pPr>
            <w:r w:rsidRPr="00894C57">
              <w:rPr>
                <w:rFonts w:ascii="Verdana" w:hAnsi="Verdana" w:cs="Calibri"/>
                <w:color w:val="366092"/>
                <w:sz w:val="17"/>
                <w:szCs w:val="17"/>
              </w:rPr>
              <w:t>364,7</w:t>
            </w:r>
          </w:p>
        </w:tc>
        <w:tc>
          <w:tcPr>
            <w:tcW w:w="1338" w:type="dxa"/>
            <w:tcBorders>
              <w:bottom w:val="single" w:sz="4" w:space="0" w:color="366092"/>
            </w:tcBorders>
            <w:noWrap/>
            <w:vAlign w:val="bottom"/>
            <w:hideMark/>
          </w:tcPr>
          <w:p w14:paraId="1FCE2CB6" w14:textId="44BE2452" w:rsidR="00C858E7" w:rsidRPr="00894C57" w:rsidRDefault="00D07880" w:rsidP="008B40A0">
            <w:pPr>
              <w:spacing w:line="276" w:lineRule="auto"/>
              <w:ind w:left="-108" w:right="57"/>
              <w:jc w:val="right"/>
              <w:rPr>
                <w:rFonts w:ascii="Verdana" w:hAnsi="Verdana"/>
                <w:b/>
                <w:bCs/>
                <w:color w:val="366092"/>
                <w:sz w:val="17"/>
                <w:szCs w:val="17"/>
              </w:rPr>
            </w:pPr>
            <w:r w:rsidRPr="00894C57">
              <w:rPr>
                <w:rFonts w:ascii="Verdana" w:hAnsi="Verdana" w:cs="Calibri"/>
                <w:b/>
                <w:bCs/>
                <w:color w:val="366092"/>
                <w:sz w:val="17"/>
                <w:szCs w:val="17"/>
              </w:rPr>
              <w:t>8.102,9</w:t>
            </w:r>
          </w:p>
        </w:tc>
      </w:tr>
      <w:tr w:rsidR="00894C57" w:rsidRPr="00894C57" w14:paraId="04F78DF5" w14:textId="77777777" w:rsidTr="00894C57">
        <w:trPr>
          <w:trHeight w:val="401"/>
          <w:jc w:val="center"/>
        </w:trPr>
        <w:tc>
          <w:tcPr>
            <w:tcW w:w="3859" w:type="dxa"/>
            <w:tcBorders>
              <w:top w:val="single" w:sz="4" w:space="0" w:color="366092"/>
              <w:bottom w:val="single" w:sz="4" w:space="0" w:color="366092"/>
            </w:tcBorders>
            <w:noWrap/>
            <w:vAlign w:val="center"/>
            <w:hideMark/>
          </w:tcPr>
          <w:p w14:paraId="6AF8BA05" w14:textId="77777777" w:rsidR="00906134" w:rsidRPr="00894C57" w:rsidRDefault="00906134" w:rsidP="008B40A0">
            <w:pPr>
              <w:spacing w:line="276" w:lineRule="auto"/>
              <w:ind w:left="-105"/>
              <w:rPr>
                <w:rFonts w:ascii="Verdana" w:eastAsia="Malgun Gothic" w:hAnsi="Verdana" w:cs="Arial"/>
                <w:b/>
                <w:bCs/>
                <w:color w:val="366092"/>
                <w:sz w:val="17"/>
                <w:szCs w:val="17"/>
              </w:rPr>
            </w:pPr>
            <w:r w:rsidRPr="00894C57">
              <w:rPr>
                <w:rFonts w:ascii="Verdana" w:eastAsia="Times New Roman" w:hAnsi="Verdana" w:cs="Arial"/>
                <w:b/>
                <w:bCs/>
                <w:color w:val="366092"/>
                <w:sz w:val="17"/>
                <w:szCs w:val="17"/>
              </w:rPr>
              <w:t xml:space="preserve"> Total Use (CPA 01-99)</w:t>
            </w:r>
          </w:p>
        </w:tc>
        <w:tc>
          <w:tcPr>
            <w:tcW w:w="1447" w:type="dxa"/>
            <w:tcBorders>
              <w:top w:val="single" w:sz="4" w:space="0" w:color="366092"/>
              <w:bottom w:val="single" w:sz="4" w:space="0" w:color="366092"/>
            </w:tcBorders>
            <w:noWrap/>
            <w:vAlign w:val="bottom"/>
            <w:hideMark/>
          </w:tcPr>
          <w:p w14:paraId="63052F53" w14:textId="610C557F" w:rsidR="00906134" w:rsidRPr="00894C57" w:rsidRDefault="00D07880" w:rsidP="008B40A0">
            <w:pPr>
              <w:spacing w:after="26" w:line="360" w:lineRule="auto"/>
              <w:ind w:left="-108" w:right="113"/>
              <w:jc w:val="right"/>
              <w:rPr>
                <w:rFonts w:ascii="Verdana" w:hAnsi="Verdana" w:cs="Calibri"/>
                <w:b/>
                <w:bCs/>
                <w:color w:val="366092"/>
                <w:sz w:val="17"/>
                <w:szCs w:val="17"/>
              </w:rPr>
            </w:pPr>
            <w:r w:rsidRPr="00894C57">
              <w:rPr>
                <w:rFonts w:ascii="Verdana" w:hAnsi="Verdana" w:cs="Calibri"/>
                <w:b/>
                <w:bCs/>
                <w:color w:val="366092"/>
                <w:sz w:val="17"/>
                <w:szCs w:val="17"/>
              </w:rPr>
              <w:t>38.081,2</w:t>
            </w:r>
          </w:p>
        </w:tc>
        <w:tc>
          <w:tcPr>
            <w:tcW w:w="1389" w:type="dxa"/>
            <w:tcBorders>
              <w:top w:val="single" w:sz="4" w:space="0" w:color="366092"/>
              <w:bottom w:val="single" w:sz="4" w:space="0" w:color="366092"/>
            </w:tcBorders>
            <w:noWrap/>
            <w:vAlign w:val="bottom"/>
            <w:hideMark/>
          </w:tcPr>
          <w:p w14:paraId="58F5775D" w14:textId="2D9A8961" w:rsidR="00906134" w:rsidRPr="00894C57" w:rsidRDefault="00D07880" w:rsidP="008B40A0">
            <w:pPr>
              <w:spacing w:after="26" w:line="360" w:lineRule="auto"/>
              <w:ind w:left="-108" w:right="113"/>
              <w:jc w:val="right"/>
              <w:rPr>
                <w:rFonts w:ascii="Verdana" w:hAnsi="Verdana" w:cs="Calibri"/>
                <w:b/>
                <w:bCs/>
                <w:color w:val="366092"/>
                <w:sz w:val="17"/>
                <w:szCs w:val="17"/>
              </w:rPr>
            </w:pPr>
            <w:r w:rsidRPr="00894C57">
              <w:rPr>
                <w:rFonts w:ascii="Verdana" w:hAnsi="Verdana" w:cs="Calibri"/>
                <w:b/>
                <w:bCs/>
                <w:color w:val="366092"/>
                <w:sz w:val="17"/>
                <w:szCs w:val="17"/>
              </w:rPr>
              <w:t>23.965,8</w:t>
            </w:r>
          </w:p>
        </w:tc>
        <w:tc>
          <w:tcPr>
            <w:tcW w:w="1157" w:type="dxa"/>
            <w:tcBorders>
              <w:top w:val="single" w:sz="4" w:space="0" w:color="366092"/>
              <w:bottom w:val="single" w:sz="4" w:space="0" w:color="366092"/>
            </w:tcBorders>
            <w:noWrap/>
            <w:vAlign w:val="bottom"/>
            <w:hideMark/>
          </w:tcPr>
          <w:p w14:paraId="5BF1206C" w14:textId="21EAA183" w:rsidR="00906134" w:rsidRPr="00894C57" w:rsidRDefault="00D07880" w:rsidP="008B40A0">
            <w:pPr>
              <w:spacing w:after="26" w:line="360" w:lineRule="auto"/>
              <w:ind w:left="-108" w:right="57"/>
              <w:jc w:val="right"/>
              <w:rPr>
                <w:rFonts w:ascii="Verdana" w:hAnsi="Verdana" w:cs="Calibri"/>
                <w:b/>
                <w:bCs/>
                <w:color w:val="366092"/>
                <w:sz w:val="17"/>
                <w:szCs w:val="17"/>
              </w:rPr>
            </w:pPr>
            <w:r w:rsidRPr="00894C57">
              <w:rPr>
                <w:rFonts w:ascii="Verdana" w:hAnsi="Verdana" w:cs="Calibri"/>
                <w:b/>
                <w:bCs/>
                <w:color w:val="366092"/>
                <w:sz w:val="17"/>
                <w:szCs w:val="17"/>
              </w:rPr>
              <w:t>6.105,5</w:t>
            </w:r>
          </w:p>
        </w:tc>
        <w:tc>
          <w:tcPr>
            <w:tcW w:w="1094" w:type="dxa"/>
            <w:tcBorders>
              <w:top w:val="single" w:sz="4" w:space="0" w:color="366092"/>
              <w:bottom w:val="single" w:sz="4" w:space="0" w:color="366092"/>
            </w:tcBorders>
            <w:noWrap/>
            <w:vAlign w:val="bottom"/>
            <w:hideMark/>
          </w:tcPr>
          <w:p w14:paraId="4C75AFD1" w14:textId="75F5ED64" w:rsidR="00906134" w:rsidRPr="00894C57" w:rsidRDefault="00D07880" w:rsidP="00DC6FCE">
            <w:pPr>
              <w:spacing w:after="26" w:line="360" w:lineRule="auto"/>
              <w:ind w:left="-108"/>
              <w:jc w:val="right"/>
              <w:rPr>
                <w:rFonts w:ascii="Verdana" w:hAnsi="Verdana" w:cs="Calibri"/>
                <w:b/>
                <w:bCs/>
                <w:color w:val="366092"/>
                <w:sz w:val="17"/>
                <w:szCs w:val="17"/>
              </w:rPr>
            </w:pPr>
            <w:r w:rsidRPr="00894C57">
              <w:rPr>
                <w:rFonts w:ascii="Verdana" w:hAnsi="Verdana" w:cs="Calibri"/>
                <w:b/>
                <w:bCs/>
                <w:color w:val="366092"/>
                <w:sz w:val="17"/>
                <w:szCs w:val="17"/>
              </w:rPr>
              <w:t>28.506,1</w:t>
            </w:r>
          </w:p>
        </w:tc>
        <w:tc>
          <w:tcPr>
            <w:tcW w:w="1338" w:type="dxa"/>
            <w:tcBorders>
              <w:top w:val="single" w:sz="4" w:space="0" w:color="366092"/>
              <w:bottom w:val="single" w:sz="4" w:space="0" w:color="366092"/>
            </w:tcBorders>
            <w:noWrap/>
            <w:vAlign w:val="bottom"/>
            <w:hideMark/>
          </w:tcPr>
          <w:p w14:paraId="59E6C3EF" w14:textId="28AF3176" w:rsidR="00906134" w:rsidRPr="00894C57" w:rsidRDefault="00D07880" w:rsidP="008B40A0">
            <w:pPr>
              <w:spacing w:after="26" w:line="360" w:lineRule="auto"/>
              <w:ind w:left="-108" w:right="57"/>
              <w:jc w:val="right"/>
              <w:rPr>
                <w:rFonts w:ascii="Verdana" w:hAnsi="Verdana" w:cs="Calibri"/>
                <w:b/>
                <w:bCs/>
                <w:color w:val="366092"/>
                <w:sz w:val="17"/>
                <w:szCs w:val="17"/>
              </w:rPr>
            </w:pPr>
            <w:r w:rsidRPr="00894C57">
              <w:rPr>
                <w:rFonts w:ascii="Verdana" w:hAnsi="Verdana" w:cs="Calibri"/>
                <w:b/>
                <w:bCs/>
                <w:color w:val="366092"/>
                <w:sz w:val="17"/>
                <w:szCs w:val="17"/>
              </w:rPr>
              <w:t>96.658,5</w:t>
            </w:r>
          </w:p>
        </w:tc>
      </w:tr>
    </w:tbl>
    <w:p w14:paraId="4B055AF3" w14:textId="52C24C11" w:rsidR="00E361C3" w:rsidRPr="00204F41" w:rsidRDefault="00E361C3" w:rsidP="006E18EE">
      <w:pPr>
        <w:ind w:right="-1"/>
        <w:jc w:val="both"/>
        <w:rPr>
          <w:rFonts w:ascii="Verdana" w:eastAsia="Malgun Gothic" w:hAnsi="Verdana" w:cs="Arial"/>
          <w:sz w:val="18"/>
          <w:szCs w:val="18"/>
        </w:rPr>
      </w:pPr>
    </w:p>
    <w:p w14:paraId="02ED14D3" w14:textId="77777777" w:rsidR="00E361C3" w:rsidRPr="00204F41" w:rsidRDefault="00E361C3" w:rsidP="006E18EE">
      <w:pPr>
        <w:ind w:right="-1"/>
        <w:jc w:val="both"/>
        <w:rPr>
          <w:rFonts w:ascii="Verdana" w:eastAsia="Malgun Gothic" w:hAnsi="Verdana" w:cs="Arial"/>
          <w:sz w:val="18"/>
          <w:szCs w:val="18"/>
        </w:rPr>
      </w:pPr>
    </w:p>
    <w:p w14:paraId="16064204" w14:textId="77777777" w:rsidR="00972CA0" w:rsidRPr="00204F41" w:rsidRDefault="00972CA0" w:rsidP="00072754">
      <w:pPr>
        <w:jc w:val="both"/>
        <w:rPr>
          <w:rFonts w:ascii="Verdana" w:eastAsia="Malgun Gothic" w:hAnsi="Verdana" w:cs="Arial"/>
          <w:sz w:val="18"/>
          <w:szCs w:val="18"/>
        </w:rPr>
      </w:pPr>
    </w:p>
    <w:p w14:paraId="533F3151" w14:textId="192E72BD" w:rsidR="00FA6C0C" w:rsidRPr="00204F41" w:rsidRDefault="00FA6C0C" w:rsidP="00FA6C0C">
      <w:pPr>
        <w:jc w:val="both"/>
        <w:rPr>
          <w:rFonts w:ascii="Verdana" w:hAnsi="Verdana" w:cs="Arial"/>
          <w:sz w:val="18"/>
          <w:szCs w:val="18"/>
        </w:rPr>
      </w:pPr>
      <w:r w:rsidRPr="00204F41">
        <w:rPr>
          <w:rFonts w:ascii="Verdana" w:hAnsi="Verdana" w:cs="Arial"/>
          <w:sz w:val="18"/>
          <w:szCs w:val="18"/>
        </w:rPr>
        <w:lastRenderedPageBreak/>
        <w:t>Intermediate consumption has the largest share (3</w:t>
      </w:r>
      <w:r w:rsidR="00D607CE" w:rsidRPr="00204F41">
        <w:rPr>
          <w:rFonts w:ascii="Verdana" w:hAnsi="Verdana" w:cs="Arial"/>
          <w:sz w:val="18"/>
          <w:szCs w:val="18"/>
        </w:rPr>
        <w:t>9</w:t>
      </w:r>
      <w:r w:rsidRPr="00204F41">
        <w:rPr>
          <w:rFonts w:ascii="Verdana" w:hAnsi="Verdana" w:cs="Arial"/>
          <w:sz w:val="18"/>
          <w:szCs w:val="18"/>
        </w:rPr>
        <w:t>,</w:t>
      </w:r>
      <w:r w:rsidR="0070635F" w:rsidRPr="00204F41">
        <w:rPr>
          <w:rFonts w:ascii="Verdana" w:hAnsi="Verdana" w:cs="Arial"/>
          <w:sz w:val="18"/>
          <w:szCs w:val="18"/>
        </w:rPr>
        <w:t>4</w:t>
      </w:r>
      <w:r w:rsidRPr="00204F41">
        <w:rPr>
          <w:rFonts w:ascii="Verdana" w:hAnsi="Verdana" w:cs="Arial"/>
          <w:sz w:val="18"/>
          <w:szCs w:val="18"/>
        </w:rPr>
        <w:t xml:space="preserve">%) in total use. The second largest share of total use is </w:t>
      </w:r>
      <w:r w:rsidR="00676A67" w:rsidRPr="00204F41">
        <w:rPr>
          <w:rFonts w:ascii="Verdana" w:hAnsi="Verdana" w:cs="Arial"/>
          <w:sz w:val="18"/>
          <w:szCs w:val="18"/>
        </w:rPr>
        <w:t>exports</w:t>
      </w:r>
      <w:r w:rsidRPr="00204F41">
        <w:rPr>
          <w:rFonts w:ascii="Verdana" w:hAnsi="Verdana" w:cs="Arial"/>
          <w:sz w:val="18"/>
          <w:szCs w:val="18"/>
        </w:rPr>
        <w:t xml:space="preserve"> (</w:t>
      </w:r>
      <w:r w:rsidR="00D607CE" w:rsidRPr="00204F41">
        <w:rPr>
          <w:rFonts w:ascii="Verdana" w:hAnsi="Verdana" w:cs="Arial"/>
          <w:sz w:val="18"/>
          <w:szCs w:val="18"/>
        </w:rPr>
        <w:t>2</w:t>
      </w:r>
      <w:r w:rsidR="0070635F" w:rsidRPr="00204F41">
        <w:rPr>
          <w:rFonts w:ascii="Verdana" w:hAnsi="Verdana" w:cs="Arial"/>
          <w:sz w:val="18"/>
          <w:szCs w:val="18"/>
        </w:rPr>
        <w:t>9</w:t>
      </w:r>
      <w:r w:rsidRPr="00204F41">
        <w:rPr>
          <w:rFonts w:ascii="Verdana" w:hAnsi="Verdana" w:cs="Arial"/>
          <w:sz w:val="18"/>
          <w:szCs w:val="18"/>
        </w:rPr>
        <w:t>,</w:t>
      </w:r>
      <w:r w:rsidR="0070635F" w:rsidRPr="00204F41">
        <w:rPr>
          <w:rFonts w:ascii="Verdana" w:hAnsi="Verdana" w:cs="Arial"/>
          <w:sz w:val="18"/>
          <w:szCs w:val="18"/>
        </w:rPr>
        <w:t>5</w:t>
      </w:r>
      <w:r w:rsidRPr="00204F41">
        <w:rPr>
          <w:rFonts w:ascii="Verdana" w:hAnsi="Verdana" w:cs="Arial"/>
          <w:sz w:val="18"/>
          <w:szCs w:val="18"/>
        </w:rPr>
        <w:t>%), followed by</w:t>
      </w:r>
      <w:r w:rsidR="00676A67" w:rsidRPr="00204F41">
        <w:rPr>
          <w:rFonts w:ascii="Verdana" w:hAnsi="Verdana" w:cs="Arial"/>
          <w:sz w:val="18"/>
          <w:szCs w:val="18"/>
        </w:rPr>
        <w:t xml:space="preserve"> final consumption</w:t>
      </w:r>
      <w:r w:rsidRPr="00204F41">
        <w:rPr>
          <w:rFonts w:ascii="Verdana" w:hAnsi="Verdana" w:cs="Arial"/>
          <w:sz w:val="18"/>
          <w:szCs w:val="18"/>
        </w:rPr>
        <w:t xml:space="preserve"> (2</w:t>
      </w:r>
      <w:r w:rsidR="0070635F" w:rsidRPr="00204F41">
        <w:rPr>
          <w:rFonts w:ascii="Verdana" w:hAnsi="Verdana" w:cs="Arial"/>
          <w:sz w:val="18"/>
          <w:szCs w:val="18"/>
        </w:rPr>
        <w:t>4</w:t>
      </w:r>
      <w:r w:rsidRPr="00204F41">
        <w:rPr>
          <w:rFonts w:ascii="Verdana" w:hAnsi="Verdana" w:cs="Arial"/>
          <w:sz w:val="18"/>
          <w:szCs w:val="18"/>
        </w:rPr>
        <w:t>,</w:t>
      </w:r>
      <w:r w:rsidR="0070635F" w:rsidRPr="00204F41">
        <w:rPr>
          <w:rFonts w:ascii="Verdana" w:hAnsi="Verdana" w:cs="Arial"/>
          <w:sz w:val="18"/>
          <w:szCs w:val="18"/>
        </w:rPr>
        <w:t>8</w:t>
      </w:r>
      <w:r w:rsidRPr="00204F41">
        <w:rPr>
          <w:rFonts w:ascii="Verdana" w:hAnsi="Verdana" w:cs="Arial"/>
          <w:sz w:val="18"/>
          <w:szCs w:val="18"/>
        </w:rPr>
        <w:t>%) and gross capital formation (</w:t>
      </w:r>
      <w:r w:rsidR="00676A67" w:rsidRPr="00204F41">
        <w:rPr>
          <w:rFonts w:ascii="Verdana" w:hAnsi="Verdana" w:cs="Arial"/>
          <w:sz w:val="18"/>
          <w:szCs w:val="18"/>
        </w:rPr>
        <w:t>6</w:t>
      </w:r>
      <w:r w:rsidRPr="00204F41">
        <w:rPr>
          <w:rFonts w:ascii="Verdana" w:hAnsi="Verdana" w:cs="Arial"/>
          <w:sz w:val="18"/>
          <w:szCs w:val="18"/>
        </w:rPr>
        <w:t>,</w:t>
      </w:r>
      <w:r w:rsidR="0070635F" w:rsidRPr="00204F41">
        <w:rPr>
          <w:rFonts w:ascii="Verdana" w:hAnsi="Verdana" w:cs="Arial"/>
          <w:sz w:val="18"/>
          <w:szCs w:val="18"/>
        </w:rPr>
        <w:t>3</w:t>
      </w:r>
      <w:r w:rsidRPr="00204F41">
        <w:rPr>
          <w:rFonts w:ascii="Verdana" w:hAnsi="Verdana" w:cs="Arial"/>
          <w:sz w:val="18"/>
          <w:szCs w:val="18"/>
        </w:rPr>
        <w:t>%). Intermediate consumption makes up the majority of total use of agriculture, forestry and fishing products (5</w:t>
      </w:r>
      <w:r w:rsidR="0070635F" w:rsidRPr="00204F41">
        <w:rPr>
          <w:rFonts w:ascii="Verdana" w:hAnsi="Verdana" w:cs="Arial"/>
          <w:sz w:val="18"/>
          <w:szCs w:val="18"/>
        </w:rPr>
        <w:t>1</w:t>
      </w:r>
      <w:r w:rsidRPr="00204F41">
        <w:rPr>
          <w:rFonts w:ascii="Verdana" w:hAnsi="Verdana" w:cs="Arial"/>
          <w:sz w:val="18"/>
          <w:szCs w:val="18"/>
        </w:rPr>
        <w:t>,</w:t>
      </w:r>
      <w:r w:rsidR="0070635F" w:rsidRPr="00204F41">
        <w:rPr>
          <w:rFonts w:ascii="Verdana" w:hAnsi="Verdana" w:cs="Arial"/>
          <w:sz w:val="18"/>
          <w:szCs w:val="18"/>
        </w:rPr>
        <w:t>4</w:t>
      </w:r>
      <w:r w:rsidRPr="00204F41">
        <w:rPr>
          <w:rFonts w:ascii="Verdana" w:hAnsi="Verdana" w:cs="Arial"/>
          <w:sz w:val="18"/>
          <w:szCs w:val="18"/>
        </w:rPr>
        <w:t>%)</w:t>
      </w:r>
      <w:r w:rsidR="00676A67" w:rsidRPr="00204F41">
        <w:rPr>
          <w:rFonts w:ascii="Verdana" w:hAnsi="Verdana" w:cs="Arial"/>
          <w:sz w:val="18"/>
          <w:szCs w:val="18"/>
        </w:rPr>
        <w:t>, manufacturing</w:t>
      </w:r>
      <w:r w:rsidR="00424239" w:rsidRPr="00204F41">
        <w:rPr>
          <w:rFonts w:ascii="Verdana" w:hAnsi="Verdana" w:cs="Arial"/>
          <w:sz w:val="18"/>
          <w:szCs w:val="18"/>
        </w:rPr>
        <w:t xml:space="preserve"> products</w:t>
      </w:r>
      <w:r w:rsidR="00676A67" w:rsidRPr="00204F41">
        <w:rPr>
          <w:rFonts w:ascii="Verdana" w:hAnsi="Verdana" w:cs="Arial"/>
          <w:sz w:val="18"/>
          <w:szCs w:val="18"/>
        </w:rPr>
        <w:t xml:space="preserve"> (3</w:t>
      </w:r>
      <w:r w:rsidR="0070635F" w:rsidRPr="00204F41">
        <w:rPr>
          <w:rFonts w:ascii="Verdana" w:hAnsi="Verdana" w:cs="Arial"/>
          <w:sz w:val="18"/>
          <w:szCs w:val="18"/>
        </w:rPr>
        <w:t>9</w:t>
      </w:r>
      <w:r w:rsidR="00676A67" w:rsidRPr="00204F41">
        <w:rPr>
          <w:rFonts w:ascii="Verdana" w:hAnsi="Verdana" w:cs="Arial"/>
          <w:sz w:val="18"/>
          <w:szCs w:val="18"/>
        </w:rPr>
        <w:t>,</w:t>
      </w:r>
      <w:r w:rsidR="0070635F" w:rsidRPr="00204F41">
        <w:rPr>
          <w:rFonts w:ascii="Verdana" w:hAnsi="Verdana" w:cs="Arial"/>
          <w:sz w:val="18"/>
          <w:szCs w:val="18"/>
        </w:rPr>
        <w:t>2</w:t>
      </w:r>
      <w:r w:rsidR="00676A67" w:rsidRPr="00204F41">
        <w:rPr>
          <w:rFonts w:ascii="Verdana" w:hAnsi="Verdana" w:cs="Arial"/>
          <w:sz w:val="18"/>
          <w:szCs w:val="18"/>
        </w:rPr>
        <w:t>%)</w:t>
      </w:r>
      <w:r w:rsidRPr="00204F41">
        <w:rPr>
          <w:rFonts w:ascii="Verdana" w:hAnsi="Verdana" w:cs="Arial"/>
          <w:sz w:val="18"/>
          <w:szCs w:val="18"/>
        </w:rPr>
        <w:t xml:space="preserve"> and business services (4</w:t>
      </w:r>
      <w:r w:rsidR="00676A67" w:rsidRPr="00204F41">
        <w:rPr>
          <w:rFonts w:ascii="Verdana" w:hAnsi="Verdana" w:cs="Arial"/>
          <w:sz w:val="18"/>
          <w:szCs w:val="18"/>
        </w:rPr>
        <w:t>3</w:t>
      </w:r>
      <w:r w:rsidRPr="00204F41">
        <w:rPr>
          <w:rFonts w:ascii="Verdana" w:hAnsi="Verdana" w:cs="Arial"/>
          <w:sz w:val="18"/>
          <w:szCs w:val="18"/>
        </w:rPr>
        <w:t>,</w:t>
      </w:r>
      <w:r w:rsidR="0070635F" w:rsidRPr="00204F41">
        <w:rPr>
          <w:rFonts w:ascii="Verdana" w:hAnsi="Verdana" w:cs="Arial"/>
          <w:sz w:val="18"/>
          <w:szCs w:val="18"/>
        </w:rPr>
        <w:t>5</w:t>
      </w:r>
      <w:r w:rsidRPr="00204F41">
        <w:rPr>
          <w:rFonts w:ascii="Verdana" w:hAnsi="Verdana" w:cs="Arial"/>
          <w:sz w:val="18"/>
          <w:szCs w:val="18"/>
        </w:rPr>
        <w:t>%). Final consumption is the main use of other services (</w:t>
      </w:r>
      <w:r w:rsidR="00D607CE" w:rsidRPr="00204F41">
        <w:rPr>
          <w:rFonts w:ascii="Verdana" w:hAnsi="Verdana" w:cs="Arial"/>
          <w:sz w:val="18"/>
          <w:szCs w:val="18"/>
        </w:rPr>
        <w:t>88</w:t>
      </w:r>
      <w:r w:rsidRPr="00204F41">
        <w:rPr>
          <w:rFonts w:ascii="Verdana" w:hAnsi="Verdana" w:cs="Arial"/>
          <w:sz w:val="18"/>
          <w:szCs w:val="18"/>
        </w:rPr>
        <w:t>,</w:t>
      </w:r>
      <w:r w:rsidR="0070635F" w:rsidRPr="00204F41">
        <w:rPr>
          <w:rFonts w:ascii="Verdana" w:hAnsi="Verdana" w:cs="Arial"/>
          <w:sz w:val="18"/>
          <w:szCs w:val="18"/>
        </w:rPr>
        <w:t>1</w:t>
      </w:r>
      <w:r w:rsidRPr="00204F41">
        <w:rPr>
          <w:rFonts w:ascii="Verdana" w:hAnsi="Verdana" w:cs="Arial"/>
          <w:sz w:val="18"/>
          <w:szCs w:val="18"/>
        </w:rPr>
        <w:t>%), with the rest distributed mostly between intermediate consumption and exports. The supply of construction works is mostly used as gross capital formation (5</w:t>
      </w:r>
      <w:r w:rsidR="00CA3D82" w:rsidRPr="00204F41">
        <w:rPr>
          <w:rFonts w:ascii="Verdana" w:hAnsi="Verdana" w:cs="Arial"/>
          <w:sz w:val="18"/>
          <w:szCs w:val="18"/>
        </w:rPr>
        <w:t>5</w:t>
      </w:r>
      <w:r w:rsidRPr="00204F41">
        <w:rPr>
          <w:rFonts w:ascii="Verdana" w:hAnsi="Verdana" w:cs="Arial"/>
          <w:sz w:val="18"/>
          <w:szCs w:val="18"/>
        </w:rPr>
        <w:t>,</w:t>
      </w:r>
      <w:r w:rsidR="0070635F" w:rsidRPr="00204F41">
        <w:rPr>
          <w:rFonts w:ascii="Verdana" w:hAnsi="Verdana" w:cs="Arial"/>
          <w:sz w:val="18"/>
          <w:szCs w:val="18"/>
        </w:rPr>
        <w:t>5</w:t>
      </w:r>
      <w:r w:rsidRPr="00204F41">
        <w:rPr>
          <w:rFonts w:ascii="Verdana" w:hAnsi="Verdana" w:cs="Arial"/>
          <w:sz w:val="18"/>
          <w:szCs w:val="18"/>
        </w:rPr>
        <w:t>%), closely followed by intermediate consumption (4</w:t>
      </w:r>
      <w:r w:rsidR="00CA3D82" w:rsidRPr="00204F41">
        <w:rPr>
          <w:rFonts w:ascii="Verdana" w:hAnsi="Verdana" w:cs="Arial"/>
          <w:sz w:val="18"/>
          <w:szCs w:val="18"/>
        </w:rPr>
        <w:t>3</w:t>
      </w:r>
      <w:r w:rsidRPr="00204F41">
        <w:rPr>
          <w:rFonts w:ascii="Verdana" w:hAnsi="Verdana" w:cs="Arial"/>
          <w:sz w:val="18"/>
          <w:szCs w:val="18"/>
        </w:rPr>
        <w:t>,</w:t>
      </w:r>
      <w:r w:rsidR="00CA3D82" w:rsidRPr="00204F41">
        <w:rPr>
          <w:rFonts w:ascii="Verdana" w:hAnsi="Verdana" w:cs="Arial"/>
          <w:sz w:val="18"/>
          <w:szCs w:val="18"/>
        </w:rPr>
        <w:t>5</w:t>
      </w:r>
      <w:r w:rsidRPr="00204F41">
        <w:rPr>
          <w:rFonts w:ascii="Verdana" w:hAnsi="Verdana" w:cs="Arial"/>
          <w:sz w:val="18"/>
          <w:szCs w:val="18"/>
        </w:rPr>
        <w:t>%). Distribution and transport services are mostly exported (4</w:t>
      </w:r>
      <w:r w:rsidR="0070635F" w:rsidRPr="00204F41">
        <w:rPr>
          <w:rFonts w:ascii="Verdana" w:hAnsi="Verdana" w:cs="Arial"/>
          <w:sz w:val="18"/>
          <w:szCs w:val="18"/>
        </w:rPr>
        <w:t>9</w:t>
      </w:r>
      <w:r w:rsidRPr="00204F41">
        <w:rPr>
          <w:rFonts w:ascii="Verdana" w:hAnsi="Verdana" w:cs="Arial"/>
          <w:sz w:val="18"/>
          <w:szCs w:val="18"/>
        </w:rPr>
        <w:t>,</w:t>
      </w:r>
      <w:r w:rsidR="0070635F" w:rsidRPr="00204F41">
        <w:rPr>
          <w:rFonts w:ascii="Verdana" w:hAnsi="Verdana" w:cs="Arial"/>
          <w:sz w:val="18"/>
          <w:szCs w:val="18"/>
        </w:rPr>
        <w:t>0</w:t>
      </w:r>
      <w:r w:rsidRPr="00204F41">
        <w:rPr>
          <w:rFonts w:ascii="Verdana" w:hAnsi="Verdana" w:cs="Arial"/>
          <w:sz w:val="18"/>
          <w:szCs w:val="18"/>
        </w:rPr>
        <w:t>%), with their next most important use being intermediate consumption (4</w:t>
      </w:r>
      <w:r w:rsidR="0070635F" w:rsidRPr="00204F41">
        <w:rPr>
          <w:rFonts w:ascii="Verdana" w:hAnsi="Verdana" w:cs="Arial"/>
          <w:sz w:val="18"/>
          <w:szCs w:val="18"/>
        </w:rPr>
        <w:t>2</w:t>
      </w:r>
      <w:r w:rsidRPr="00204F41">
        <w:rPr>
          <w:rFonts w:ascii="Verdana" w:hAnsi="Verdana" w:cs="Arial"/>
          <w:sz w:val="18"/>
          <w:szCs w:val="18"/>
        </w:rPr>
        <w:t>,</w:t>
      </w:r>
      <w:r w:rsidR="0070635F" w:rsidRPr="00204F41">
        <w:rPr>
          <w:rFonts w:ascii="Verdana" w:hAnsi="Verdana" w:cs="Arial"/>
          <w:sz w:val="18"/>
          <w:szCs w:val="18"/>
        </w:rPr>
        <w:t>8</w:t>
      </w:r>
      <w:r w:rsidRPr="00204F41">
        <w:rPr>
          <w:rFonts w:ascii="Verdana" w:hAnsi="Verdana" w:cs="Arial"/>
          <w:sz w:val="18"/>
          <w:szCs w:val="18"/>
        </w:rPr>
        <w:t>%).</w:t>
      </w:r>
      <w:r w:rsidR="002964FC" w:rsidRPr="002964FC">
        <w:rPr>
          <w:rFonts w:ascii="Verdana" w:hAnsi="Verdana" w:cs="Arial"/>
          <w:sz w:val="18"/>
          <w:szCs w:val="18"/>
        </w:rPr>
        <w:t xml:space="preserve"> </w:t>
      </w:r>
      <w:proofErr w:type="gramStart"/>
      <w:r w:rsidR="00313164" w:rsidRPr="00313164">
        <w:rPr>
          <w:rFonts w:ascii="Verdana" w:hAnsi="Verdana" w:cs="Arial"/>
          <w:sz w:val="18"/>
          <w:szCs w:val="18"/>
        </w:rPr>
        <w:t>(</w:t>
      </w:r>
      <w:proofErr w:type="gramEnd"/>
      <w:r w:rsidR="00313164" w:rsidRPr="00313164">
        <w:rPr>
          <w:rFonts w:ascii="Verdana" w:hAnsi="Verdana" w:cs="Arial"/>
          <w:sz w:val="18"/>
          <w:szCs w:val="18"/>
        </w:rPr>
        <w:t xml:space="preserve">Figure </w:t>
      </w:r>
      <w:r w:rsidR="00313164">
        <w:rPr>
          <w:rFonts w:ascii="Verdana" w:hAnsi="Verdana" w:cs="Arial"/>
          <w:sz w:val="18"/>
          <w:szCs w:val="18"/>
        </w:rPr>
        <w:t>3</w:t>
      </w:r>
      <w:r w:rsidR="00313164" w:rsidRPr="00313164">
        <w:rPr>
          <w:rFonts w:ascii="Verdana" w:hAnsi="Verdana" w:cs="Arial"/>
          <w:sz w:val="18"/>
          <w:szCs w:val="18"/>
        </w:rPr>
        <w:t>)</w:t>
      </w:r>
    </w:p>
    <w:p w14:paraId="6ED61BB6" w14:textId="77777777" w:rsidR="00414799" w:rsidRPr="00204F41" w:rsidRDefault="00414799" w:rsidP="00FA6C0C">
      <w:pPr>
        <w:jc w:val="both"/>
        <w:rPr>
          <w:rFonts w:ascii="Verdana" w:hAnsi="Verdana" w:cs="Arial"/>
          <w:sz w:val="18"/>
          <w:szCs w:val="18"/>
        </w:rPr>
      </w:pPr>
    </w:p>
    <w:p w14:paraId="0EF6D563" w14:textId="63CD1105" w:rsidR="00972CA0" w:rsidRPr="00204F41" w:rsidRDefault="0070635F" w:rsidP="002672E2">
      <w:pPr>
        <w:jc w:val="center"/>
        <w:rPr>
          <w:rFonts w:ascii="Verdana" w:eastAsia="Malgun Gothic" w:hAnsi="Verdana" w:cs="Arial"/>
          <w:sz w:val="18"/>
          <w:szCs w:val="18"/>
        </w:rPr>
      </w:pPr>
      <w:r w:rsidRPr="00204F41">
        <w:rPr>
          <w:rFonts w:ascii="Verdana" w:eastAsia="Malgun Gothic" w:hAnsi="Verdana" w:cs="Arial"/>
          <w:noProof/>
          <w:sz w:val="18"/>
          <w:szCs w:val="18"/>
        </w:rPr>
        <w:drawing>
          <wp:inline distT="0" distB="0" distL="0" distR="0" wp14:anchorId="49377714" wp14:editId="2B988DF5">
            <wp:extent cx="6096000" cy="2859405"/>
            <wp:effectExtent l="0" t="0" r="0" b="0"/>
            <wp:docPr id="6427320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2859405"/>
                    </a:xfrm>
                    <a:prstGeom prst="rect">
                      <a:avLst/>
                    </a:prstGeom>
                    <a:noFill/>
                  </pic:spPr>
                </pic:pic>
              </a:graphicData>
            </a:graphic>
          </wp:inline>
        </w:drawing>
      </w:r>
    </w:p>
    <w:p w14:paraId="726E4C9B" w14:textId="77777777" w:rsidR="00691191" w:rsidRPr="00204F41" w:rsidRDefault="00691191" w:rsidP="00072754">
      <w:pPr>
        <w:jc w:val="both"/>
        <w:rPr>
          <w:rFonts w:ascii="Verdana" w:eastAsia="Malgun Gothic" w:hAnsi="Verdana" w:cs="Arial"/>
          <w:sz w:val="18"/>
          <w:szCs w:val="18"/>
        </w:rPr>
      </w:pPr>
    </w:p>
    <w:p w14:paraId="261997E6" w14:textId="58CB540B" w:rsidR="00D620FD" w:rsidRPr="00204F41" w:rsidRDefault="00D620FD" w:rsidP="00D620FD">
      <w:pPr>
        <w:jc w:val="both"/>
        <w:rPr>
          <w:rFonts w:ascii="Verdana" w:hAnsi="Verdana" w:cs="Arial"/>
          <w:sz w:val="18"/>
          <w:szCs w:val="18"/>
        </w:rPr>
      </w:pPr>
      <w:r w:rsidRPr="00204F41">
        <w:rPr>
          <w:rFonts w:ascii="Verdana" w:hAnsi="Verdana" w:cs="Arial"/>
          <w:sz w:val="18"/>
          <w:szCs w:val="18"/>
        </w:rPr>
        <w:t>The Gross Value Added (GVA) at basic prices is calculated by deducting intermediate consumption at purchasers’ prices from domestic production at basic prices. To reach the Gross Domestic Product (GDP) at market prices, taxes less subsidies on products are added to GVA at basic prices.</w:t>
      </w:r>
    </w:p>
    <w:p w14:paraId="0B63FC59" w14:textId="15D48759" w:rsidR="00572782" w:rsidRPr="00204F41" w:rsidRDefault="00572782" w:rsidP="00D620FD">
      <w:pPr>
        <w:jc w:val="both"/>
        <w:rPr>
          <w:rFonts w:ascii="Verdana" w:hAnsi="Verdana" w:cs="Arial"/>
          <w:sz w:val="18"/>
          <w:szCs w:val="18"/>
        </w:rPr>
      </w:pPr>
    </w:p>
    <w:tbl>
      <w:tblPr>
        <w:tblW w:w="9634" w:type="dxa"/>
        <w:jc w:val="center"/>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4A0" w:firstRow="1" w:lastRow="0" w:firstColumn="1" w:lastColumn="0" w:noHBand="0" w:noVBand="1"/>
      </w:tblPr>
      <w:tblGrid>
        <w:gridCol w:w="1399"/>
        <w:gridCol w:w="423"/>
        <w:gridCol w:w="1573"/>
        <w:gridCol w:w="620"/>
        <w:gridCol w:w="1405"/>
        <w:gridCol w:w="704"/>
        <w:gridCol w:w="1684"/>
        <w:gridCol w:w="563"/>
        <w:gridCol w:w="1263"/>
      </w:tblGrid>
      <w:tr w:rsidR="00894C57" w:rsidRPr="00894C57" w14:paraId="6AB2D803" w14:textId="77777777" w:rsidTr="00894C57">
        <w:trPr>
          <w:trHeight w:val="851"/>
          <w:jc w:val="center"/>
        </w:trPr>
        <w:tc>
          <w:tcPr>
            <w:tcW w:w="1413" w:type="dxa"/>
            <w:tcBorders>
              <w:top w:val="single" w:sz="4" w:space="0" w:color="366092"/>
              <w:bottom w:val="single" w:sz="4" w:space="0" w:color="366092"/>
            </w:tcBorders>
            <w:vAlign w:val="center"/>
            <w:hideMark/>
          </w:tcPr>
          <w:p w14:paraId="789A40BE" w14:textId="77777777" w:rsidR="00E82653" w:rsidRPr="00894C57" w:rsidRDefault="00E82653" w:rsidP="005E22FD">
            <w:pPr>
              <w:jc w:val="center"/>
              <w:rPr>
                <w:rFonts w:ascii="Verdana" w:eastAsia="Times New Roman" w:hAnsi="Verdana" w:cs="Calibri"/>
                <w:b/>
                <w:bCs/>
                <w:color w:val="366092"/>
                <w:sz w:val="18"/>
                <w:szCs w:val="18"/>
              </w:rPr>
            </w:pPr>
            <w:bookmarkStart w:id="2" w:name="_Hlk126067402"/>
            <w:r w:rsidRPr="00894C57">
              <w:rPr>
                <w:rFonts w:ascii="Verdana" w:eastAsia="Times New Roman" w:hAnsi="Verdana" w:cs="Calibri"/>
                <w:b/>
                <w:bCs/>
                <w:color w:val="366092"/>
                <w:sz w:val="18"/>
                <w:szCs w:val="18"/>
              </w:rPr>
              <w:t>Domestic Production</w:t>
            </w:r>
          </w:p>
        </w:tc>
        <w:tc>
          <w:tcPr>
            <w:tcW w:w="425" w:type="dxa"/>
            <w:noWrap/>
            <w:vAlign w:val="center"/>
            <w:hideMark/>
          </w:tcPr>
          <w:p w14:paraId="50B2B867" w14:textId="77777777" w:rsidR="00E82653" w:rsidRPr="00894C57" w:rsidRDefault="00E82653" w:rsidP="005E22FD">
            <w:pPr>
              <w:jc w:val="center"/>
              <w:rPr>
                <w:rFonts w:ascii="Verdana" w:eastAsia="Times New Roman" w:hAnsi="Verdana" w:cs="Calibri"/>
                <w:b/>
                <w:bCs/>
                <w:color w:val="366092"/>
                <w:sz w:val="18"/>
                <w:szCs w:val="18"/>
              </w:rPr>
            </w:pPr>
          </w:p>
        </w:tc>
        <w:tc>
          <w:tcPr>
            <w:tcW w:w="1588" w:type="dxa"/>
            <w:vAlign w:val="center"/>
            <w:hideMark/>
          </w:tcPr>
          <w:p w14:paraId="73591929"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Intermediate Consumption</w:t>
            </w:r>
          </w:p>
        </w:tc>
        <w:tc>
          <w:tcPr>
            <w:tcW w:w="624" w:type="dxa"/>
            <w:noWrap/>
            <w:vAlign w:val="center"/>
            <w:hideMark/>
          </w:tcPr>
          <w:p w14:paraId="3C27409E" w14:textId="77777777" w:rsidR="00E82653" w:rsidRPr="00894C57" w:rsidRDefault="00E82653" w:rsidP="005E22FD">
            <w:pPr>
              <w:jc w:val="center"/>
              <w:rPr>
                <w:rFonts w:ascii="Verdana" w:eastAsia="Times New Roman" w:hAnsi="Verdana" w:cs="Calibri"/>
                <w:b/>
                <w:bCs/>
                <w:color w:val="366092"/>
                <w:sz w:val="18"/>
                <w:szCs w:val="18"/>
              </w:rPr>
            </w:pPr>
          </w:p>
        </w:tc>
        <w:tc>
          <w:tcPr>
            <w:tcW w:w="1418" w:type="dxa"/>
            <w:vAlign w:val="center"/>
            <w:hideMark/>
          </w:tcPr>
          <w:p w14:paraId="48E6B7A7"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Gross Value Added</w:t>
            </w:r>
          </w:p>
        </w:tc>
        <w:tc>
          <w:tcPr>
            <w:tcW w:w="709" w:type="dxa"/>
            <w:noWrap/>
            <w:vAlign w:val="center"/>
            <w:hideMark/>
          </w:tcPr>
          <w:p w14:paraId="56205BBB" w14:textId="77777777" w:rsidR="00E82653" w:rsidRPr="00894C57" w:rsidRDefault="00E82653" w:rsidP="005E22FD">
            <w:pPr>
              <w:jc w:val="center"/>
              <w:rPr>
                <w:rFonts w:ascii="Verdana" w:eastAsia="Times New Roman" w:hAnsi="Verdana" w:cs="Calibri"/>
                <w:b/>
                <w:bCs/>
                <w:color w:val="366092"/>
                <w:sz w:val="18"/>
                <w:szCs w:val="18"/>
              </w:rPr>
            </w:pPr>
          </w:p>
        </w:tc>
        <w:tc>
          <w:tcPr>
            <w:tcW w:w="1701" w:type="dxa"/>
            <w:vAlign w:val="center"/>
            <w:hideMark/>
          </w:tcPr>
          <w:p w14:paraId="326BFB83"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Taxes less Subsidies on Products</w:t>
            </w:r>
          </w:p>
        </w:tc>
        <w:tc>
          <w:tcPr>
            <w:tcW w:w="567" w:type="dxa"/>
            <w:noWrap/>
            <w:vAlign w:val="center"/>
            <w:hideMark/>
          </w:tcPr>
          <w:p w14:paraId="739C9D9D" w14:textId="77777777" w:rsidR="00E82653" w:rsidRPr="00894C57" w:rsidRDefault="00E82653" w:rsidP="005E22FD">
            <w:pPr>
              <w:jc w:val="center"/>
              <w:rPr>
                <w:rFonts w:ascii="Verdana" w:eastAsia="Times New Roman" w:hAnsi="Verdana" w:cs="Calibri"/>
                <w:b/>
                <w:bCs/>
                <w:color w:val="366092"/>
                <w:sz w:val="18"/>
                <w:szCs w:val="18"/>
              </w:rPr>
            </w:pPr>
          </w:p>
        </w:tc>
        <w:tc>
          <w:tcPr>
            <w:tcW w:w="1275" w:type="dxa"/>
            <w:vAlign w:val="center"/>
            <w:hideMark/>
          </w:tcPr>
          <w:p w14:paraId="5A5785BF"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Gross Domestic Product</w:t>
            </w:r>
          </w:p>
        </w:tc>
      </w:tr>
      <w:tr w:rsidR="00894C57" w:rsidRPr="00894C57" w14:paraId="0B4543C2" w14:textId="77777777" w:rsidTr="00894C57">
        <w:trPr>
          <w:trHeight w:val="737"/>
          <w:jc w:val="center"/>
        </w:trPr>
        <w:tc>
          <w:tcPr>
            <w:tcW w:w="1413" w:type="dxa"/>
            <w:tcBorders>
              <w:top w:val="single" w:sz="4" w:space="0" w:color="366092"/>
              <w:bottom w:val="single" w:sz="4" w:space="0" w:color="366092"/>
            </w:tcBorders>
            <w:noWrap/>
            <w:vAlign w:val="center"/>
            <w:hideMark/>
          </w:tcPr>
          <w:p w14:paraId="6A15CCF2" w14:textId="3F5ABEAF" w:rsidR="00E82653" w:rsidRPr="00894C57" w:rsidRDefault="00967859"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64.381,7</w:t>
            </w:r>
          </w:p>
        </w:tc>
        <w:tc>
          <w:tcPr>
            <w:tcW w:w="425" w:type="dxa"/>
            <w:tcBorders>
              <w:bottom w:val="single" w:sz="4" w:space="0" w:color="366092"/>
            </w:tcBorders>
            <w:noWrap/>
            <w:vAlign w:val="center"/>
            <w:hideMark/>
          </w:tcPr>
          <w:p w14:paraId="6164424B"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w:t>
            </w:r>
          </w:p>
        </w:tc>
        <w:tc>
          <w:tcPr>
            <w:tcW w:w="1588" w:type="dxa"/>
            <w:tcBorders>
              <w:bottom w:val="single" w:sz="4" w:space="0" w:color="366092"/>
            </w:tcBorders>
            <w:noWrap/>
            <w:vAlign w:val="center"/>
            <w:hideMark/>
          </w:tcPr>
          <w:p w14:paraId="5E50240A" w14:textId="5D9DD931" w:rsidR="00E82653" w:rsidRPr="00894C57" w:rsidRDefault="00967859"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38.081,2</w:t>
            </w:r>
          </w:p>
        </w:tc>
        <w:tc>
          <w:tcPr>
            <w:tcW w:w="624" w:type="dxa"/>
            <w:tcBorders>
              <w:bottom w:val="single" w:sz="4" w:space="0" w:color="366092"/>
            </w:tcBorders>
            <w:noWrap/>
            <w:vAlign w:val="center"/>
            <w:hideMark/>
          </w:tcPr>
          <w:p w14:paraId="438389F2"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w:t>
            </w:r>
          </w:p>
        </w:tc>
        <w:tc>
          <w:tcPr>
            <w:tcW w:w="1418" w:type="dxa"/>
            <w:tcBorders>
              <w:bottom w:val="single" w:sz="4" w:space="0" w:color="366092"/>
            </w:tcBorders>
            <w:noWrap/>
            <w:vAlign w:val="center"/>
            <w:hideMark/>
          </w:tcPr>
          <w:p w14:paraId="284FDB7D" w14:textId="64BEA7B2" w:rsidR="00E82653" w:rsidRPr="00894C57" w:rsidRDefault="00967859"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26.300,6</w:t>
            </w:r>
          </w:p>
        </w:tc>
        <w:tc>
          <w:tcPr>
            <w:tcW w:w="709" w:type="dxa"/>
            <w:tcBorders>
              <w:bottom w:val="single" w:sz="4" w:space="0" w:color="366092"/>
            </w:tcBorders>
            <w:noWrap/>
            <w:vAlign w:val="center"/>
            <w:hideMark/>
          </w:tcPr>
          <w:p w14:paraId="1AA40455"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w:t>
            </w:r>
          </w:p>
        </w:tc>
        <w:tc>
          <w:tcPr>
            <w:tcW w:w="1701" w:type="dxa"/>
            <w:tcBorders>
              <w:bottom w:val="single" w:sz="4" w:space="0" w:color="366092"/>
            </w:tcBorders>
            <w:noWrap/>
            <w:vAlign w:val="center"/>
            <w:hideMark/>
          </w:tcPr>
          <w:p w14:paraId="2146F404" w14:textId="07C97CFA" w:rsidR="00E82653" w:rsidRPr="00894C57" w:rsidRDefault="00967859"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3.344,8</w:t>
            </w:r>
          </w:p>
        </w:tc>
        <w:tc>
          <w:tcPr>
            <w:tcW w:w="567" w:type="dxa"/>
            <w:tcBorders>
              <w:bottom w:val="single" w:sz="4" w:space="0" w:color="366092"/>
            </w:tcBorders>
            <w:noWrap/>
            <w:vAlign w:val="center"/>
            <w:hideMark/>
          </w:tcPr>
          <w:p w14:paraId="3A0C0DB4" w14:textId="77777777" w:rsidR="00E82653" w:rsidRPr="00894C57" w:rsidRDefault="00E82653"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w:t>
            </w:r>
          </w:p>
        </w:tc>
        <w:tc>
          <w:tcPr>
            <w:tcW w:w="1275" w:type="dxa"/>
            <w:tcBorders>
              <w:bottom w:val="single" w:sz="4" w:space="0" w:color="366092"/>
            </w:tcBorders>
            <w:noWrap/>
            <w:vAlign w:val="center"/>
            <w:hideMark/>
          </w:tcPr>
          <w:p w14:paraId="7B767A78" w14:textId="34559B6C" w:rsidR="00E82653" w:rsidRPr="00894C57" w:rsidRDefault="00967859" w:rsidP="005E22FD">
            <w:pPr>
              <w:jc w:val="center"/>
              <w:rPr>
                <w:rFonts w:ascii="Verdana" w:eastAsia="Times New Roman" w:hAnsi="Verdana" w:cs="Calibri"/>
                <w:b/>
                <w:bCs/>
                <w:color w:val="366092"/>
                <w:sz w:val="18"/>
                <w:szCs w:val="18"/>
              </w:rPr>
            </w:pPr>
            <w:r w:rsidRPr="00894C57">
              <w:rPr>
                <w:rFonts w:ascii="Verdana" w:eastAsia="Times New Roman" w:hAnsi="Verdana" w:cs="Calibri"/>
                <w:b/>
                <w:bCs/>
                <w:color w:val="366092"/>
                <w:sz w:val="18"/>
                <w:szCs w:val="18"/>
              </w:rPr>
              <w:t>29.645,4</w:t>
            </w:r>
          </w:p>
        </w:tc>
      </w:tr>
      <w:bookmarkEnd w:id="2"/>
    </w:tbl>
    <w:p w14:paraId="0C7DC7E7" w14:textId="0DEDF96E" w:rsidR="00691191" w:rsidRPr="00204F41" w:rsidRDefault="00691191" w:rsidP="00072754">
      <w:pPr>
        <w:jc w:val="both"/>
        <w:rPr>
          <w:rFonts w:ascii="Verdana" w:eastAsia="Malgun Gothic" w:hAnsi="Verdana" w:cs="Arial"/>
          <w:sz w:val="18"/>
          <w:szCs w:val="18"/>
        </w:rPr>
      </w:pPr>
    </w:p>
    <w:p w14:paraId="7D869EAA" w14:textId="77777777" w:rsidR="00EA1A3E" w:rsidRPr="00204F41" w:rsidRDefault="00EA1A3E" w:rsidP="00072754">
      <w:pPr>
        <w:jc w:val="both"/>
        <w:rPr>
          <w:rFonts w:ascii="Verdana" w:eastAsia="Malgun Gothic" w:hAnsi="Verdana" w:cs="Arial"/>
          <w:sz w:val="18"/>
          <w:szCs w:val="18"/>
        </w:rPr>
      </w:pPr>
    </w:p>
    <w:p w14:paraId="72A90FC3" w14:textId="5ACEA6B9" w:rsidR="00125B68" w:rsidRPr="00204F41" w:rsidRDefault="00125B68" w:rsidP="00072754">
      <w:pPr>
        <w:jc w:val="both"/>
        <w:rPr>
          <w:rFonts w:ascii="Verdana" w:eastAsia="Malgun Gothic" w:hAnsi="Verdana" w:cs="Arial"/>
          <w:sz w:val="18"/>
          <w:szCs w:val="18"/>
        </w:rPr>
      </w:pPr>
    </w:p>
    <w:p w14:paraId="44DEDCDA" w14:textId="34CB6246" w:rsidR="00125B68" w:rsidRPr="00204F41" w:rsidRDefault="00125B68" w:rsidP="00072754">
      <w:pPr>
        <w:jc w:val="both"/>
        <w:rPr>
          <w:rFonts w:ascii="Verdana" w:eastAsia="Malgun Gothic" w:hAnsi="Verdana" w:cs="Arial"/>
          <w:sz w:val="18"/>
          <w:szCs w:val="18"/>
        </w:rPr>
      </w:pPr>
    </w:p>
    <w:p w14:paraId="7985F16A" w14:textId="228B757B" w:rsidR="00125B68" w:rsidRPr="00204F41" w:rsidRDefault="00125B68" w:rsidP="00072754">
      <w:pPr>
        <w:jc w:val="both"/>
        <w:rPr>
          <w:rFonts w:ascii="Verdana" w:eastAsia="Malgun Gothic" w:hAnsi="Verdana" w:cs="Arial"/>
          <w:sz w:val="18"/>
          <w:szCs w:val="18"/>
        </w:rPr>
      </w:pPr>
    </w:p>
    <w:p w14:paraId="5B26C0D4" w14:textId="78C07A5A" w:rsidR="00125B68" w:rsidRPr="00204F41" w:rsidRDefault="00125B68" w:rsidP="00072754">
      <w:pPr>
        <w:jc w:val="both"/>
        <w:rPr>
          <w:rFonts w:ascii="Verdana" w:eastAsia="Malgun Gothic" w:hAnsi="Verdana" w:cs="Arial"/>
          <w:sz w:val="18"/>
          <w:szCs w:val="18"/>
        </w:rPr>
      </w:pPr>
    </w:p>
    <w:p w14:paraId="0B22B9C5" w14:textId="4E3D83C5" w:rsidR="00125B68" w:rsidRPr="00204F41" w:rsidRDefault="00125B68" w:rsidP="00072754">
      <w:pPr>
        <w:jc w:val="both"/>
        <w:rPr>
          <w:rFonts w:ascii="Verdana" w:eastAsia="Malgun Gothic" w:hAnsi="Verdana" w:cs="Arial"/>
          <w:sz w:val="18"/>
          <w:szCs w:val="18"/>
        </w:rPr>
      </w:pPr>
    </w:p>
    <w:p w14:paraId="28F5082A" w14:textId="5B4706CD" w:rsidR="00125B68" w:rsidRPr="00204F41" w:rsidRDefault="00125B68" w:rsidP="00072754">
      <w:pPr>
        <w:jc w:val="both"/>
        <w:rPr>
          <w:rFonts w:ascii="Verdana" w:eastAsia="Malgun Gothic" w:hAnsi="Verdana" w:cs="Arial"/>
          <w:sz w:val="18"/>
          <w:szCs w:val="18"/>
        </w:rPr>
      </w:pPr>
    </w:p>
    <w:p w14:paraId="4EDCD49E" w14:textId="08D58BB1" w:rsidR="00125B68" w:rsidRPr="00204F41" w:rsidRDefault="00125B68" w:rsidP="00072754">
      <w:pPr>
        <w:jc w:val="both"/>
        <w:rPr>
          <w:rFonts w:ascii="Verdana" w:eastAsia="Malgun Gothic" w:hAnsi="Verdana" w:cs="Arial"/>
          <w:sz w:val="18"/>
          <w:szCs w:val="18"/>
        </w:rPr>
      </w:pPr>
    </w:p>
    <w:p w14:paraId="035CB40F" w14:textId="1674641D" w:rsidR="00125B68" w:rsidRPr="00204F41" w:rsidRDefault="00125B68" w:rsidP="00072754">
      <w:pPr>
        <w:jc w:val="both"/>
        <w:rPr>
          <w:rFonts w:ascii="Verdana" w:eastAsia="Malgun Gothic" w:hAnsi="Verdana" w:cs="Arial"/>
          <w:sz w:val="18"/>
          <w:szCs w:val="18"/>
        </w:rPr>
      </w:pPr>
    </w:p>
    <w:p w14:paraId="0A317D03" w14:textId="279592B7" w:rsidR="00125B68" w:rsidRPr="00204F41" w:rsidRDefault="00125B68" w:rsidP="00072754">
      <w:pPr>
        <w:jc w:val="both"/>
        <w:rPr>
          <w:rFonts w:ascii="Verdana" w:eastAsia="Malgun Gothic" w:hAnsi="Verdana" w:cs="Arial"/>
          <w:sz w:val="18"/>
          <w:szCs w:val="18"/>
        </w:rPr>
      </w:pPr>
    </w:p>
    <w:p w14:paraId="302A39EB" w14:textId="5EFCB221" w:rsidR="00125B68" w:rsidRPr="00204F41" w:rsidRDefault="00125B68" w:rsidP="00072754">
      <w:pPr>
        <w:jc w:val="both"/>
        <w:rPr>
          <w:rFonts w:ascii="Verdana" w:eastAsia="Malgun Gothic" w:hAnsi="Verdana" w:cs="Arial"/>
          <w:sz w:val="18"/>
          <w:szCs w:val="18"/>
        </w:rPr>
      </w:pPr>
    </w:p>
    <w:p w14:paraId="1F4A79F3" w14:textId="07353094" w:rsidR="00125B68" w:rsidRPr="00204F41" w:rsidRDefault="00125B68" w:rsidP="00072754">
      <w:pPr>
        <w:jc w:val="both"/>
        <w:rPr>
          <w:rFonts w:ascii="Verdana" w:eastAsia="Malgun Gothic" w:hAnsi="Verdana" w:cs="Arial"/>
          <w:sz w:val="18"/>
          <w:szCs w:val="18"/>
        </w:rPr>
      </w:pPr>
    </w:p>
    <w:p w14:paraId="1E955451" w14:textId="61D063E4" w:rsidR="00125B68" w:rsidRPr="00204F41" w:rsidRDefault="00125B68" w:rsidP="00072754">
      <w:pPr>
        <w:jc w:val="both"/>
        <w:rPr>
          <w:rFonts w:ascii="Verdana" w:eastAsia="Malgun Gothic" w:hAnsi="Verdana" w:cs="Arial"/>
          <w:sz w:val="18"/>
          <w:szCs w:val="18"/>
        </w:rPr>
      </w:pPr>
    </w:p>
    <w:p w14:paraId="12951213" w14:textId="7BE31A1F" w:rsidR="00125B68" w:rsidRPr="00204F41" w:rsidRDefault="00125B68" w:rsidP="00072754">
      <w:pPr>
        <w:jc w:val="both"/>
        <w:rPr>
          <w:rFonts w:ascii="Verdana" w:eastAsia="Malgun Gothic" w:hAnsi="Verdana" w:cs="Arial"/>
          <w:sz w:val="18"/>
          <w:szCs w:val="18"/>
        </w:rPr>
      </w:pPr>
    </w:p>
    <w:p w14:paraId="526E1271" w14:textId="63C66A91" w:rsidR="00125B68" w:rsidRPr="00204F41" w:rsidRDefault="00125B68" w:rsidP="00072754">
      <w:pPr>
        <w:jc w:val="both"/>
        <w:rPr>
          <w:rFonts w:ascii="Verdana" w:eastAsia="Malgun Gothic" w:hAnsi="Verdana" w:cs="Arial"/>
          <w:sz w:val="18"/>
          <w:szCs w:val="18"/>
        </w:rPr>
      </w:pPr>
    </w:p>
    <w:p w14:paraId="4DF31DA2" w14:textId="02C4AB58" w:rsidR="00125B68" w:rsidRPr="00204F41" w:rsidRDefault="00125B68" w:rsidP="00072754">
      <w:pPr>
        <w:jc w:val="both"/>
        <w:rPr>
          <w:rFonts w:ascii="Verdana" w:eastAsia="Malgun Gothic" w:hAnsi="Verdana" w:cs="Arial"/>
          <w:sz w:val="18"/>
          <w:szCs w:val="18"/>
        </w:rPr>
      </w:pPr>
    </w:p>
    <w:p w14:paraId="4DEDFA20" w14:textId="3DA18F72" w:rsidR="00125B68" w:rsidRPr="00204F41" w:rsidRDefault="00125B68" w:rsidP="00072754">
      <w:pPr>
        <w:jc w:val="both"/>
        <w:rPr>
          <w:rFonts w:ascii="Verdana" w:eastAsia="Malgun Gothic" w:hAnsi="Verdana" w:cs="Arial"/>
          <w:sz w:val="18"/>
          <w:szCs w:val="18"/>
        </w:rPr>
      </w:pPr>
    </w:p>
    <w:p w14:paraId="7A08CF85" w14:textId="3F0E099E" w:rsidR="00125B68" w:rsidRPr="00204F41" w:rsidRDefault="00125B68" w:rsidP="00072754">
      <w:pPr>
        <w:jc w:val="both"/>
        <w:rPr>
          <w:rFonts w:ascii="Verdana" w:eastAsia="Malgun Gothic" w:hAnsi="Verdana" w:cs="Arial"/>
          <w:sz w:val="18"/>
          <w:szCs w:val="18"/>
        </w:rPr>
      </w:pPr>
    </w:p>
    <w:p w14:paraId="1893C63F" w14:textId="78291C2D" w:rsidR="00125B68" w:rsidRPr="00204F41" w:rsidRDefault="00125B68" w:rsidP="00072754">
      <w:pPr>
        <w:jc w:val="both"/>
        <w:rPr>
          <w:rFonts w:ascii="Verdana" w:eastAsia="Malgun Gothic" w:hAnsi="Verdana" w:cs="Arial"/>
          <w:sz w:val="18"/>
          <w:szCs w:val="18"/>
        </w:rPr>
      </w:pPr>
    </w:p>
    <w:p w14:paraId="5C2ADA84" w14:textId="730DD0A4" w:rsidR="00125B68" w:rsidRPr="00204F41" w:rsidRDefault="00125B68" w:rsidP="00072754">
      <w:pPr>
        <w:jc w:val="both"/>
        <w:rPr>
          <w:rFonts w:ascii="Verdana" w:eastAsia="Malgun Gothic" w:hAnsi="Verdana" w:cs="Arial"/>
          <w:sz w:val="18"/>
          <w:szCs w:val="18"/>
        </w:rPr>
      </w:pPr>
    </w:p>
    <w:p w14:paraId="740A29D9" w14:textId="44F456DA" w:rsidR="00125B68" w:rsidRPr="00204F41" w:rsidRDefault="00125B68" w:rsidP="00072754">
      <w:pPr>
        <w:jc w:val="both"/>
        <w:rPr>
          <w:rFonts w:ascii="Verdana" w:eastAsia="Malgun Gothic" w:hAnsi="Verdana" w:cs="Arial"/>
          <w:sz w:val="18"/>
          <w:szCs w:val="18"/>
        </w:rPr>
      </w:pPr>
    </w:p>
    <w:p w14:paraId="6CB4CE1F" w14:textId="6F546ECC" w:rsidR="00125B68" w:rsidRPr="00204F41" w:rsidRDefault="00125B68" w:rsidP="00072754">
      <w:pPr>
        <w:jc w:val="both"/>
        <w:rPr>
          <w:rFonts w:ascii="Verdana" w:eastAsia="Malgun Gothic" w:hAnsi="Verdana" w:cs="Arial"/>
          <w:sz w:val="18"/>
          <w:szCs w:val="18"/>
        </w:rPr>
      </w:pPr>
    </w:p>
    <w:p w14:paraId="152B8BE9" w14:textId="42A3309A" w:rsidR="00125B68" w:rsidRPr="00204F41" w:rsidRDefault="00125B68" w:rsidP="00072754">
      <w:pPr>
        <w:jc w:val="both"/>
        <w:rPr>
          <w:rFonts w:ascii="Verdana" w:eastAsia="Malgun Gothic" w:hAnsi="Verdana" w:cs="Arial"/>
          <w:sz w:val="18"/>
          <w:szCs w:val="18"/>
        </w:rPr>
      </w:pPr>
    </w:p>
    <w:p w14:paraId="098C5E50" w14:textId="690AD8C9" w:rsidR="00125B68" w:rsidRPr="00204F41" w:rsidRDefault="00125B68" w:rsidP="00072754">
      <w:pPr>
        <w:jc w:val="both"/>
        <w:rPr>
          <w:rFonts w:ascii="Verdana" w:eastAsia="Malgun Gothic" w:hAnsi="Verdana" w:cs="Arial"/>
          <w:sz w:val="18"/>
          <w:szCs w:val="18"/>
        </w:rPr>
      </w:pPr>
    </w:p>
    <w:p w14:paraId="69BF81B2" w14:textId="72DF7422" w:rsidR="00125B68" w:rsidRPr="00204F41" w:rsidRDefault="00125B68" w:rsidP="00072754">
      <w:pPr>
        <w:jc w:val="both"/>
        <w:rPr>
          <w:rFonts w:ascii="Verdana" w:eastAsia="Malgun Gothic" w:hAnsi="Verdana" w:cs="Arial"/>
          <w:sz w:val="18"/>
          <w:szCs w:val="18"/>
        </w:rPr>
      </w:pPr>
    </w:p>
    <w:p w14:paraId="54BFBDE9" w14:textId="77777777" w:rsidR="00125B68" w:rsidRPr="00204F41" w:rsidRDefault="00125B68" w:rsidP="00125B68">
      <w:pPr>
        <w:tabs>
          <w:tab w:val="left" w:pos="1080"/>
          <w:tab w:val="left" w:pos="6840"/>
        </w:tabs>
        <w:jc w:val="center"/>
        <w:rPr>
          <w:rFonts w:ascii="Verdana" w:eastAsia="Malgun Gothic" w:hAnsi="Verdana" w:cs="Arial"/>
          <w:b/>
          <w:u w:val="single"/>
        </w:rPr>
      </w:pPr>
      <w:r w:rsidRPr="00204F41">
        <w:rPr>
          <w:rFonts w:ascii="Verdana" w:eastAsia="Malgun Gothic" w:hAnsi="Verdana" w:cs="Arial"/>
          <w:b/>
          <w:u w:val="single"/>
        </w:rPr>
        <w:lastRenderedPageBreak/>
        <w:t>METHODOLOGICAL INFORMATION</w:t>
      </w:r>
    </w:p>
    <w:p w14:paraId="5AE57AAB" w14:textId="77777777" w:rsidR="00125B68" w:rsidRPr="00204F41" w:rsidRDefault="00125B68" w:rsidP="00125B68">
      <w:pPr>
        <w:tabs>
          <w:tab w:val="left" w:pos="1080"/>
          <w:tab w:val="left" w:pos="6840"/>
        </w:tabs>
        <w:jc w:val="center"/>
        <w:rPr>
          <w:rFonts w:ascii="Verdana" w:eastAsia="Malgun Gothic" w:hAnsi="Verdana" w:cs="Arial"/>
          <w:b/>
          <w:u w:val="single"/>
        </w:rPr>
      </w:pPr>
    </w:p>
    <w:p w14:paraId="309FE8F5" w14:textId="77777777" w:rsidR="00125B68" w:rsidRPr="00204F41" w:rsidRDefault="00125B68" w:rsidP="00125B68">
      <w:pPr>
        <w:tabs>
          <w:tab w:val="left" w:pos="1080"/>
          <w:tab w:val="left" w:pos="6840"/>
        </w:tabs>
        <w:jc w:val="both"/>
        <w:rPr>
          <w:rFonts w:ascii="Verdana" w:eastAsia="Malgun Gothic" w:hAnsi="Verdana" w:cs="Arial"/>
          <w:b/>
          <w:sz w:val="18"/>
          <w:szCs w:val="18"/>
          <w:u w:val="single"/>
        </w:rPr>
      </w:pPr>
      <w:r w:rsidRPr="00204F41">
        <w:rPr>
          <w:rFonts w:ascii="Verdana" w:eastAsia="Malgun Gothic" w:hAnsi="Verdana" w:cs="Arial"/>
          <w:b/>
          <w:sz w:val="18"/>
          <w:szCs w:val="18"/>
          <w:u w:val="single"/>
        </w:rPr>
        <w:t>General Information</w:t>
      </w:r>
    </w:p>
    <w:p w14:paraId="01B8DBFE" w14:textId="77777777" w:rsidR="00125B68" w:rsidRPr="00204F41" w:rsidRDefault="00125B68" w:rsidP="00125B68">
      <w:pPr>
        <w:jc w:val="both"/>
        <w:rPr>
          <w:rFonts w:ascii="Verdana" w:hAnsi="Verdana" w:cs="Arial"/>
          <w:sz w:val="18"/>
          <w:szCs w:val="18"/>
        </w:rPr>
      </w:pPr>
    </w:p>
    <w:p w14:paraId="2BDC62B6" w14:textId="77777777" w:rsidR="00125B68" w:rsidRPr="00204F41" w:rsidRDefault="00125B68" w:rsidP="00125B68">
      <w:pPr>
        <w:jc w:val="both"/>
        <w:rPr>
          <w:rFonts w:ascii="Verdana" w:hAnsi="Verdana" w:cs="Arial"/>
          <w:sz w:val="18"/>
          <w:szCs w:val="18"/>
        </w:rPr>
      </w:pPr>
      <w:r w:rsidRPr="00204F41">
        <w:rPr>
          <w:rFonts w:ascii="Verdana" w:hAnsi="Verdana" w:cs="Arial"/>
          <w:sz w:val="18"/>
          <w:szCs w:val="18"/>
        </w:rPr>
        <w:t>The Supply, Use and Input-Output Tables are an important part of the System of National Accounts, as they provide detailed information for the analysis of the transactions of goods and services by industries and consumers in the economy. The tables are matrices by product type and industry, describing how domestic production and imports are used for intermediate consumption and final uses.</w:t>
      </w:r>
    </w:p>
    <w:p w14:paraId="40C3A5E1" w14:textId="77777777" w:rsidR="00125B68" w:rsidRPr="00204F41" w:rsidRDefault="00125B68" w:rsidP="00125B68">
      <w:pPr>
        <w:jc w:val="both"/>
        <w:rPr>
          <w:rFonts w:ascii="Verdana" w:hAnsi="Verdana" w:cs="Arial"/>
          <w:sz w:val="18"/>
          <w:szCs w:val="18"/>
        </w:rPr>
      </w:pPr>
    </w:p>
    <w:p w14:paraId="2CBF7757" w14:textId="5EDBF3C4" w:rsidR="00125B68" w:rsidRPr="00204F41" w:rsidRDefault="00125B68" w:rsidP="00125B68">
      <w:pPr>
        <w:jc w:val="both"/>
        <w:rPr>
          <w:rFonts w:ascii="Verdana" w:hAnsi="Verdana" w:cs="Arial"/>
          <w:sz w:val="18"/>
          <w:szCs w:val="18"/>
        </w:rPr>
      </w:pPr>
      <w:r w:rsidRPr="00204F41">
        <w:rPr>
          <w:rFonts w:ascii="Verdana" w:hAnsi="Verdana" w:cs="Arial"/>
          <w:sz w:val="18"/>
          <w:szCs w:val="18"/>
        </w:rPr>
        <w:t xml:space="preserve">The tables </w:t>
      </w:r>
      <w:r w:rsidR="009F7762" w:rsidRPr="00204F41">
        <w:rPr>
          <w:rFonts w:ascii="Verdana" w:hAnsi="Verdana" w:cs="Arial"/>
          <w:sz w:val="18"/>
          <w:szCs w:val="18"/>
        </w:rPr>
        <w:t>are</w:t>
      </w:r>
      <w:r w:rsidRPr="00204F41">
        <w:rPr>
          <w:rFonts w:ascii="Verdana" w:hAnsi="Verdana" w:cs="Arial"/>
          <w:sz w:val="18"/>
          <w:szCs w:val="18"/>
        </w:rPr>
        <w:t xml:space="preserve"> published annually, no later than three years after the end of the reference year, in accordance with the provisions of Regulation (EU) No 549/2013.</w:t>
      </w:r>
    </w:p>
    <w:p w14:paraId="48520CD6" w14:textId="77777777" w:rsidR="00125B68" w:rsidRPr="00204F41" w:rsidRDefault="00125B68" w:rsidP="00125B68">
      <w:pPr>
        <w:jc w:val="both"/>
        <w:rPr>
          <w:rFonts w:ascii="Verdana" w:hAnsi="Verdana" w:cs="Arial"/>
          <w:sz w:val="18"/>
          <w:szCs w:val="18"/>
        </w:rPr>
      </w:pPr>
    </w:p>
    <w:p w14:paraId="0EC34B7B" w14:textId="77777777" w:rsidR="00125B68" w:rsidRPr="00204F41" w:rsidRDefault="00125B68" w:rsidP="00125B68">
      <w:pPr>
        <w:tabs>
          <w:tab w:val="left" w:pos="1080"/>
          <w:tab w:val="left" w:pos="6840"/>
        </w:tabs>
        <w:jc w:val="both"/>
        <w:rPr>
          <w:rFonts w:ascii="Verdana" w:eastAsia="Malgun Gothic" w:hAnsi="Verdana" w:cs="Arial"/>
          <w:b/>
          <w:sz w:val="18"/>
          <w:szCs w:val="18"/>
          <w:u w:val="single"/>
        </w:rPr>
      </w:pPr>
      <w:r w:rsidRPr="00204F41">
        <w:rPr>
          <w:rFonts w:ascii="Verdana" w:eastAsia="Malgun Gothic" w:hAnsi="Verdana" w:cs="Arial"/>
          <w:b/>
          <w:sz w:val="18"/>
          <w:szCs w:val="18"/>
          <w:u w:val="single"/>
        </w:rPr>
        <w:t>Data Coverage and Collection</w:t>
      </w:r>
    </w:p>
    <w:p w14:paraId="75336A13" w14:textId="77777777" w:rsidR="00125B68" w:rsidRPr="00204F41" w:rsidRDefault="00125B68" w:rsidP="00125B68">
      <w:pPr>
        <w:jc w:val="both"/>
        <w:rPr>
          <w:rFonts w:ascii="Verdana" w:hAnsi="Verdana" w:cs="Arial"/>
          <w:sz w:val="18"/>
          <w:szCs w:val="18"/>
        </w:rPr>
      </w:pPr>
    </w:p>
    <w:p w14:paraId="5079442D" w14:textId="77777777" w:rsidR="00125B68" w:rsidRPr="00204F41" w:rsidRDefault="00125B68" w:rsidP="00125B68">
      <w:pPr>
        <w:jc w:val="both"/>
        <w:rPr>
          <w:rFonts w:ascii="Verdana" w:hAnsi="Verdana" w:cs="Arial"/>
          <w:sz w:val="18"/>
          <w:szCs w:val="18"/>
        </w:rPr>
      </w:pPr>
      <w:r w:rsidRPr="00204F41">
        <w:rPr>
          <w:rFonts w:ascii="Verdana" w:hAnsi="Verdana" w:cs="Arial"/>
          <w:sz w:val="18"/>
          <w:szCs w:val="18"/>
        </w:rPr>
        <w:t>The tables cover the entire economy, including all institutional sectors, all products and types of economic activity. The economic operations with the rest of the world are also recorded.</w:t>
      </w:r>
    </w:p>
    <w:p w14:paraId="57395421" w14:textId="77777777" w:rsidR="00125B68" w:rsidRPr="00204F41" w:rsidRDefault="00125B68" w:rsidP="00125B68">
      <w:pPr>
        <w:jc w:val="both"/>
        <w:rPr>
          <w:rFonts w:ascii="Verdana" w:hAnsi="Verdana" w:cs="Arial"/>
          <w:sz w:val="18"/>
          <w:szCs w:val="18"/>
        </w:rPr>
      </w:pPr>
    </w:p>
    <w:p w14:paraId="4D5D5166" w14:textId="2A10E338" w:rsidR="00125B68" w:rsidRPr="00204F41" w:rsidRDefault="00125B68" w:rsidP="00125B68">
      <w:pPr>
        <w:jc w:val="both"/>
        <w:rPr>
          <w:rFonts w:ascii="Verdana" w:hAnsi="Verdana" w:cs="Arial"/>
          <w:sz w:val="18"/>
          <w:szCs w:val="18"/>
        </w:rPr>
      </w:pPr>
      <w:r w:rsidRPr="00204F41">
        <w:rPr>
          <w:rFonts w:ascii="Verdana" w:hAnsi="Verdana" w:cs="Arial"/>
          <w:sz w:val="18"/>
          <w:szCs w:val="18"/>
        </w:rPr>
        <w:t>The production of the SUIOT is based mainly on the results of the annual economic surveys of the Statistical Service of Cyprus, administrative sources, Government Finance Statistics</w:t>
      </w:r>
      <w:r w:rsidR="007E0267" w:rsidRPr="00204F41">
        <w:rPr>
          <w:rFonts w:ascii="Verdana" w:hAnsi="Verdana" w:cs="Arial"/>
          <w:sz w:val="18"/>
          <w:szCs w:val="18"/>
        </w:rPr>
        <w:t xml:space="preserve"> </w:t>
      </w:r>
      <w:r w:rsidRPr="00204F41">
        <w:rPr>
          <w:rFonts w:ascii="Verdana" w:hAnsi="Verdana" w:cs="Arial"/>
          <w:sz w:val="18"/>
          <w:szCs w:val="18"/>
        </w:rPr>
        <w:t>and any data adjustments according to the European System of Accounts 2010 (ESA 2010).</w:t>
      </w:r>
    </w:p>
    <w:p w14:paraId="36FA6E08" w14:textId="77777777" w:rsidR="00125B68" w:rsidRPr="00204F41" w:rsidRDefault="00125B68" w:rsidP="00125B68">
      <w:pPr>
        <w:jc w:val="both"/>
        <w:rPr>
          <w:rFonts w:ascii="Verdana" w:hAnsi="Verdana" w:cs="Arial"/>
          <w:sz w:val="18"/>
          <w:szCs w:val="18"/>
        </w:rPr>
      </w:pPr>
    </w:p>
    <w:p w14:paraId="405BFF00" w14:textId="77777777" w:rsidR="00125B68" w:rsidRPr="00204F41" w:rsidRDefault="00125B68" w:rsidP="00125B68">
      <w:pPr>
        <w:jc w:val="both"/>
        <w:rPr>
          <w:rFonts w:ascii="Verdana" w:hAnsi="Verdana" w:cs="Arial"/>
          <w:sz w:val="18"/>
          <w:szCs w:val="18"/>
        </w:rPr>
      </w:pPr>
    </w:p>
    <w:p w14:paraId="24527187" w14:textId="77777777" w:rsidR="00125B68" w:rsidRPr="00204F41" w:rsidRDefault="00125B68" w:rsidP="00125B68">
      <w:pPr>
        <w:rPr>
          <w:rFonts w:ascii="Verdana" w:hAnsi="Verdana"/>
          <w:b/>
          <w:i/>
          <w:sz w:val="18"/>
          <w:szCs w:val="18"/>
        </w:rPr>
      </w:pPr>
      <w:r w:rsidRPr="00204F41">
        <w:rPr>
          <w:rFonts w:ascii="Verdana" w:hAnsi="Verdana"/>
          <w:b/>
          <w:i/>
          <w:sz w:val="18"/>
          <w:szCs w:val="18"/>
        </w:rPr>
        <w:t xml:space="preserve">For more information: </w:t>
      </w:r>
    </w:p>
    <w:p w14:paraId="09DA094F" w14:textId="77777777" w:rsidR="00125B68" w:rsidRPr="00204F41" w:rsidRDefault="00125B68" w:rsidP="00125B68">
      <w:pPr>
        <w:rPr>
          <w:rFonts w:ascii="Verdana" w:hAnsi="Verdana"/>
          <w:sz w:val="18"/>
          <w:szCs w:val="18"/>
        </w:rPr>
      </w:pPr>
      <w:r w:rsidRPr="00204F41">
        <w:rPr>
          <w:rFonts w:ascii="Verdana" w:hAnsi="Verdana"/>
          <w:sz w:val="18"/>
          <w:szCs w:val="18"/>
        </w:rPr>
        <w:t xml:space="preserve">CYSTAT Portal, subtheme </w:t>
      </w:r>
      <w:bookmarkStart w:id="3" w:name="_Hlk95398431"/>
      <w:r w:rsidRPr="00204F41">
        <w:fldChar w:fldCharType="begin"/>
      </w:r>
      <w:r w:rsidRPr="00204F41">
        <w:rPr>
          <w:rFonts w:ascii="Verdana" w:hAnsi="Verdana"/>
        </w:rPr>
        <w:instrText xml:space="preserve"> HYPERLINK "https://www.cystat.gov.cy/en/SubthemeStatistics?s=45" </w:instrText>
      </w:r>
      <w:r w:rsidRPr="00204F41">
        <w:fldChar w:fldCharType="separate"/>
      </w:r>
      <w:r w:rsidRPr="00204F41">
        <w:rPr>
          <w:rStyle w:val="Hyperlink"/>
          <w:rFonts w:ascii="Verdana" w:hAnsi="Verdana"/>
          <w:sz w:val="18"/>
          <w:szCs w:val="18"/>
        </w:rPr>
        <w:t>National Accounts</w:t>
      </w:r>
      <w:r w:rsidRPr="00204F41">
        <w:rPr>
          <w:rStyle w:val="Hyperlink"/>
          <w:rFonts w:ascii="Verdana" w:hAnsi="Verdana"/>
          <w:sz w:val="18"/>
          <w:szCs w:val="18"/>
        </w:rPr>
        <w:fldChar w:fldCharType="end"/>
      </w:r>
      <w:bookmarkEnd w:id="3"/>
    </w:p>
    <w:p w14:paraId="0CA3D732" w14:textId="205E6273" w:rsidR="00125B68" w:rsidRPr="00204F41" w:rsidRDefault="00125B68" w:rsidP="00125B68">
      <w:pPr>
        <w:rPr>
          <w:rFonts w:ascii="Verdana" w:hAnsi="Verdana"/>
          <w:sz w:val="18"/>
          <w:szCs w:val="18"/>
        </w:rPr>
      </w:pPr>
      <w:hyperlink r:id="rId11" w:history="1">
        <w:r w:rsidRPr="00204F41">
          <w:rPr>
            <w:rStyle w:val="Hyperlink"/>
            <w:rFonts w:ascii="Verdana" w:hAnsi="Verdana"/>
            <w:sz w:val="18"/>
            <w:szCs w:val="18"/>
          </w:rPr>
          <w:t>CYSTAT-DB</w:t>
        </w:r>
      </w:hyperlink>
      <w:r w:rsidRPr="00204F41">
        <w:rPr>
          <w:rFonts w:ascii="Verdana" w:hAnsi="Verdana"/>
          <w:sz w:val="18"/>
          <w:szCs w:val="18"/>
        </w:rPr>
        <w:t xml:space="preserve"> (Online Database)</w:t>
      </w:r>
    </w:p>
    <w:p w14:paraId="04835530" w14:textId="77777777" w:rsidR="00125B68" w:rsidRPr="00204F41" w:rsidRDefault="00125B68" w:rsidP="00125B68">
      <w:pPr>
        <w:jc w:val="both"/>
        <w:rPr>
          <w:rFonts w:ascii="Verdana" w:hAnsi="Verdana" w:cs="Arial"/>
          <w:sz w:val="18"/>
          <w:szCs w:val="18"/>
        </w:rPr>
      </w:pPr>
      <w:hyperlink r:id="rId12" w:history="1">
        <w:r w:rsidRPr="00204F41">
          <w:rPr>
            <w:rStyle w:val="Hyperlink"/>
            <w:rFonts w:ascii="Verdana" w:hAnsi="Verdana" w:cs="Arial"/>
            <w:sz w:val="18"/>
            <w:szCs w:val="18"/>
          </w:rPr>
          <w:t>Methodological information</w:t>
        </w:r>
      </w:hyperlink>
    </w:p>
    <w:p w14:paraId="4E37F52D" w14:textId="77777777" w:rsidR="00125B68" w:rsidRPr="00204F41" w:rsidRDefault="00125B68" w:rsidP="00125B68">
      <w:pPr>
        <w:jc w:val="both"/>
        <w:rPr>
          <w:rFonts w:ascii="Verdana" w:hAnsi="Verdana" w:cs="Arial"/>
          <w:sz w:val="18"/>
          <w:szCs w:val="18"/>
        </w:rPr>
      </w:pPr>
    </w:p>
    <w:p w14:paraId="53C591EB" w14:textId="77777777" w:rsidR="00125B68" w:rsidRPr="00204F41" w:rsidRDefault="00125B68" w:rsidP="00125B68">
      <w:pPr>
        <w:jc w:val="both"/>
        <w:rPr>
          <w:rFonts w:ascii="Verdana" w:eastAsia="Malgun Gothic" w:hAnsi="Verdana" w:cs="Arial"/>
          <w:bCs/>
          <w:iCs/>
          <w:sz w:val="18"/>
          <w:szCs w:val="18"/>
        </w:rPr>
      </w:pPr>
      <w:r w:rsidRPr="00204F41">
        <w:rPr>
          <w:rFonts w:ascii="Verdana" w:hAnsi="Verdana"/>
          <w:bCs/>
          <w:i/>
          <w:sz w:val="18"/>
          <w:szCs w:val="18"/>
          <w:u w:val="single"/>
          <w:shd w:val="clear" w:color="auto" w:fill="FFFFFF"/>
        </w:rPr>
        <w:t>Contacts</w:t>
      </w:r>
    </w:p>
    <w:p w14:paraId="5D7BC4A7" w14:textId="2E0EF0EA" w:rsidR="00125B68" w:rsidRPr="00204F41" w:rsidRDefault="00125B68" w:rsidP="00125B68">
      <w:pPr>
        <w:jc w:val="both"/>
        <w:rPr>
          <w:rFonts w:ascii="Verdana" w:hAnsi="Verdana"/>
          <w:color w:val="0000FF"/>
          <w:sz w:val="18"/>
          <w:szCs w:val="18"/>
          <w:u w:val="single"/>
          <w:shd w:val="clear" w:color="auto" w:fill="FFFFFF"/>
        </w:rPr>
      </w:pPr>
      <w:r w:rsidRPr="00204F41">
        <w:rPr>
          <w:rFonts w:ascii="Verdana" w:eastAsia="Malgun Gothic" w:hAnsi="Verdana" w:cs="Arial"/>
          <w:bCs/>
          <w:iCs/>
          <w:sz w:val="18"/>
          <w:szCs w:val="18"/>
        </w:rPr>
        <w:t xml:space="preserve">Michalis Charalambous: Tel.: </w:t>
      </w:r>
      <w:bookmarkStart w:id="4" w:name="_Hlk95398741"/>
      <w:r w:rsidRPr="00204F41">
        <w:rPr>
          <w:rFonts w:ascii="Verdana" w:eastAsia="Malgun Gothic" w:hAnsi="Verdana" w:cs="Arial"/>
          <w:bCs/>
          <w:iCs/>
          <w:sz w:val="18"/>
          <w:szCs w:val="18"/>
        </w:rPr>
        <w:t>+357</w:t>
      </w:r>
      <w:r w:rsidR="00894C57">
        <w:rPr>
          <w:rFonts w:ascii="Verdana" w:eastAsia="Malgun Gothic" w:hAnsi="Verdana" w:cs="Arial"/>
          <w:bCs/>
          <w:iCs/>
          <w:sz w:val="18"/>
          <w:szCs w:val="18"/>
        </w:rPr>
        <w:t>-</w:t>
      </w:r>
      <w:r w:rsidRPr="00204F41">
        <w:rPr>
          <w:rFonts w:ascii="Verdana" w:eastAsia="Malgun Gothic" w:hAnsi="Verdana" w:cs="Arial"/>
          <w:bCs/>
          <w:iCs/>
          <w:sz w:val="18"/>
          <w:szCs w:val="18"/>
        </w:rPr>
        <w:t>2260</w:t>
      </w:r>
      <w:r w:rsidRPr="00204F41">
        <w:rPr>
          <w:rFonts w:ascii="Verdana" w:hAnsi="Verdana"/>
          <w:sz w:val="18"/>
          <w:szCs w:val="18"/>
          <w:shd w:val="clear" w:color="auto" w:fill="FFFFFF"/>
        </w:rPr>
        <w:t>2136</w:t>
      </w:r>
      <w:bookmarkEnd w:id="4"/>
      <w:r w:rsidRPr="00204F41">
        <w:rPr>
          <w:rFonts w:ascii="Verdana" w:eastAsia="Malgun Gothic" w:hAnsi="Verdana" w:cs="Arial"/>
          <w:bCs/>
          <w:iCs/>
          <w:sz w:val="18"/>
          <w:szCs w:val="18"/>
        </w:rPr>
        <w:t xml:space="preserve">, E-mail: </w:t>
      </w:r>
      <w:bookmarkStart w:id="5" w:name="_Hlk95398700"/>
      <w:r w:rsidRPr="00204F41">
        <w:fldChar w:fldCharType="begin"/>
      </w:r>
      <w:r w:rsidRPr="00204F41">
        <w:rPr>
          <w:rFonts w:ascii="Verdana" w:hAnsi="Verdana"/>
        </w:rPr>
        <w:instrText xml:space="preserve"> HYPERLINK "mailto:micharalambous@cystat.mof.gov.cy" </w:instrText>
      </w:r>
      <w:r w:rsidRPr="00204F41">
        <w:fldChar w:fldCharType="separate"/>
      </w:r>
      <w:r w:rsidRPr="00204F41">
        <w:rPr>
          <w:rStyle w:val="Hyperlink"/>
          <w:rFonts w:ascii="Verdana" w:hAnsi="Verdana"/>
          <w:sz w:val="18"/>
          <w:szCs w:val="18"/>
          <w:shd w:val="clear" w:color="auto" w:fill="FFFFFF"/>
        </w:rPr>
        <w:t>micharalambous@cystat.mof.gov.cy</w:t>
      </w:r>
      <w:r w:rsidRPr="00204F41">
        <w:rPr>
          <w:rStyle w:val="Hyperlink"/>
          <w:rFonts w:ascii="Verdana" w:hAnsi="Verdana"/>
          <w:sz w:val="18"/>
          <w:szCs w:val="18"/>
          <w:shd w:val="clear" w:color="auto" w:fill="FFFFFF"/>
        </w:rPr>
        <w:fldChar w:fldCharType="end"/>
      </w:r>
      <w:bookmarkEnd w:id="5"/>
    </w:p>
    <w:p w14:paraId="7034242A" w14:textId="54A13D87" w:rsidR="00125B68" w:rsidRPr="00204F41" w:rsidRDefault="00125B68" w:rsidP="00125B68">
      <w:pPr>
        <w:jc w:val="both"/>
        <w:rPr>
          <w:rFonts w:ascii="Verdana" w:hAnsi="Verdana"/>
          <w:color w:val="0000FF"/>
          <w:sz w:val="18"/>
          <w:szCs w:val="18"/>
          <w:u w:val="single"/>
          <w:shd w:val="clear" w:color="auto" w:fill="FFFFFF"/>
        </w:rPr>
      </w:pPr>
      <w:r w:rsidRPr="00204F41">
        <w:rPr>
          <w:rFonts w:ascii="Verdana" w:eastAsia="Malgun Gothic" w:hAnsi="Verdana" w:cs="Arial"/>
          <w:bCs/>
          <w:iCs/>
          <w:sz w:val="18"/>
          <w:szCs w:val="18"/>
        </w:rPr>
        <w:t>Demetris Ioannou: Tel.: +357</w:t>
      </w:r>
      <w:bookmarkStart w:id="6" w:name="_Hlk95398819"/>
      <w:r w:rsidR="00894C57">
        <w:rPr>
          <w:rFonts w:ascii="Verdana" w:eastAsia="Malgun Gothic" w:hAnsi="Verdana" w:cs="Arial"/>
          <w:bCs/>
          <w:iCs/>
          <w:sz w:val="18"/>
          <w:szCs w:val="18"/>
        </w:rPr>
        <w:t>-</w:t>
      </w:r>
      <w:r w:rsidRPr="00204F41">
        <w:rPr>
          <w:rFonts w:ascii="Verdana" w:eastAsia="Malgun Gothic" w:hAnsi="Verdana" w:cs="Arial"/>
          <w:bCs/>
          <w:iCs/>
          <w:sz w:val="18"/>
          <w:szCs w:val="18"/>
        </w:rPr>
        <w:t>2260</w:t>
      </w:r>
      <w:r w:rsidRPr="00204F41">
        <w:rPr>
          <w:rFonts w:ascii="Verdana" w:hAnsi="Verdana"/>
          <w:sz w:val="18"/>
          <w:szCs w:val="18"/>
          <w:shd w:val="clear" w:color="auto" w:fill="FFFFFF"/>
        </w:rPr>
        <w:t>5128</w:t>
      </w:r>
      <w:bookmarkEnd w:id="6"/>
      <w:r w:rsidRPr="00204F41">
        <w:rPr>
          <w:rFonts w:ascii="Verdana" w:eastAsia="Malgun Gothic" w:hAnsi="Verdana" w:cs="Arial"/>
          <w:bCs/>
          <w:iCs/>
          <w:sz w:val="18"/>
          <w:szCs w:val="18"/>
        </w:rPr>
        <w:t xml:space="preserve">, E-mail: </w:t>
      </w:r>
      <w:bookmarkStart w:id="7" w:name="_Hlk95398835"/>
      <w:r w:rsidRPr="00204F41">
        <w:rPr>
          <w:rFonts w:ascii="Verdana" w:hAnsi="Verdana"/>
          <w:color w:val="0000FF"/>
          <w:sz w:val="18"/>
          <w:szCs w:val="18"/>
          <w:u w:val="single"/>
          <w:shd w:val="clear" w:color="auto" w:fill="FFFFFF"/>
        </w:rPr>
        <w:fldChar w:fldCharType="begin"/>
      </w:r>
      <w:r w:rsidRPr="00204F41">
        <w:rPr>
          <w:rFonts w:ascii="Verdana" w:hAnsi="Verdana"/>
          <w:color w:val="0000FF"/>
          <w:sz w:val="18"/>
          <w:szCs w:val="18"/>
          <w:u w:val="single"/>
          <w:shd w:val="clear" w:color="auto" w:fill="FFFFFF"/>
        </w:rPr>
        <w:instrText>HYPERLINK "mailto:dioannou@cystat.mof.gov.cy"</w:instrText>
      </w:r>
      <w:r w:rsidRPr="00204F41">
        <w:rPr>
          <w:rFonts w:ascii="Verdana" w:hAnsi="Verdana"/>
          <w:color w:val="0000FF"/>
          <w:sz w:val="18"/>
          <w:szCs w:val="18"/>
          <w:u w:val="single"/>
          <w:shd w:val="clear" w:color="auto" w:fill="FFFFFF"/>
        </w:rPr>
      </w:r>
      <w:r w:rsidRPr="00204F41">
        <w:rPr>
          <w:rFonts w:ascii="Verdana" w:hAnsi="Verdana"/>
          <w:color w:val="0000FF"/>
          <w:sz w:val="18"/>
          <w:szCs w:val="18"/>
          <w:u w:val="single"/>
          <w:shd w:val="clear" w:color="auto" w:fill="FFFFFF"/>
        </w:rPr>
        <w:fldChar w:fldCharType="separate"/>
      </w:r>
      <w:r w:rsidRPr="00204F41">
        <w:rPr>
          <w:rStyle w:val="Hyperlink"/>
          <w:rFonts w:ascii="Verdana" w:hAnsi="Verdana"/>
          <w:sz w:val="18"/>
          <w:szCs w:val="18"/>
          <w:shd w:val="clear" w:color="auto" w:fill="FFFFFF"/>
        </w:rPr>
        <w:t>dioannou@cystat.mof.gov.cy</w:t>
      </w:r>
      <w:bookmarkEnd w:id="7"/>
      <w:r w:rsidRPr="00204F41">
        <w:rPr>
          <w:rFonts w:ascii="Verdana" w:hAnsi="Verdana"/>
          <w:color w:val="0000FF"/>
          <w:sz w:val="18"/>
          <w:szCs w:val="18"/>
          <w:u w:val="single"/>
          <w:shd w:val="clear" w:color="auto" w:fill="FFFFFF"/>
        </w:rPr>
        <w:fldChar w:fldCharType="end"/>
      </w:r>
    </w:p>
    <w:p w14:paraId="1FB9184B" w14:textId="44A4B20C" w:rsidR="00691191" w:rsidRPr="00C26329" w:rsidRDefault="00691191" w:rsidP="00072754">
      <w:pPr>
        <w:jc w:val="both"/>
        <w:rPr>
          <w:rFonts w:ascii="Verdana" w:eastAsia="Malgun Gothic" w:hAnsi="Verdana" w:cs="Arial"/>
          <w:sz w:val="18"/>
          <w:szCs w:val="18"/>
        </w:rPr>
      </w:pPr>
    </w:p>
    <w:sectPr w:rsidR="00691191" w:rsidRPr="00C26329" w:rsidSect="00CE09BD">
      <w:headerReference w:type="default" r:id="rId13"/>
      <w:footerReference w:type="default" r:id="rId14"/>
      <w:headerReference w:type="first" r:id="rId15"/>
      <w:footerReference w:type="first" r:id="rId16"/>
      <w:pgSz w:w="11907" w:h="16840" w:code="9"/>
      <w:pgMar w:top="810" w:right="1134"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A339" w14:textId="77777777" w:rsidR="00024BD3" w:rsidRPr="00204F41" w:rsidRDefault="00024BD3" w:rsidP="00FB398F">
      <w:r w:rsidRPr="00204F41">
        <w:separator/>
      </w:r>
    </w:p>
  </w:endnote>
  <w:endnote w:type="continuationSeparator" w:id="0">
    <w:p w14:paraId="7112D713" w14:textId="77777777" w:rsidR="00024BD3" w:rsidRPr="00204F41" w:rsidRDefault="00024BD3" w:rsidP="00FB398F">
      <w:r w:rsidRPr="00204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204F41" w:rsidRDefault="004E4F42" w:rsidP="00763722">
    <w:pPr>
      <w:pStyle w:val="Footer"/>
      <w:tabs>
        <w:tab w:val="left" w:pos="3375"/>
        <w:tab w:val="left" w:pos="4500"/>
        <w:tab w:val="center" w:pos="4723"/>
      </w:tabs>
    </w:pPr>
    <w:r w:rsidRPr="00204F41">
      <w:tab/>
    </w:r>
    <w:r w:rsidRPr="00204F41">
      <w:tab/>
    </w:r>
    <w:r w:rsidRPr="00204F41">
      <w:tab/>
    </w:r>
    <w:r w:rsidRPr="00204F41">
      <w:tab/>
      <w:t>-</w:t>
    </w:r>
    <w:r w:rsidR="0027122D" w:rsidRPr="00204F41">
      <w:fldChar w:fldCharType="begin"/>
    </w:r>
    <w:r w:rsidR="004D4950" w:rsidRPr="00204F41">
      <w:instrText xml:space="preserve"> PAGE   \* MERGEFORMAT </w:instrText>
    </w:r>
    <w:r w:rsidR="0027122D" w:rsidRPr="00204F41">
      <w:fldChar w:fldCharType="separate"/>
    </w:r>
    <w:r w:rsidR="00C32D3A" w:rsidRPr="00204F41">
      <w:t>3</w:t>
    </w:r>
    <w:r w:rsidR="0027122D" w:rsidRPr="00204F41">
      <w:fldChar w:fldCharType="end"/>
    </w:r>
    <w:r w:rsidRPr="00204F4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769289C6" w:rsidR="0060256A" w:rsidRPr="00FA3DE7" w:rsidRDefault="0060256A" w:rsidP="0060256A">
    <w:pPr>
      <w:pStyle w:val="Footer"/>
      <w:pBdr>
        <w:top w:val="single" w:sz="4" w:space="1" w:color="auto"/>
      </w:pBdr>
      <w:tabs>
        <w:tab w:val="left" w:pos="4500"/>
      </w:tabs>
      <w:jc w:val="center"/>
      <w:rPr>
        <w:rFonts w:ascii="Verdana" w:hAnsi="Verdana" w:cs="Arial"/>
        <w:sz w:val="16"/>
        <w:szCs w:val="16"/>
      </w:rPr>
    </w:pPr>
    <w:r w:rsidRPr="00FA3DE7">
      <w:rPr>
        <w:rFonts w:ascii="Verdana" w:hAnsi="Verdana" w:cs="Arial"/>
        <w:sz w:val="16"/>
        <w:szCs w:val="16"/>
      </w:rPr>
      <w:t>Address: Micha</w:t>
    </w:r>
    <w:r w:rsidR="00EF6A66" w:rsidRPr="00FA3DE7">
      <w:rPr>
        <w:rFonts w:ascii="Verdana" w:hAnsi="Verdana" w:cs="Arial"/>
        <w:sz w:val="16"/>
        <w:szCs w:val="16"/>
      </w:rPr>
      <w:t>el</w:t>
    </w:r>
    <w:r w:rsidRPr="00FA3DE7">
      <w:rPr>
        <w:rFonts w:ascii="Verdana" w:hAnsi="Verdana" w:cs="Arial"/>
        <w:sz w:val="16"/>
        <w:szCs w:val="16"/>
      </w:rPr>
      <w:t xml:space="preserve"> Karaoli Str., 1444 Nicosia, Cyprus</w:t>
    </w:r>
  </w:p>
  <w:p w14:paraId="5BFB5428" w14:textId="4754E416" w:rsidR="0060256A" w:rsidRPr="00FA3DE7" w:rsidRDefault="00122143" w:rsidP="0060256A">
    <w:pPr>
      <w:pStyle w:val="Footer"/>
      <w:tabs>
        <w:tab w:val="left" w:pos="4500"/>
      </w:tabs>
      <w:jc w:val="center"/>
      <w:rPr>
        <w:rFonts w:ascii="Verdana" w:hAnsi="Verdana" w:cs="Arial"/>
        <w:sz w:val="16"/>
        <w:szCs w:val="16"/>
        <w:lang w:val="pt-PT"/>
      </w:rPr>
    </w:pPr>
    <w:r w:rsidRPr="00FA3DE7">
      <w:rPr>
        <w:rFonts w:ascii="Verdana" w:hAnsi="Verdana" w:cs="Arial"/>
        <w:sz w:val="16"/>
        <w:szCs w:val="16"/>
        <w:lang w:val="pt-PT"/>
      </w:rPr>
      <w:t>Tel.: 22 602129,</w:t>
    </w:r>
    <w:r w:rsidR="0060256A" w:rsidRPr="00FA3DE7">
      <w:rPr>
        <w:rFonts w:ascii="Verdana" w:hAnsi="Verdana" w:cs="Arial"/>
        <w:sz w:val="16"/>
        <w:szCs w:val="16"/>
        <w:lang w:val="pt-PT"/>
      </w:rPr>
      <w:t xml:space="preserve"> E-mail: </w:t>
    </w:r>
    <w:hyperlink r:id="rId1" w:history="1">
      <w:r w:rsidR="00FA3DE7" w:rsidRPr="006318C8">
        <w:rPr>
          <w:rStyle w:val="Hyperlink"/>
          <w:rFonts w:ascii="Verdana" w:hAnsi="Verdana" w:cs="Arial"/>
          <w:sz w:val="16"/>
          <w:szCs w:val="16"/>
          <w:lang w:val="pt-PT"/>
        </w:rPr>
        <w:t>enquiries@cystat.mof.gov.cy</w:t>
      </w:r>
    </w:hyperlink>
    <w:r w:rsidR="00FA3DE7">
      <w:rPr>
        <w:rFonts w:ascii="Verdana" w:hAnsi="Verdana" w:cs="Arial"/>
        <w:sz w:val="16"/>
        <w:szCs w:val="16"/>
        <w:lang w:val="pt-PT"/>
      </w:rPr>
      <w:t xml:space="preserve"> </w:t>
    </w:r>
  </w:p>
  <w:p w14:paraId="53D85FE4" w14:textId="0B82229E" w:rsidR="004E4F42" w:rsidRPr="00FA3DE7" w:rsidRDefault="0060256A" w:rsidP="0060256A">
    <w:pPr>
      <w:pStyle w:val="Footer"/>
      <w:tabs>
        <w:tab w:val="left" w:pos="4500"/>
      </w:tabs>
      <w:jc w:val="center"/>
      <w:rPr>
        <w:rFonts w:ascii="Verdana" w:hAnsi="Verdana" w:cs="Arial"/>
        <w:sz w:val="16"/>
        <w:szCs w:val="16"/>
        <w:lang w:val="pt-PT"/>
      </w:rPr>
    </w:pPr>
    <w:r w:rsidRPr="00FA3DE7">
      <w:rPr>
        <w:rFonts w:ascii="Verdana" w:hAnsi="Verdana" w:cs="Arial"/>
        <w:sz w:val="16"/>
        <w:szCs w:val="16"/>
        <w:lang w:val="pt-PT"/>
      </w:rPr>
      <w:t xml:space="preserve">Web </w:t>
    </w:r>
    <w:r w:rsidR="00FA3DE7" w:rsidRPr="00FA3DE7">
      <w:rPr>
        <w:rFonts w:ascii="Verdana" w:hAnsi="Verdana" w:cs="Arial"/>
        <w:sz w:val="16"/>
        <w:szCs w:val="16"/>
        <w:lang w:val="pt-PT"/>
      </w:rPr>
      <w:t>Portal</w:t>
    </w:r>
    <w:r w:rsidRPr="00FA3DE7">
      <w:rPr>
        <w:rFonts w:ascii="Verdana" w:hAnsi="Verdana" w:cs="Arial"/>
        <w:sz w:val="16"/>
        <w:szCs w:val="16"/>
        <w:lang w:val="pt-PT"/>
      </w:rPr>
      <w:t xml:space="preserve">: </w:t>
    </w:r>
    <w:hyperlink r:id="rId2" w:history="1">
      <w:r w:rsidRPr="00FA3DE7">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6536" w14:textId="77777777" w:rsidR="00024BD3" w:rsidRPr="00204F41" w:rsidRDefault="00024BD3" w:rsidP="00FB398F">
      <w:r w:rsidRPr="00204F41">
        <w:separator/>
      </w:r>
    </w:p>
  </w:footnote>
  <w:footnote w:type="continuationSeparator" w:id="0">
    <w:p w14:paraId="3AFD8F47" w14:textId="77777777" w:rsidR="00024BD3" w:rsidRPr="00204F41" w:rsidRDefault="00024BD3" w:rsidP="00FB398F">
      <w:r w:rsidRPr="00204F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204F41"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sidRPr="00204F41">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Pr="00204F41"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04F41">
      <w:rPr>
        <w:rFonts w:ascii="Arial" w:hAnsi="Arial" w:cs="Arial"/>
        <w:bCs/>
        <w:noProof/>
        <w:sz w:val="18"/>
        <w:szCs w:val="18"/>
        <w:lang w:val="en-US"/>
      </w:rPr>
      <w:drawing>
        <wp:anchor distT="0" distB="0" distL="114300" distR="114300" simplePos="0" relativeHeight="251656192" behindDoc="0" locked="0" layoutInCell="1" allowOverlap="1" wp14:anchorId="32E0FAFD" wp14:editId="4F0D04FE">
          <wp:simplePos x="0" y="0"/>
          <wp:positionH relativeFrom="column">
            <wp:posOffset>638175</wp:posOffset>
          </wp:positionH>
          <wp:positionV relativeFrom="paragraph">
            <wp:posOffset>168910</wp:posOffset>
          </wp:positionV>
          <wp:extent cx="676275" cy="676275"/>
          <wp:effectExtent l="0" t="0" r="0" b="0"/>
          <wp:wrapNone/>
          <wp:docPr id="6"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F41">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Pr="00204F41" w:rsidRDefault="00572BC2" w:rsidP="000932CF">
                          <w:r w:rsidRPr="00204F41">
                            <w:rPr>
                              <w:noProof/>
                            </w:rPr>
                            <w:drawing>
                              <wp:inline distT="0" distB="0" distL="0" distR="0" wp14:anchorId="021891AE" wp14:editId="0209C628">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Pr="00204F41" w:rsidRDefault="00572BC2" w:rsidP="000932CF">
                    <w:r w:rsidRPr="00204F41">
                      <w:rPr>
                        <w:noProof/>
                      </w:rPr>
                      <w:drawing>
                        <wp:inline distT="0" distB="0" distL="0" distR="0" wp14:anchorId="021891AE" wp14:editId="0209C628">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204F41">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Pr="00204F41" w:rsidRDefault="00572BC2" w:rsidP="000932CF">
                          <w:r w:rsidRPr="00204F41">
                            <w:rPr>
                              <w:noProof/>
                            </w:rPr>
                            <w:drawing>
                              <wp:inline distT="0" distB="0" distL="0" distR="0" wp14:anchorId="0399641B" wp14:editId="3E67427C">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Pr="00204F41" w:rsidRDefault="00572BC2" w:rsidP="000932CF">
                    <w:r w:rsidRPr="00204F41">
                      <w:rPr>
                        <w:noProof/>
                      </w:rPr>
                      <w:drawing>
                        <wp:inline distT="0" distB="0" distL="0" distR="0" wp14:anchorId="0399641B" wp14:editId="3E67427C">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Pr="00204F41" w:rsidRDefault="004E4F42" w:rsidP="000932CF">
    <w:pPr>
      <w:pStyle w:val="Header"/>
      <w:tabs>
        <w:tab w:val="clear" w:pos="4153"/>
        <w:tab w:val="clear" w:pos="8306"/>
        <w:tab w:val="center" w:pos="1620"/>
        <w:tab w:val="left" w:pos="6315"/>
      </w:tabs>
      <w:spacing w:line="360" w:lineRule="auto"/>
      <w:rPr>
        <w:rFonts w:ascii="Arial" w:hAnsi="Arial" w:cs="Arial"/>
        <w:bCs/>
        <w:sz w:val="18"/>
        <w:szCs w:val="18"/>
        <w:lang w:val="en-US"/>
      </w:rPr>
    </w:pPr>
    <w:r w:rsidRPr="00204F41">
      <w:rPr>
        <w:rFonts w:ascii="Arial" w:hAnsi="Arial" w:cs="Arial"/>
        <w:bCs/>
        <w:sz w:val="18"/>
        <w:szCs w:val="18"/>
        <w:lang w:val="en-US"/>
      </w:rPr>
      <w:tab/>
    </w:r>
  </w:p>
  <w:p w14:paraId="52ECF5C6" w14:textId="77777777" w:rsidR="004E4F42" w:rsidRPr="00204F41"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lang w:val="en-US"/>
      </w:rPr>
    </w:pPr>
  </w:p>
  <w:p w14:paraId="679D9C7F" w14:textId="77777777" w:rsidR="004E4F42" w:rsidRPr="00204F41"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lang w:val="en-US"/>
      </w:rPr>
    </w:pPr>
    <w:r w:rsidRPr="00204F41">
      <w:rPr>
        <w:rFonts w:ascii="Arial" w:hAnsi="Arial" w:cs="Arial"/>
        <w:bCs/>
        <w:sz w:val="18"/>
        <w:szCs w:val="18"/>
        <w:lang w:val="en-US"/>
      </w:rPr>
      <w:tab/>
    </w:r>
    <w:r w:rsidRPr="00204F41">
      <w:rPr>
        <w:rFonts w:ascii="Arial" w:hAnsi="Arial" w:cs="Arial"/>
        <w:bCs/>
        <w:sz w:val="18"/>
        <w:szCs w:val="18"/>
        <w:lang w:val="en-US"/>
      </w:rPr>
      <w:tab/>
    </w:r>
  </w:p>
  <w:p w14:paraId="24899FBC" w14:textId="6EC6D2A7" w:rsidR="004E4F42" w:rsidRPr="00204F41" w:rsidRDefault="00FA3DE7" w:rsidP="000932CF">
    <w:pPr>
      <w:pStyle w:val="Header"/>
      <w:tabs>
        <w:tab w:val="clear" w:pos="4153"/>
        <w:tab w:val="center" w:pos="1620"/>
        <w:tab w:val="left" w:pos="2160"/>
        <w:tab w:val="center" w:pos="7655"/>
      </w:tabs>
      <w:spacing w:line="360" w:lineRule="auto"/>
      <w:rPr>
        <w:rFonts w:ascii="Arial" w:hAnsi="Arial" w:cs="Arial"/>
        <w:bCs/>
        <w:sz w:val="18"/>
        <w:szCs w:val="18"/>
        <w:lang w:val="en-US"/>
      </w:rPr>
    </w:pPr>
    <w:r w:rsidRPr="00204F41">
      <w:rPr>
        <w:rFonts w:ascii="Arial" w:hAnsi="Arial" w:cs="Arial"/>
        <w:bCs/>
        <w:noProof/>
        <w:sz w:val="18"/>
        <w:szCs w:val="18"/>
        <w:lang w:val="en-US"/>
      </w:rPr>
      <mc:AlternateContent>
        <mc:Choice Requires="wps">
          <w:drawing>
            <wp:anchor distT="0" distB="0" distL="114300" distR="114300" simplePos="0" relativeHeight="251659264" behindDoc="0" locked="0" layoutInCell="1" allowOverlap="1" wp14:anchorId="5F71EED2" wp14:editId="51B79DD8">
              <wp:simplePos x="0" y="0"/>
              <wp:positionH relativeFrom="column">
                <wp:posOffset>4004310</wp:posOffset>
              </wp:positionH>
              <wp:positionV relativeFrom="paragraph">
                <wp:posOffset>55245</wp:posOffset>
              </wp:positionV>
              <wp:extent cx="192405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74705842" w:rsidR="0060256A" w:rsidRPr="00FA3DE7" w:rsidRDefault="0060256A" w:rsidP="00FA3DE7">
                          <w:pPr>
                            <w:jc w:val="center"/>
                            <w:rPr>
                              <w:rFonts w:ascii="Verdana" w:hAnsi="Verdana" w:cs="Arial"/>
                              <w:b/>
                              <w:sz w:val="20"/>
                              <w:szCs w:val="20"/>
                            </w:rPr>
                          </w:pPr>
                          <w:r w:rsidRPr="00FA3DE7">
                            <w:rPr>
                              <w:rFonts w:ascii="Verdana" w:hAnsi="Verdana" w:cs="Arial"/>
                              <w:b/>
                              <w:sz w:val="20"/>
                              <w:szCs w:val="20"/>
                            </w:rPr>
                            <w:t>STATISTICAL SERVICE</w:t>
                          </w:r>
                        </w:p>
                        <w:p w14:paraId="464BD7D4" w14:textId="77777777" w:rsidR="0060256A" w:rsidRPr="00FA3DE7" w:rsidRDefault="0060256A" w:rsidP="0060256A">
                          <w:pPr>
                            <w:jc w:val="center"/>
                            <w:rPr>
                              <w:rFonts w:ascii="Verdana" w:hAnsi="Verdana" w:cs="Arial"/>
                              <w:sz w:val="20"/>
                              <w:szCs w:val="20"/>
                            </w:rPr>
                          </w:pPr>
                          <w:r w:rsidRPr="00FA3DE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15.3pt;margin-top:4.35pt;width:151.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" stroked="f">
              <v:textbox>
                <w:txbxContent>
                  <w:p w14:paraId="2E0D10D7" w14:textId="74705842" w:rsidR="0060256A" w:rsidRPr="00FA3DE7" w:rsidRDefault="0060256A" w:rsidP="00FA3DE7">
                    <w:pPr>
                      <w:jc w:val="center"/>
                      <w:rPr>
                        <w:rFonts w:ascii="Verdana" w:hAnsi="Verdana" w:cs="Arial"/>
                        <w:b/>
                        <w:sz w:val="20"/>
                        <w:szCs w:val="20"/>
                      </w:rPr>
                    </w:pPr>
                    <w:r w:rsidRPr="00FA3DE7">
                      <w:rPr>
                        <w:rFonts w:ascii="Verdana" w:hAnsi="Verdana" w:cs="Arial"/>
                        <w:b/>
                        <w:sz w:val="20"/>
                        <w:szCs w:val="20"/>
                      </w:rPr>
                      <w:t>STATISTICAL SERVICE</w:t>
                    </w:r>
                  </w:p>
                  <w:p w14:paraId="464BD7D4" w14:textId="77777777" w:rsidR="0060256A" w:rsidRPr="00FA3DE7" w:rsidRDefault="0060256A" w:rsidP="0060256A">
                    <w:pPr>
                      <w:jc w:val="center"/>
                      <w:rPr>
                        <w:rFonts w:ascii="Verdana" w:hAnsi="Verdana" w:cs="Arial"/>
                        <w:sz w:val="20"/>
                        <w:szCs w:val="20"/>
                      </w:rPr>
                    </w:pPr>
                    <w:r w:rsidRPr="00FA3DE7">
                      <w:rPr>
                        <w:rFonts w:ascii="Verdana" w:hAnsi="Verdana" w:cs="Arial"/>
                        <w:sz w:val="20"/>
                        <w:szCs w:val="20"/>
                      </w:rPr>
                      <w:t>1444 NICOSIA</w:t>
                    </w:r>
                  </w:p>
                </w:txbxContent>
              </v:textbox>
            </v:shape>
          </w:pict>
        </mc:Fallback>
      </mc:AlternateContent>
    </w:r>
  </w:p>
  <w:p w14:paraId="4EC1C2D7" w14:textId="066F16B5" w:rsidR="00364377" w:rsidRPr="00FA3DE7"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04F41">
      <w:rPr>
        <w:rFonts w:ascii="Arial" w:hAnsi="Arial" w:cs="Arial"/>
        <w:bCs/>
        <w:sz w:val="18"/>
        <w:szCs w:val="18"/>
        <w:lang w:val="en-US"/>
      </w:rPr>
      <w:t xml:space="preserve">        </w:t>
    </w:r>
    <w:r w:rsidR="00364377" w:rsidRPr="00FA3DE7">
      <w:rPr>
        <w:rFonts w:ascii="Verdana" w:hAnsi="Verdana" w:cs="Arial"/>
        <w:bCs/>
        <w:sz w:val="20"/>
        <w:szCs w:val="20"/>
        <w:lang w:val="en-US"/>
      </w:rPr>
      <w:t>REPUBLIC OF CYPRUS</w:t>
    </w:r>
    <w:r w:rsidR="00364377" w:rsidRPr="00FA3DE7">
      <w:rPr>
        <w:rFonts w:ascii="Verdana" w:hAnsi="Verdana"/>
        <w:b/>
        <w:bCs/>
        <w:sz w:val="22"/>
        <w:szCs w:val="22"/>
        <w:lang w:val="en-US"/>
      </w:rPr>
      <w:t xml:space="preserve"> </w:t>
    </w:r>
    <w:r w:rsidR="00364377" w:rsidRPr="00FA3DE7">
      <w:rPr>
        <w:rFonts w:ascii="Verdana" w:hAnsi="Verdana"/>
        <w:b/>
        <w:bCs/>
        <w:sz w:val="20"/>
        <w:szCs w:val="20"/>
        <w:lang w:val="en-US"/>
      </w:rPr>
      <w:tab/>
    </w:r>
  </w:p>
  <w:p w14:paraId="7A5CA03F" w14:textId="1F7DD8E8" w:rsidR="004E4F42" w:rsidRPr="00204F41"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04F41">
      <w:rPr>
        <w:rFonts w:ascii="Arial" w:hAnsi="Arial" w:cs="Arial"/>
        <w:b/>
        <w:bCs/>
        <w:sz w:val="20"/>
        <w:szCs w:val="20"/>
        <w:lang w:val="en-US"/>
      </w:rPr>
      <w:t xml:space="preserve">   </w:t>
    </w:r>
    <w:r w:rsidR="00364377" w:rsidRPr="00204F41">
      <w:rPr>
        <w:rFonts w:ascii="Arial" w:hAnsi="Arial" w:cs="Arial"/>
        <w:b/>
        <w:bCs/>
        <w:sz w:val="20"/>
        <w:szCs w:val="20"/>
        <w:lang w:val="en-US"/>
      </w:rPr>
      <w:t xml:space="preserve">  </w:t>
    </w:r>
    <w:r w:rsidR="004E4F42" w:rsidRPr="00204F41">
      <w:rPr>
        <w:rFonts w:ascii="Arial" w:hAnsi="Arial" w:cs="Arial"/>
        <w:b/>
        <w:bCs/>
        <w:sz w:val="22"/>
        <w:szCs w:val="22"/>
        <w:lang w:val="en-US"/>
      </w:rPr>
      <w:tab/>
    </w:r>
    <w:r w:rsidR="004E4F42" w:rsidRPr="00204F41">
      <w:rPr>
        <w:b/>
        <w:bCs/>
        <w:sz w:val="22"/>
        <w:szCs w:val="22"/>
        <w:lang w:val="en-US"/>
      </w:rPr>
      <w:tab/>
    </w:r>
  </w:p>
  <w:p w14:paraId="4E7C918A" w14:textId="77777777" w:rsidR="004E4F42" w:rsidRPr="00204F41"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4"/>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5"/>
  </w:num>
  <w:num w:numId="7" w16cid:durableId="10447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265"/>
    <w:rsid w:val="00004F86"/>
    <w:rsid w:val="0000542E"/>
    <w:rsid w:val="000061F6"/>
    <w:rsid w:val="000135EC"/>
    <w:rsid w:val="00013E40"/>
    <w:rsid w:val="000161B1"/>
    <w:rsid w:val="00024BD3"/>
    <w:rsid w:val="00025A39"/>
    <w:rsid w:val="00027853"/>
    <w:rsid w:val="00030E18"/>
    <w:rsid w:val="00031D32"/>
    <w:rsid w:val="0003603D"/>
    <w:rsid w:val="00036FA9"/>
    <w:rsid w:val="00045088"/>
    <w:rsid w:val="00045A06"/>
    <w:rsid w:val="00050391"/>
    <w:rsid w:val="00055291"/>
    <w:rsid w:val="000563D3"/>
    <w:rsid w:val="00057E44"/>
    <w:rsid w:val="00061299"/>
    <w:rsid w:val="00067F5A"/>
    <w:rsid w:val="00070576"/>
    <w:rsid w:val="00072754"/>
    <w:rsid w:val="00074C93"/>
    <w:rsid w:val="000752BB"/>
    <w:rsid w:val="00081ADF"/>
    <w:rsid w:val="00084A02"/>
    <w:rsid w:val="00084BF7"/>
    <w:rsid w:val="000870E9"/>
    <w:rsid w:val="000932CF"/>
    <w:rsid w:val="00096ED8"/>
    <w:rsid w:val="000A0FF8"/>
    <w:rsid w:val="000A1A88"/>
    <w:rsid w:val="000A2B5C"/>
    <w:rsid w:val="000A3601"/>
    <w:rsid w:val="000A6FA8"/>
    <w:rsid w:val="000B6F3B"/>
    <w:rsid w:val="000C4E72"/>
    <w:rsid w:val="000C6C22"/>
    <w:rsid w:val="000D1E7A"/>
    <w:rsid w:val="000D598F"/>
    <w:rsid w:val="000E1BCF"/>
    <w:rsid w:val="000E24B1"/>
    <w:rsid w:val="000E2735"/>
    <w:rsid w:val="000E32D6"/>
    <w:rsid w:val="000E57F2"/>
    <w:rsid w:val="000E72A7"/>
    <w:rsid w:val="000F1162"/>
    <w:rsid w:val="000F3467"/>
    <w:rsid w:val="000F38DE"/>
    <w:rsid w:val="000F5D6C"/>
    <w:rsid w:val="00104077"/>
    <w:rsid w:val="00106852"/>
    <w:rsid w:val="00110F9D"/>
    <w:rsid w:val="00114A67"/>
    <w:rsid w:val="00122143"/>
    <w:rsid w:val="001253B6"/>
    <w:rsid w:val="00125B68"/>
    <w:rsid w:val="00127320"/>
    <w:rsid w:val="00127456"/>
    <w:rsid w:val="001312D8"/>
    <w:rsid w:val="0013137B"/>
    <w:rsid w:val="0015118B"/>
    <w:rsid w:val="001519CE"/>
    <w:rsid w:val="00161CF3"/>
    <w:rsid w:val="00162C00"/>
    <w:rsid w:val="001639EF"/>
    <w:rsid w:val="0016589F"/>
    <w:rsid w:val="00166FC4"/>
    <w:rsid w:val="001726B1"/>
    <w:rsid w:val="00176558"/>
    <w:rsid w:val="0017756A"/>
    <w:rsid w:val="0017769A"/>
    <w:rsid w:val="00177B19"/>
    <w:rsid w:val="00183DFC"/>
    <w:rsid w:val="00184384"/>
    <w:rsid w:val="00186717"/>
    <w:rsid w:val="00187FFC"/>
    <w:rsid w:val="001A0A44"/>
    <w:rsid w:val="001A2018"/>
    <w:rsid w:val="001A3DD4"/>
    <w:rsid w:val="001B2C39"/>
    <w:rsid w:val="001B3675"/>
    <w:rsid w:val="001B367B"/>
    <w:rsid w:val="001B54AB"/>
    <w:rsid w:val="001B5E10"/>
    <w:rsid w:val="001B6AB3"/>
    <w:rsid w:val="001B73D5"/>
    <w:rsid w:val="001B7A87"/>
    <w:rsid w:val="001C0681"/>
    <w:rsid w:val="001C14B9"/>
    <w:rsid w:val="001C5FCD"/>
    <w:rsid w:val="001C62B3"/>
    <w:rsid w:val="001C7C8C"/>
    <w:rsid w:val="001D0D6A"/>
    <w:rsid w:val="001D20A4"/>
    <w:rsid w:val="001D57B1"/>
    <w:rsid w:val="001E00D1"/>
    <w:rsid w:val="001E0E58"/>
    <w:rsid w:val="001E14F3"/>
    <w:rsid w:val="001E15ED"/>
    <w:rsid w:val="001E61AA"/>
    <w:rsid w:val="001E7D09"/>
    <w:rsid w:val="0020309E"/>
    <w:rsid w:val="00204F41"/>
    <w:rsid w:val="00205BA0"/>
    <w:rsid w:val="00206A11"/>
    <w:rsid w:val="00210B58"/>
    <w:rsid w:val="00222423"/>
    <w:rsid w:val="00225B28"/>
    <w:rsid w:val="002313AC"/>
    <w:rsid w:val="00235FB2"/>
    <w:rsid w:val="00237649"/>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1144"/>
    <w:rsid w:val="00264F04"/>
    <w:rsid w:val="002672E2"/>
    <w:rsid w:val="00267554"/>
    <w:rsid w:val="0027122D"/>
    <w:rsid w:val="0028338F"/>
    <w:rsid w:val="00285C24"/>
    <w:rsid w:val="0028763C"/>
    <w:rsid w:val="002915C4"/>
    <w:rsid w:val="002964FC"/>
    <w:rsid w:val="002A1D1C"/>
    <w:rsid w:val="002A4D64"/>
    <w:rsid w:val="002B6554"/>
    <w:rsid w:val="002D05F0"/>
    <w:rsid w:val="002D7D4A"/>
    <w:rsid w:val="002E1906"/>
    <w:rsid w:val="002E3846"/>
    <w:rsid w:val="002E3F78"/>
    <w:rsid w:val="002F400C"/>
    <w:rsid w:val="002F4D76"/>
    <w:rsid w:val="002F6D26"/>
    <w:rsid w:val="0030231E"/>
    <w:rsid w:val="003042C4"/>
    <w:rsid w:val="00304CB4"/>
    <w:rsid w:val="00311D9A"/>
    <w:rsid w:val="00313164"/>
    <w:rsid w:val="00313F37"/>
    <w:rsid w:val="003141D0"/>
    <w:rsid w:val="00315516"/>
    <w:rsid w:val="003168C1"/>
    <w:rsid w:val="00322FBE"/>
    <w:rsid w:val="003250F1"/>
    <w:rsid w:val="00325632"/>
    <w:rsid w:val="00326594"/>
    <w:rsid w:val="00327549"/>
    <w:rsid w:val="003342A5"/>
    <w:rsid w:val="003360A9"/>
    <w:rsid w:val="00336C36"/>
    <w:rsid w:val="00343815"/>
    <w:rsid w:val="003522BB"/>
    <w:rsid w:val="00352F6C"/>
    <w:rsid w:val="003556EA"/>
    <w:rsid w:val="00364377"/>
    <w:rsid w:val="0036663C"/>
    <w:rsid w:val="00377ABB"/>
    <w:rsid w:val="003854F5"/>
    <w:rsid w:val="00386FC7"/>
    <w:rsid w:val="00390A32"/>
    <w:rsid w:val="00396C89"/>
    <w:rsid w:val="003A27A9"/>
    <w:rsid w:val="003A40F2"/>
    <w:rsid w:val="003A50D1"/>
    <w:rsid w:val="003A7BC6"/>
    <w:rsid w:val="003B196D"/>
    <w:rsid w:val="003B2710"/>
    <w:rsid w:val="003B4608"/>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4670"/>
    <w:rsid w:val="00410B3D"/>
    <w:rsid w:val="00414799"/>
    <w:rsid w:val="00414CA0"/>
    <w:rsid w:val="00422F54"/>
    <w:rsid w:val="00424239"/>
    <w:rsid w:val="00431516"/>
    <w:rsid w:val="004361B3"/>
    <w:rsid w:val="0044249D"/>
    <w:rsid w:val="0044379F"/>
    <w:rsid w:val="00446FB1"/>
    <w:rsid w:val="0046078F"/>
    <w:rsid w:val="00463214"/>
    <w:rsid w:val="0046434D"/>
    <w:rsid w:val="004656FA"/>
    <w:rsid w:val="00471D77"/>
    <w:rsid w:val="00475587"/>
    <w:rsid w:val="00480BC2"/>
    <w:rsid w:val="00487975"/>
    <w:rsid w:val="00487CD2"/>
    <w:rsid w:val="004929C2"/>
    <w:rsid w:val="00492F5D"/>
    <w:rsid w:val="00493FDD"/>
    <w:rsid w:val="004946FB"/>
    <w:rsid w:val="0049586B"/>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16665"/>
    <w:rsid w:val="00527CDB"/>
    <w:rsid w:val="005317FB"/>
    <w:rsid w:val="005341C9"/>
    <w:rsid w:val="005369CA"/>
    <w:rsid w:val="00536DE9"/>
    <w:rsid w:val="00540668"/>
    <w:rsid w:val="00541E08"/>
    <w:rsid w:val="0054710B"/>
    <w:rsid w:val="0055789A"/>
    <w:rsid w:val="005652D1"/>
    <w:rsid w:val="005660A0"/>
    <w:rsid w:val="00566A4F"/>
    <w:rsid w:val="00567D64"/>
    <w:rsid w:val="005713B3"/>
    <w:rsid w:val="00572782"/>
    <w:rsid w:val="00572BC2"/>
    <w:rsid w:val="005938ED"/>
    <w:rsid w:val="0059478C"/>
    <w:rsid w:val="005978D4"/>
    <w:rsid w:val="005A3073"/>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71CE"/>
    <w:rsid w:val="006075B5"/>
    <w:rsid w:val="0061018C"/>
    <w:rsid w:val="0061094E"/>
    <w:rsid w:val="00613440"/>
    <w:rsid w:val="00613BE3"/>
    <w:rsid w:val="0062327B"/>
    <w:rsid w:val="00632777"/>
    <w:rsid w:val="00633750"/>
    <w:rsid w:val="00634491"/>
    <w:rsid w:val="0063679C"/>
    <w:rsid w:val="00637055"/>
    <w:rsid w:val="00637B03"/>
    <w:rsid w:val="00641D59"/>
    <w:rsid w:val="00644507"/>
    <w:rsid w:val="00646880"/>
    <w:rsid w:val="00647D2A"/>
    <w:rsid w:val="006537BB"/>
    <w:rsid w:val="0065711B"/>
    <w:rsid w:val="00660CA4"/>
    <w:rsid w:val="00667BB0"/>
    <w:rsid w:val="00671785"/>
    <w:rsid w:val="00672BA9"/>
    <w:rsid w:val="00673005"/>
    <w:rsid w:val="00676A67"/>
    <w:rsid w:val="006804BE"/>
    <w:rsid w:val="0069008E"/>
    <w:rsid w:val="0069087E"/>
    <w:rsid w:val="00691191"/>
    <w:rsid w:val="006925C4"/>
    <w:rsid w:val="0069309C"/>
    <w:rsid w:val="0069722D"/>
    <w:rsid w:val="006A02B7"/>
    <w:rsid w:val="006A597E"/>
    <w:rsid w:val="006B407A"/>
    <w:rsid w:val="006B46D5"/>
    <w:rsid w:val="006B46F4"/>
    <w:rsid w:val="006C7AF3"/>
    <w:rsid w:val="006D6548"/>
    <w:rsid w:val="006E0E20"/>
    <w:rsid w:val="006E18EE"/>
    <w:rsid w:val="006E4256"/>
    <w:rsid w:val="006E4BBA"/>
    <w:rsid w:val="006E4E40"/>
    <w:rsid w:val="006E5F43"/>
    <w:rsid w:val="006E60A6"/>
    <w:rsid w:val="006F0F69"/>
    <w:rsid w:val="006F116B"/>
    <w:rsid w:val="006F117F"/>
    <w:rsid w:val="006F13DF"/>
    <w:rsid w:val="006F1E66"/>
    <w:rsid w:val="006F59E3"/>
    <w:rsid w:val="00702F26"/>
    <w:rsid w:val="0070313E"/>
    <w:rsid w:val="00703799"/>
    <w:rsid w:val="00705C5C"/>
    <w:rsid w:val="00705F29"/>
    <w:rsid w:val="0070635F"/>
    <w:rsid w:val="00711475"/>
    <w:rsid w:val="0071359C"/>
    <w:rsid w:val="0072548A"/>
    <w:rsid w:val="007277A6"/>
    <w:rsid w:val="007426D2"/>
    <w:rsid w:val="007437AB"/>
    <w:rsid w:val="007534F8"/>
    <w:rsid w:val="007545AD"/>
    <w:rsid w:val="00760DFE"/>
    <w:rsid w:val="00763722"/>
    <w:rsid w:val="00764BC1"/>
    <w:rsid w:val="00770869"/>
    <w:rsid w:val="007738AA"/>
    <w:rsid w:val="00774D00"/>
    <w:rsid w:val="007768FA"/>
    <w:rsid w:val="00780A62"/>
    <w:rsid w:val="00783241"/>
    <w:rsid w:val="007838EC"/>
    <w:rsid w:val="00784BDC"/>
    <w:rsid w:val="00792F28"/>
    <w:rsid w:val="0079543F"/>
    <w:rsid w:val="00795880"/>
    <w:rsid w:val="007A1083"/>
    <w:rsid w:val="007A3B4B"/>
    <w:rsid w:val="007A4367"/>
    <w:rsid w:val="007B0867"/>
    <w:rsid w:val="007B1AC1"/>
    <w:rsid w:val="007B5A08"/>
    <w:rsid w:val="007B693D"/>
    <w:rsid w:val="007E0267"/>
    <w:rsid w:val="007E041B"/>
    <w:rsid w:val="007E199A"/>
    <w:rsid w:val="007E2415"/>
    <w:rsid w:val="007E39F3"/>
    <w:rsid w:val="007E68F4"/>
    <w:rsid w:val="007F31BA"/>
    <w:rsid w:val="007F4078"/>
    <w:rsid w:val="0080014B"/>
    <w:rsid w:val="00801793"/>
    <w:rsid w:val="00803642"/>
    <w:rsid w:val="00806EA2"/>
    <w:rsid w:val="00812A2B"/>
    <w:rsid w:val="00814A4C"/>
    <w:rsid w:val="00831AAB"/>
    <w:rsid w:val="0083574E"/>
    <w:rsid w:val="0083640C"/>
    <w:rsid w:val="0084103F"/>
    <w:rsid w:val="0084157B"/>
    <w:rsid w:val="00842BFB"/>
    <w:rsid w:val="00846B85"/>
    <w:rsid w:val="00847DC3"/>
    <w:rsid w:val="00847F49"/>
    <w:rsid w:val="00852F73"/>
    <w:rsid w:val="008535C5"/>
    <w:rsid w:val="00853765"/>
    <w:rsid w:val="0085516F"/>
    <w:rsid w:val="00855F9E"/>
    <w:rsid w:val="00861278"/>
    <w:rsid w:val="00867186"/>
    <w:rsid w:val="00870AF6"/>
    <w:rsid w:val="00870C2B"/>
    <w:rsid w:val="00881268"/>
    <w:rsid w:val="0088394A"/>
    <w:rsid w:val="008860BD"/>
    <w:rsid w:val="00887399"/>
    <w:rsid w:val="0088779E"/>
    <w:rsid w:val="008912AF"/>
    <w:rsid w:val="00892114"/>
    <w:rsid w:val="00892CB9"/>
    <w:rsid w:val="008935CB"/>
    <w:rsid w:val="00894C57"/>
    <w:rsid w:val="008B0E7E"/>
    <w:rsid w:val="008B1CE6"/>
    <w:rsid w:val="008B40A0"/>
    <w:rsid w:val="008B5FF0"/>
    <w:rsid w:val="008B65BD"/>
    <w:rsid w:val="008B7900"/>
    <w:rsid w:val="008C71BF"/>
    <w:rsid w:val="008C7FE0"/>
    <w:rsid w:val="008D5717"/>
    <w:rsid w:val="008D7BE8"/>
    <w:rsid w:val="008E44A9"/>
    <w:rsid w:val="008E568D"/>
    <w:rsid w:val="008E6B4D"/>
    <w:rsid w:val="008E6BFF"/>
    <w:rsid w:val="008F1135"/>
    <w:rsid w:val="008F21AF"/>
    <w:rsid w:val="008F2400"/>
    <w:rsid w:val="008F61BA"/>
    <w:rsid w:val="008F6E3C"/>
    <w:rsid w:val="008F7C55"/>
    <w:rsid w:val="0090338C"/>
    <w:rsid w:val="00903ADA"/>
    <w:rsid w:val="00906134"/>
    <w:rsid w:val="00914A23"/>
    <w:rsid w:val="00923C42"/>
    <w:rsid w:val="00930754"/>
    <w:rsid w:val="00931164"/>
    <w:rsid w:val="00934F68"/>
    <w:rsid w:val="009355AC"/>
    <w:rsid w:val="00935F38"/>
    <w:rsid w:val="00937586"/>
    <w:rsid w:val="00944AC4"/>
    <w:rsid w:val="00947889"/>
    <w:rsid w:val="00960E98"/>
    <w:rsid w:val="00963A82"/>
    <w:rsid w:val="00967859"/>
    <w:rsid w:val="00972912"/>
    <w:rsid w:val="00972CA0"/>
    <w:rsid w:val="00975DB8"/>
    <w:rsid w:val="00976D1F"/>
    <w:rsid w:val="00981C81"/>
    <w:rsid w:val="00982737"/>
    <w:rsid w:val="00992209"/>
    <w:rsid w:val="009929FD"/>
    <w:rsid w:val="00995C7B"/>
    <w:rsid w:val="009A2D24"/>
    <w:rsid w:val="009A456C"/>
    <w:rsid w:val="009A4B24"/>
    <w:rsid w:val="009B00E0"/>
    <w:rsid w:val="009B292A"/>
    <w:rsid w:val="009B76D5"/>
    <w:rsid w:val="009C165D"/>
    <w:rsid w:val="009C2DE2"/>
    <w:rsid w:val="009C37F7"/>
    <w:rsid w:val="009C3CEA"/>
    <w:rsid w:val="009C4AA4"/>
    <w:rsid w:val="009C583D"/>
    <w:rsid w:val="009D2611"/>
    <w:rsid w:val="009D79D2"/>
    <w:rsid w:val="009E247C"/>
    <w:rsid w:val="009E31BA"/>
    <w:rsid w:val="009E4C80"/>
    <w:rsid w:val="009E62E1"/>
    <w:rsid w:val="009F0528"/>
    <w:rsid w:val="009F0806"/>
    <w:rsid w:val="009F0B47"/>
    <w:rsid w:val="009F233B"/>
    <w:rsid w:val="009F7762"/>
    <w:rsid w:val="00A05D16"/>
    <w:rsid w:val="00A0659F"/>
    <w:rsid w:val="00A079BA"/>
    <w:rsid w:val="00A15555"/>
    <w:rsid w:val="00A33875"/>
    <w:rsid w:val="00A360A1"/>
    <w:rsid w:val="00A402B3"/>
    <w:rsid w:val="00A544B7"/>
    <w:rsid w:val="00A56232"/>
    <w:rsid w:val="00A618CF"/>
    <w:rsid w:val="00A62770"/>
    <w:rsid w:val="00A62EEB"/>
    <w:rsid w:val="00A660FF"/>
    <w:rsid w:val="00A6625A"/>
    <w:rsid w:val="00A73395"/>
    <w:rsid w:val="00A82B4C"/>
    <w:rsid w:val="00A93A4C"/>
    <w:rsid w:val="00A94D5D"/>
    <w:rsid w:val="00AA1D9B"/>
    <w:rsid w:val="00AA2543"/>
    <w:rsid w:val="00AA3804"/>
    <w:rsid w:val="00AA4018"/>
    <w:rsid w:val="00AA55C2"/>
    <w:rsid w:val="00AB0ACA"/>
    <w:rsid w:val="00AB1D41"/>
    <w:rsid w:val="00AC5E9A"/>
    <w:rsid w:val="00AC704B"/>
    <w:rsid w:val="00AD553E"/>
    <w:rsid w:val="00AD5848"/>
    <w:rsid w:val="00AE5ADA"/>
    <w:rsid w:val="00AF6145"/>
    <w:rsid w:val="00B004BD"/>
    <w:rsid w:val="00B01386"/>
    <w:rsid w:val="00B01BB5"/>
    <w:rsid w:val="00B04AF4"/>
    <w:rsid w:val="00B05214"/>
    <w:rsid w:val="00B0736F"/>
    <w:rsid w:val="00B30D97"/>
    <w:rsid w:val="00B31738"/>
    <w:rsid w:val="00B3181A"/>
    <w:rsid w:val="00B35A7C"/>
    <w:rsid w:val="00B37A26"/>
    <w:rsid w:val="00B450D1"/>
    <w:rsid w:val="00B512C8"/>
    <w:rsid w:val="00B53D47"/>
    <w:rsid w:val="00B54A25"/>
    <w:rsid w:val="00B618C3"/>
    <w:rsid w:val="00B63652"/>
    <w:rsid w:val="00B668B0"/>
    <w:rsid w:val="00B70F5C"/>
    <w:rsid w:val="00B71873"/>
    <w:rsid w:val="00B75AE5"/>
    <w:rsid w:val="00B800C0"/>
    <w:rsid w:val="00B8132B"/>
    <w:rsid w:val="00B84C5A"/>
    <w:rsid w:val="00B858F5"/>
    <w:rsid w:val="00B85ADA"/>
    <w:rsid w:val="00B93668"/>
    <w:rsid w:val="00B964FB"/>
    <w:rsid w:val="00B976AC"/>
    <w:rsid w:val="00BA68C6"/>
    <w:rsid w:val="00BB12F1"/>
    <w:rsid w:val="00BB276E"/>
    <w:rsid w:val="00BB3FEE"/>
    <w:rsid w:val="00BB5EB0"/>
    <w:rsid w:val="00BB7A27"/>
    <w:rsid w:val="00BC245A"/>
    <w:rsid w:val="00BC340C"/>
    <w:rsid w:val="00BD16FA"/>
    <w:rsid w:val="00BD41C3"/>
    <w:rsid w:val="00BD488B"/>
    <w:rsid w:val="00BD7CCC"/>
    <w:rsid w:val="00BE002A"/>
    <w:rsid w:val="00BE1188"/>
    <w:rsid w:val="00BE1BC9"/>
    <w:rsid w:val="00BE5CDA"/>
    <w:rsid w:val="00BE608F"/>
    <w:rsid w:val="00BF23BB"/>
    <w:rsid w:val="00BF33DD"/>
    <w:rsid w:val="00BF5755"/>
    <w:rsid w:val="00BF684B"/>
    <w:rsid w:val="00C016F3"/>
    <w:rsid w:val="00C15193"/>
    <w:rsid w:val="00C15609"/>
    <w:rsid w:val="00C15A09"/>
    <w:rsid w:val="00C15F6A"/>
    <w:rsid w:val="00C23EA7"/>
    <w:rsid w:val="00C256F3"/>
    <w:rsid w:val="00C26329"/>
    <w:rsid w:val="00C270A2"/>
    <w:rsid w:val="00C315B5"/>
    <w:rsid w:val="00C32D3A"/>
    <w:rsid w:val="00C35E28"/>
    <w:rsid w:val="00C426AF"/>
    <w:rsid w:val="00C42E6A"/>
    <w:rsid w:val="00C4603A"/>
    <w:rsid w:val="00C469C1"/>
    <w:rsid w:val="00C50659"/>
    <w:rsid w:val="00C51B39"/>
    <w:rsid w:val="00C5338A"/>
    <w:rsid w:val="00C53606"/>
    <w:rsid w:val="00C5442C"/>
    <w:rsid w:val="00C54EF9"/>
    <w:rsid w:val="00C56BBF"/>
    <w:rsid w:val="00C572AA"/>
    <w:rsid w:val="00C57A9A"/>
    <w:rsid w:val="00C6016A"/>
    <w:rsid w:val="00C60B3F"/>
    <w:rsid w:val="00C623EB"/>
    <w:rsid w:val="00C6258A"/>
    <w:rsid w:val="00C64C6B"/>
    <w:rsid w:val="00C65138"/>
    <w:rsid w:val="00C66F2E"/>
    <w:rsid w:val="00C6785C"/>
    <w:rsid w:val="00C70FD1"/>
    <w:rsid w:val="00C733AA"/>
    <w:rsid w:val="00C83027"/>
    <w:rsid w:val="00C84736"/>
    <w:rsid w:val="00C84B8A"/>
    <w:rsid w:val="00C858E7"/>
    <w:rsid w:val="00C85E65"/>
    <w:rsid w:val="00C87CA1"/>
    <w:rsid w:val="00C90DAF"/>
    <w:rsid w:val="00C911B4"/>
    <w:rsid w:val="00C91B3B"/>
    <w:rsid w:val="00C94262"/>
    <w:rsid w:val="00C976E1"/>
    <w:rsid w:val="00C97776"/>
    <w:rsid w:val="00CA148E"/>
    <w:rsid w:val="00CA3A9A"/>
    <w:rsid w:val="00CA3D82"/>
    <w:rsid w:val="00CB6BC1"/>
    <w:rsid w:val="00CB7021"/>
    <w:rsid w:val="00CD3294"/>
    <w:rsid w:val="00CD4524"/>
    <w:rsid w:val="00CD784D"/>
    <w:rsid w:val="00CE09BD"/>
    <w:rsid w:val="00CE3F42"/>
    <w:rsid w:val="00CF40F8"/>
    <w:rsid w:val="00D008DA"/>
    <w:rsid w:val="00D0416F"/>
    <w:rsid w:val="00D05851"/>
    <w:rsid w:val="00D07880"/>
    <w:rsid w:val="00D10FED"/>
    <w:rsid w:val="00D11736"/>
    <w:rsid w:val="00D12EE8"/>
    <w:rsid w:val="00D13FB2"/>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607CE"/>
    <w:rsid w:val="00D620FD"/>
    <w:rsid w:val="00D65AF4"/>
    <w:rsid w:val="00D843F4"/>
    <w:rsid w:val="00D848FB"/>
    <w:rsid w:val="00DC23CF"/>
    <w:rsid w:val="00DC6562"/>
    <w:rsid w:val="00DC6FCE"/>
    <w:rsid w:val="00DE130D"/>
    <w:rsid w:val="00DE24CF"/>
    <w:rsid w:val="00DE407C"/>
    <w:rsid w:val="00DE7C7D"/>
    <w:rsid w:val="00DF2992"/>
    <w:rsid w:val="00DF2D0C"/>
    <w:rsid w:val="00E01B9D"/>
    <w:rsid w:val="00E04F5E"/>
    <w:rsid w:val="00E0522E"/>
    <w:rsid w:val="00E120F4"/>
    <w:rsid w:val="00E155F9"/>
    <w:rsid w:val="00E17172"/>
    <w:rsid w:val="00E30AB7"/>
    <w:rsid w:val="00E3181C"/>
    <w:rsid w:val="00E3280A"/>
    <w:rsid w:val="00E361C3"/>
    <w:rsid w:val="00E372AF"/>
    <w:rsid w:val="00E3798D"/>
    <w:rsid w:val="00E37D68"/>
    <w:rsid w:val="00E40EAE"/>
    <w:rsid w:val="00E4353E"/>
    <w:rsid w:val="00E436AC"/>
    <w:rsid w:val="00E44FF8"/>
    <w:rsid w:val="00E5066A"/>
    <w:rsid w:val="00E52CF9"/>
    <w:rsid w:val="00E61927"/>
    <w:rsid w:val="00E63F34"/>
    <w:rsid w:val="00E6715A"/>
    <w:rsid w:val="00E75DC9"/>
    <w:rsid w:val="00E8086A"/>
    <w:rsid w:val="00E81610"/>
    <w:rsid w:val="00E82653"/>
    <w:rsid w:val="00E84910"/>
    <w:rsid w:val="00E85B28"/>
    <w:rsid w:val="00E91976"/>
    <w:rsid w:val="00E947A6"/>
    <w:rsid w:val="00E97FC7"/>
    <w:rsid w:val="00EA0690"/>
    <w:rsid w:val="00EA1A3E"/>
    <w:rsid w:val="00EA3956"/>
    <w:rsid w:val="00EA5571"/>
    <w:rsid w:val="00EC02A5"/>
    <w:rsid w:val="00EC176B"/>
    <w:rsid w:val="00EC33CD"/>
    <w:rsid w:val="00EC5BE5"/>
    <w:rsid w:val="00ED2650"/>
    <w:rsid w:val="00ED721A"/>
    <w:rsid w:val="00EE393D"/>
    <w:rsid w:val="00EF01CF"/>
    <w:rsid w:val="00EF6A66"/>
    <w:rsid w:val="00EF7AF9"/>
    <w:rsid w:val="00F01495"/>
    <w:rsid w:val="00F01EE6"/>
    <w:rsid w:val="00F10138"/>
    <w:rsid w:val="00F13F92"/>
    <w:rsid w:val="00F22ECA"/>
    <w:rsid w:val="00F240E8"/>
    <w:rsid w:val="00F244FA"/>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A0113"/>
    <w:rsid w:val="00FA12B2"/>
    <w:rsid w:val="00FA3DE7"/>
    <w:rsid w:val="00FA6C0C"/>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04A6"/>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FA3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National%20Accounts__Supply,%20Use%20and%20Input-Output%20Tab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0.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60.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36</cp:revision>
  <cp:lastPrinted>2016-09-28T08:24:00Z</cp:lastPrinted>
  <dcterms:created xsi:type="dcterms:W3CDTF">2025-01-27T11:25:00Z</dcterms:created>
  <dcterms:modified xsi:type="dcterms:W3CDTF">2026-03-26T07:45:00Z</dcterms:modified>
</cp:coreProperties>
</file>