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72FE7" w14:textId="77777777" w:rsidR="002A10AB" w:rsidRPr="00545E88" w:rsidRDefault="002A10AB" w:rsidP="002A10AB">
      <w:pPr>
        <w:jc w:val="right"/>
        <w:rPr>
          <w:rFonts w:ascii="Verdana" w:hAnsi="Verdana"/>
          <w:sz w:val="18"/>
          <w:szCs w:val="18"/>
        </w:rPr>
      </w:pPr>
    </w:p>
    <w:p w14:paraId="50208800" w14:textId="4B55167D" w:rsidR="002A10AB" w:rsidRDefault="0090794F" w:rsidP="0018719A">
      <w:pPr>
        <w:jc w:val="right"/>
        <w:rPr>
          <w:rFonts w:ascii="Verdana" w:eastAsia="Malgun Gothic" w:hAnsi="Verdana"/>
          <w:sz w:val="18"/>
          <w:szCs w:val="18"/>
        </w:rPr>
      </w:pPr>
      <w:r w:rsidRPr="00D17B72">
        <w:rPr>
          <w:rFonts w:ascii="Verdana" w:hAnsi="Verdana"/>
          <w:sz w:val="18"/>
          <w:szCs w:val="18"/>
        </w:rPr>
        <w:t>17</w:t>
      </w:r>
      <w:r w:rsidR="002A10AB" w:rsidRPr="00545E88">
        <w:rPr>
          <w:rFonts w:ascii="Verdana" w:hAnsi="Verdana"/>
          <w:sz w:val="18"/>
          <w:szCs w:val="18"/>
        </w:rPr>
        <w:t xml:space="preserve"> </w:t>
      </w:r>
      <w:r w:rsidR="00637A94">
        <w:rPr>
          <w:rFonts w:ascii="Verdana" w:hAnsi="Verdana"/>
          <w:sz w:val="18"/>
          <w:szCs w:val="18"/>
        </w:rPr>
        <w:t>October</w:t>
      </w:r>
      <w:r w:rsidR="002A10AB" w:rsidRPr="00545E88">
        <w:rPr>
          <w:rFonts w:ascii="Verdana" w:eastAsia="Malgun Gothic" w:hAnsi="Verdana"/>
          <w:sz w:val="18"/>
          <w:szCs w:val="18"/>
        </w:rPr>
        <w:t>, 202</w:t>
      </w:r>
      <w:r w:rsidR="00F81D0D">
        <w:rPr>
          <w:rFonts w:ascii="Verdana" w:eastAsia="Malgun Gothic" w:hAnsi="Verdana"/>
          <w:sz w:val="18"/>
          <w:szCs w:val="18"/>
        </w:rPr>
        <w:t>5</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bookmarkStart w:id="0" w:name="_GoBack"/>
      <w:bookmarkEnd w:id="0"/>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1FC2BEDE"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637A94">
        <w:rPr>
          <w:rFonts w:ascii="Verdana" w:eastAsia="Malgun Gothic" w:hAnsi="Verdana" w:cs="Arial"/>
          <w:szCs w:val="22"/>
          <w:lang w:val="en-US"/>
        </w:rPr>
        <w:t>SEPTEMBER</w:t>
      </w:r>
      <w:r w:rsidRPr="00545E88">
        <w:rPr>
          <w:rFonts w:ascii="Verdana" w:eastAsia="Malgun Gothic" w:hAnsi="Verdana" w:cs="Arial"/>
          <w:szCs w:val="22"/>
          <w:lang w:val="en-US"/>
        </w:rPr>
        <w:t xml:space="preserve"> </w:t>
      </w:r>
      <w:r w:rsidR="00455353">
        <w:rPr>
          <w:rFonts w:ascii="Verdana" w:eastAsia="Malgun Gothic" w:hAnsi="Verdana" w:cs="Arial"/>
          <w:szCs w:val="22"/>
          <w:lang w:val="en-US"/>
        </w:rPr>
        <w:t>2025</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37254A72"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01415E" w:rsidRPr="0001415E">
        <w:rPr>
          <w:rFonts w:ascii="Verdana" w:eastAsia="Malgun Gothic" w:hAnsi="Verdana" w:cs="Arial"/>
          <w:b/>
        </w:rPr>
        <w:t>12</w:t>
      </w:r>
      <w:proofErr w:type="gramStart"/>
      <w:r w:rsidR="0001415E" w:rsidRPr="0001415E">
        <w:rPr>
          <w:rFonts w:ascii="Verdana" w:eastAsia="Malgun Gothic" w:hAnsi="Verdana" w:cs="Arial"/>
          <w:b/>
        </w:rPr>
        <w:t>,0</w:t>
      </w:r>
      <w:proofErr w:type="gramEnd"/>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01415E" w:rsidRPr="0001415E">
        <w:rPr>
          <w:rFonts w:ascii="Verdana" w:eastAsia="Malgun Gothic" w:hAnsi="Verdana" w:cs="Arial"/>
          <w:b/>
        </w:rPr>
        <w:t>6,4</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411CCC02"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01415E" w:rsidRPr="0001415E">
        <w:rPr>
          <w:rFonts w:ascii="Verdana" w:eastAsia="Malgun Gothic" w:hAnsi="Verdana"/>
          <w:sz w:val="18"/>
          <w:szCs w:val="18"/>
          <w:lang w:val="en-US"/>
        </w:rPr>
        <w:t xml:space="preserve">570.635 </w:t>
      </w:r>
      <w:r w:rsidRPr="00FD4C95">
        <w:rPr>
          <w:rFonts w:ascii="Verdana" w:eastAsia="Malgun Gothic" w:hAnsi="Verdana"/>
          <w:sz w:val="18"/>
          <w:szCs w:val="18"/>
          <w:lang w:val="en-US"/>
        </w:rPr>
        <w:t xml:space="preserve">in </w:t>
      </w:r>
      <w:r w:rsidR="00637A94">
        <w:rPr>
          <w:rFonts w:ascii="Verdana" w:eastAsia="Malgun Gothic" w:hAnsi="Verdana"/>
          <w:sz w:val="18"/>
          <w:szCs w:val="18"/>
          <w:lang w:val="en-US"/>
        </w:rPr>
        <w:t>September</w:t>
      </w:r>
      <w:r w:rsidRPr="00FD4C95">
        <w:rPr>
          <w:rFonts w:ascii="Verdana" w:eastAsia="Malgun Gothic" w:hAnsi="Verdana"/>
          <w:sz w:val="18"/>
          <w:szCs w:val="18"/>
          <w:lang w:val="en-US"/>
        </w:rPr>
        <w:t xml:space="preserve"> </w:t>
      </w:r>
      <w:r w:rsidR="00455353" w:rsidRPr="00FD4C95">
        <w:rPr>
          <w:rFonts w:ascii="Verdana" w:eastAsia="Malgun Gothic" w:hAnsi="Verdana"/>
          <w:sz w:val="18"/>
          <w:szCs w:val="18"/>
          <w:lang w:val="en-US"/>
        </w:rPr>
        <w:t>2025</w:t>
      </w:r>
      <w:r w:rsidRPr="00FD4C95">
        <w:rPr>
          <w:rFonts w:ascii="Verdana" w:eastAsia="Malgun Gothic" w:hAnsi="Verdana"/>
          <w:sz w:val="18"/>
          <w:szCs w:val="18"/>
          <w:lang w:val="en-US"/>
        </w:rPr>
        <w:t xml:space="preserve"> compared to </w:t>
      </w:r>
      <w:r w:rsidR="0001415E" w:rsidRPr="0001415E">
        <w:rPr>
          <w:rFonts w:ascii="Verdana" w:eastAsia="Malgun Gothic" w:hAnsi="Verdana"/>
          <w:sz w:val="18"/>
          <w:szCs w:val="18"/>
          <w:lang w:val="en-US"/>
        </w:rPr>
        <w:t xml:space="preserve">509.463 </w:t>
      </w:r>
      <w:r w:rsidRPr="00FD4C95">
        <w:rPr>
          <w:rFonts w:ascii="Verdana" w:eastAsia="Malgun Gothic" w:hAnsi="Verdana"/>
          <w:sz w:val="18"/>
          <w:szCs w:val="18"/>
          <w:lang w:val="en-US"/>
        </w:rPr>
        <w:t xml:space="preserve">in </w:t>
      </w:r>
      <w:r w:rsidR="00637A94">
        <w:rPr>
          <w:rFonts w:ascii="Verdana" w:eastAsia="Malgun Gothic" w:hAnsi="Verdana"/>
          <w:sz w:val="18"/>
          <w:szCs w:val="18"/>
          <w:lang w:val="en-US"/>
        </w:rPr>
        <w:t>September</w:t>
      </w:r>
      <w:r w:rsidRPr="00FD4C95">
        <w:rPr>
          <w:rFonts w:ascii="Verdana" w:eastAsia="Malgun Gothic" w:hAnsi="Verdana"/>
          <w:sz w:val="18"/>
          <w:szCs w:val="18"/>
          <w:lang w:val="en-US"/>
        </w:rPr>
        <w:t xml:space="preserve"> </w:t>
      </w:r>
      <w:r w:rsidR="00370BAB" w:rsidRPr="00FD4C95">
        <w:rPr>
          <w:rFonts w:ascii="Verdana" w:eastAsia="Malgun Gothic" w:hAnsi="Verdana"/>
          <w:sz w:val="18"/>
          <w:szCs w:val="18"/>
          <w:lang w:val="en-US"/>
        </w:rPr>
        <w:t>202</w:t>
      </w:r>
      <w:r w:rsidR="00455353" w:rsidRPr="00FD4C95">
        <w:rPr>
          <w:rFonts w:ascii="Verdana" w:eastAsia="Malgun Gothic" w:hAnsi="Verdana"/>
          <w:sz w:val="18"/>
          <w:szCs w:val="18"/>
          <w:lang w:val="en-US"/>
        </w:rPr>
        <w:t>4</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01415E" w:rsidRPr="0001415E">
        <w:rPr>
          <w:rFonts w:ascii="Verdana" w:eastAsia="Malgun Gothic" w:hAnsi="Verdana"/>
          <w:sz w:val="18"/>
          <w:szCs w:val="18"/>
          <w:lang w:val="en-US"/>
        </w:rPr>
        <w:t>12</w:t>
      </w:r>
      <w:proofErr w:type="gramStart"/>
      <w:r w:rsidR="005D6641" w:rsidRPr="00FD4C95">
        <w:rPr>
          <w:rFonts w:ascii="Verdana" w:eastAsia="Malgun Gothic" w:hAnsi="Verdana"/>
          <w:sz w:val="18"/>
          <w:szCs w:val="18"/>
          <w:lang w:val="en-US"/>
        </w:rPr>
        <w:t>,</w:t>
      </w:r>
      <w:r w:rsidR="0001415E" w:rsidRPr="0001415E">
        <w:rPr>
          <w:rFonts w:ascii="Verdana" w:eastAsia="Malgun Gothic" w:hAnsi="Verdana"/>
          <w:sz w:val="18"/>
          <w:szCs w:val="18"/>
          <w:lang w:val="en-US"/>
        </w:rPr>
        <w:t>0</w:t>
      </w:r>
      <w:proofErr w:type="gramEnd"/>
      <w:r w:rsidRPr="00FD4C95">
        <w:rPr>
          <w:rFonts w:ascii="Verdana" w:eastAsia="Malgun Gothic" w:hAnsi="Verdana"/>
          <w:sz w:val="18"/>
          <w:szCs w:val="18"/>
          <w:lang w:val="en-US"/>
        </w:rPr>
        <w:t xml:space="preserve">%. </w:t>
      </w:r>
    </w:p>
    <w:p w14:paraId="531951E5" w14:textId="77777777" w:rsidR="00274AF5" w:rsidRPr="005373D1" w:rsidRDefault="00274AF5" w:rsidP="00A20E9E">
      <w:pPr>
        <w:pStyle w:val="BodyText"/>
        <w:rPr>
          <w:rFonts w:ascii="Verdana" w:eastAsia="Malgun Gothic" w:hAnsi="Verdana"/>
          <w:sz w:val="18"/>
          <w:szCs w:val="18"/>
          <w:highlight w:val="yellow"/>
          <w:lang w:val="en-US"/>
        </w:rPr>
      </w:pPr>
    </w:p>
    <w:p w14:paraId="571EC647" w14:textId="31B1F93B" w:rsidR="00274AF5" w:rsidRPr="00545E88" w:rsidRDefault="00274AF5"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January – </w:t>
      </w:r>
      <w:r w:rsidR="00637A94">
        <w:rPr>
          <w:rFonts w:ascii="Verdana" w:eastAsia="Malgun Gothic" w:hAnsi="Verdana"/>
          <w:sz w:val="18"/>
          <w:szCs w:val="18"/>
          <w:lang w:val="en-US"/>
        </w:rPr>
        <w:t>September</w:t>
      </w:r>
      <w:r w:rsidRPr="00FD4C95">
        <w:rPr>
          <w:rFonts w:ascii="Verdana" w:eastAsia="Malgun Gothic" w:hAnsi="Verdana"/>
          <w:sz w:val="18"/>
          <w:szCs w:val="18"/>
          <w:lang w:val="en-US"/>
        </w:rPr>
        <w:t xml:space="preserve"> 202</w:t>
      </w:r>
      <w:r w:rsidR="001B2C36" w:rsidRPr="00FD4C95">
        <w:rPr>
          <w:rFonts w:ascii="Verdana" w:eastAsia="Malgun Gothic" w:hAnsi="Verdana"/>
          <w:sz w:val="18"/>
          <w:szCs w:val="18"/>
          <w:lang w:val="en-US"/>
        </w:rPr>
        <w:t>5</w:t>
      </w:r>
      <w:r w:rsidRPr="00FD4C95">
        <w:rPr>
          <w:rFonts w:ascii="Verdana" w:eastAsia="Malgun Gothic" w:hAnsi="Verdana"/>
          <w:sz w:val="18"/>
          <w:szCs w:val="18"/>
          <w:lang w:val="en-US"/>
        </w:rPr>
        <w:t>, arrivals of tourists totaled</w:t>
      </w:r>
      <w:bookmarkStart w:id="1" w:name="_Hlk205793540"/>
      <w:r w:rsidR="0001415E" w:rsidRPr="0001415E">
        <w:rPr>
          <w:rFonts w:ascii="Verdana" w:eastAsia="Malgun Gothic" w:hAnsi="Verdana"/>
          <w:sz w:val="18"/>
          <w:szCs w:val="18"/>
          <w:lang w:val="en-US"/>
        </w:rPr>
        <w:t xml:space="preserve"> 3.604.790 </w:t>
      </w:r>
      <w:bookmarkEnd w:id="1"/>
      <w:r w:rsidRPr="00FD4C95">
        <w:rPr>
          <w:rFonts w:ascii="Verdana" w:eastAsia="Malgun Gothic" w:hAnsi="Verdana"/>
          <w:sz w:val="18"/>
          <w:szCs w:val="18"/>
          <w:lang w:val="en-US"/>
        </w:rPr>
        <w:t xml:space="preserve">compared to </w:t>
      </w:r>
      <w:r w:rsidR="0001415E" w:rsidRPr="0001415E">
        <w:rPr>
          <w:rFonts w:ascii="Verdana" w:eastAsia="Malgun Gothic" w:hAnsi="Verdana"/>
          <w:sz w:val="18"/>
          <w:szCs w:val="18"/>
          <w:lang w:val="en-US"/>
        </w:rPr>
        <w:t xml:space="preserve">3.268.090 </w:t>
      </w:r>
      <w:r w:rsidRPr="00FD4C95">
        <w:rPr>
          <w:rFonts w:ascii="Verdana" w:eastAsia="Malgun Gothic" w:hAnsi="Verdana"/>
          <w:sz w:val="18"/>
          <w:szCs w:val="18"/>
          <w:lang w:val="en-US"/>
        </w:rPr>
        <w:t>in the corresponding period of 202</w:t>
      </w:r>
      <w:r w:rsidR="000340BB" w:rsidRPr="00FD4C95">
        <w:rPr>
          <w:rFonts w:ascii="Verdana" w:eastAsia="Malgun Gothic" w:hAnsi="Verdana"/>
          <w:sz w:val="18"/>
          <w:szCs w:val="18"/>
          <w:lang w:val="en-US"/>
        </w:rPr>
        <w:t>4</w:t>
      </w:r>
      <w:r w:rsidRPr="00FD4C95">
        <w:rPr>
          <w:rFonts w:ascii="Verdana" w:eastAsia="Malgun Gothic" w:hAnsi="Verdana"/>
          <w:sz w:val="18"/>
          <w:szCs w:val="18"/>
          <w:lang w:val="en-US"/>
        </w:rPr>
        <w:t xml:space="preserve">, recording an increase of </w:t>
      </w:r>
      <w:r w:rsidR="00FD4C95" w:rsidRPr="00FD4C95">
        <w:rPr>
          <w:rFonts w:ascii="Verdana" w:eastAsia="Malgun Gothic" w:hAnsi="Verdana"/>
          <w:sz w:val="18"/>
          <w:szCs w:val="18"/>
          <w:lang w:val="en-US"/>
        </w:rPr>
        <w:t>10</w:t>
      </w:r>
      <w:proofErr w:type="gramStart"/>
      <w:r w:rsidR="005D6641" w:rsidRPr="00FD4C95">
        <w:rPr>
          <w:rFonts w:ascii="Verdana" w:eastAsia="Malgun Gothic" w:hAnsi="Verdana"/>
          <w:sz w:val="18"/>
          <w:szCs w:val="18"/>
          <w:lang w:val="en-US"/>
        </w:rPr>
        <w:t>,</w:t>
      </w:r>
      <w:r w:rsidR="0001415E" w:rsidRPr="0001415E">
        <w:rPr>
          <w:rFonts w:ascii="Verdana" w:eastAsia="Malgun Gothic" w:hAnsi="Verdana"/>
          <w:sz w:val="18"/>
          <w:szCs w:val="18"/>
          <w:lang w:val="en-US"/>
        </w:rPr>
        <w:t>3</w:t>
      </w:r>
      <w:proofErr w:type="gramEnd"/>
      <w:r w:rsidRPr="00FD4C95">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3FA061FA" w:rsidR="00107C54" w:rsidRPr="0001415E" w:rsidRDefault="0001415E"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GB" w:eastAsia="en-GB"/>
        </w:rPr>
        <w:drawing>
          <wp:inline distT="0" distB="0" distL="0" distR="0" wp14:anchorId="52FBC50E" wp14:editId="08F52530">
            <wp:extent cx="6078220" cy="3657600"/>
            <wp:effectExtent l="0" t="0" r="0" b="0"/>
            <wp:docPr id="2133041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01415E" w:rsidRDefault="002F26F4" w:rsidP="0009495F">
      <w:pPr>
        <w:tabs>
          <w:tab w:val="left" w:pos="1080"/>
          <w:tab w:val="left" w:pos="6840"/>
        </w:tabs>
        <w:jc w:val="both"/>
        <w:rPr>
          <w:rFonts w:ascii="Verdana" w:eastAsia="Malgun Gothic" w:hAnsi="Verdana" w:cs="Arial"/>
          <w:sz w:val="18"/>
          <w:szCs w:val="18"/>
          <w:lang w:val="el-GR"/>
        </w:rPr>
      </w:pPr>
    </w:p>
    <w:p w14:paraId="76D40066" w14:textId="220FE435" w:rsidR="00E276B4" w:rsidRPr="00545E88" w:rsidRDefault="002A10AB" w:rsidP="00E276B4">
      <w:pPr>
        <w:jc w:val="both"/>
        <w:rPr>
          <w:rFonts w:ascii="Verdana" w:eastAsia="Malgun Gothic" w:hAnsi="Verdana" w:cs="Arial"/>
          <w:sz w:val="18"/>
          <w:szCs w:val="18"/>
        </w:rPr>
      </w:pPr>
      <w:r w:rsidRPr="00EA28A3">
        <w:rPr>
          <w:rFonts w:ascii="Verdana" w:eastAsia="Malgun Gothic" w:hAnsi="Verdana" w:cs="Arial"/>
          <w:sz w:val="18"/>
          <w:szCs w:val="18"/>
        </w:rPr>
        <w:t>Arrivals from</w:t>
      </w:r>
      <w:r w:rsidR="000E783F" w:rsidRPr="00EA28A3">
        <w:t xml:space="preserve"> </w:t>
      </w:r>
      <w:r w:rsidR="00EB33F7" w:rsidRPr="00EA28A3">
        <w:rPr>
          <w:rFonts w:ascii="Verdana" w:eastAsia="Malgun Gothic" w:hAnsi="Verdana"/>
          <w:sz w:val="18"/>
          <w:szCs w:val="18"/>
        </w:rPr>
        <w:t xml:space="preserve">the United Kingdom </w:t>
      </w:r>
      <w:r w:rsidRPr="00EA28A3">
        <w:rPr>
          <w:rFonts w:ascii="Verdana" w:eastAsia="Malgun Gothic" w:hAnsi="Verdana" w:cs="Arial"/>
          <w:sz w:val="18"/>
          <w:szCs w:val="18"/>
        </w:rPr>
        <w:t xml:space="preserve">were the main source of tourism for </w:t>
      </w:r>
      <w:r w:rsidR="00637A94">
        <w:rPr>
          <w:rFonts w:ascii="Verdana" w:eastAsia="Malgun Gothic" w:hAnsi="Verdana" w:cs="Arial"/>
          <w:sz w:val="18"/>
          <w:szCs w:val="18"/>
        </w:rPr>
        <w:t>September</w:t>
      </w:r>
      <w:r w:rsidRPr="00EA28A3">
        <w:rPr>
          <w:rFonts w:ascii="Verdana" w:eastAsia="Malgun Gothic" w:hAnsi="Verdana" w:cs="Arial"/>
          <w:sz w:val="18"/>
          <w:szCs w:val="18"/>
        </w:rPr>
        <w:t xml:space="preserve"> </w:t>
      </w:r>
      <w:r w:rsidR="00455353" w:rsidRPr="00EA28A3">
        <w:rPr>
          <w:rFonts w:ascii="Verdana" w:eastAsia="Malgun Gothic" w:hAnsi="Verdana" w:cs="Arial"/>
          <w:sz w:val="18"/>
          <w:szCs w:val="18"/>
        </w:rPr>
        <w:t>2025</w:t>
      </w:r>
      <w:r w:rsidRPr="00EA28A3">
        <w:rPr>
          <w:rFonts w:ascii="Verdana" w:eastAsia="Malgun Gothic" w:hAnsi="Verdana" w:cs="Arial"/>
          <w:sz w:val="18"/>
          <w:szCs w:val="18"/>
        </w:rPr>
        <w:t xml:space="preserve">, with a share of </w:t>
      </w:r>
      <w:r w:rsidR="0001415E" w:rsidRPr="001E2A77">
        <w:rPr>
          <w:rFonts w:ascii="Verdana" w:eastAsia="Malgun Gothic" w:hAnsi="Verdana"/>
          <w:sz w:val="18"/>
          <w:szCs w:val="18"/>
        </w:rPr>
        <w:t>3</w:t>
      </w:r>
      <w:r w:rsidR="0001415E">
        <w:rPr>
          <w:rFonts w:ascii="Verdana" w:eastAsia="Malgun Gothic" w:hAnsi="Verdana"/>
          <w:sz w:val="18"/>
          <w:szCs w:val="18"/>
        </w:rPr>
        <w:t>1</w:t>
      </w:r>
      <w:r w:rsidR="0001415E" w:rsidRPr="001E2A77">
        <w:rPr>
          <w:rFonts w:ascii="Verdana" w:eastAsia="Malgun Gothic" w:hAnsi="Verdana"/>
          <w:sz w:val="18"/>
          <w:szCs w:val="18"/>
        </w:rPr>
        <w:t>,</w:t>
      </w:r>
      <w:r w:rsidR="0001415E">
        <w:rPr>
          <w:rFonts w:ascii="Verdana" w:eastAsia="Malgun Gothic" w:hAnsi="Verdana"/>
          <w:sz w:val="18"/>
          <w:szCs w:val="18"/>
        </w:rPr>
        <w:t>4</w:t>
      </w:r>
      <w:r w:rsidR="0001415E" w:rsidRPr="001E2A77">
        <w:rPr>
          <w:rFonts w:ascii="Verdana" w:eastAsia="Malgun Gothic" w:hAnsi="Verdana"/>
          <w:sz w:val="18"/>
          <w:szCs w:val="18"/>
        </w:rPr>
        <w:t>% (</w:t>
      </w:r>
      <w:r w:rsidR="0001415E" w:rsidRPr="00E9538C">
        <w:rPr>
          <w:rFonts w:ascii="Verdana" w:eastAsia="Malgun Gothic" w:hAnsi="Verdana"/>
          <w:sz w:val="18"/>
          <w:szCs w:val="18"/>
        </w:rPr>
        <w:t>179.293</w:t>
      </w:r>
      <w:r w:rsidR="0001415E" w:rsidRPr="001E2A77">
        <w:rPr>
          <w:rFonts w:ascii="Verdana" w:eastAsia="Malgun Gothic" w:hAnsi="Verdana"/>
          <w:sz w:val="18"/>
          <w:szCs w:val="18"/>
        </w:rPr>
        <w:t>)</w:t>
      </w:r>
      <w:r w:rsidR="0001415E">
        <w:rPr>
          <w:rFonts w:ascii="Verdana" w:eastAsia="Malgun Gothic" w:hAnsi="Verdana"/>
          <w:sz w:val="18"/>
          <w:szCs w:val="18"/>
        </w:rPr>
        <w:t xml:space="preserve"> </w:t>
      </w:r>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EA28A3" w:rsidRPr="00EA28A3">
        <w:rPr>
          <w:rFonts w:ascii="Verdana" w:eastAsia="Malgun Gothic" w:hAnsi="Verdana"/>
          <w:sz w:val="18"/>
          <w:szCs w:val="18"/>
        </w:rPr>
        <w:t xml:space="preserve">Israel </w:t>
      </w:r>
      <w:r w:rsidR="00EA28A3" w:rsidRPr="00EA28A3">
        <w:rPr>
          <w:rFonts w:ascii="Verdana" w:eastAsia="Malgun Gothic" w:hAnsi="Verdana" w:cs="Arial"/>
          <w:sz w:val="18"/>
          <w:szCs w:val="18"/>
        </w:rPr>
        <w:t xml:space="preserve">with </w:t>
      </w:r>
      <w:bookmarkStart w:id="2" w:name="_Hlk161163986"/>
      <w:r w:rsidR="0001415E">
        <w:rPr>
          <w:rFonts w:ascii="Verdana" w:eastAsia="Malgun Gothic" w:hAnsi="Verdana"/>
          <w:sz w:val="18"/>
          <w:szCs w:val="18"/>
        </w:rPr>
        <w:t>14</w:t>
      </w:r>
      <w:r w:rsidR="0001415E" w:rsidRPr="001E2A77">
        <w:rPr>
          <w:rFonts w:ascii="Verdana" w:eastAsia="Malgun Gothic" w:hAnsi="Verdana"/>
          <w:sz w:val="18"/>
          <w:szCs w:val="18"/>
        </w:rPr>
        <w:t>,</w:t>
      </w:r>
      <w:r w:rsidR="0001415E">
        <w:rPr>
          <w:rFonts w:ascii="Verdana" w:eastAsia="Malgun Gothic" w:hAnsi="Verdana"/>
          <w:sz w:val="18"/>
          <w:szCs w:val="18"/>
        </w:rPr>
        <w:t>0</w:t>
      </w:r>
      <w:r w:rsidR="0001415E" w:rsidRPr="001E2A77">
        <w:rPr>
          <w:rFonts w:ascii="Verdana" w:eastAsia="Malgun Gothic" w:hAnsi="Verdana"/>
          <w:sz w:val="18"/>
          <w:szCs w:val="18"/>
        </w:rPr>
        <w:t>%</w:t>
      </w:r>
      <w:bookmarkEnd w:id="2"/>
      <w:r w:rsidR="0001415E" w:rsidRPr="001E2A77">
        <w:rPr>
          <w:rFonts w:ascii="Verdana" w:eastAsia="Malgun Gothic" w:hAnsi="Verdana"/>
          <w:sz w:val="18"/>
          <w:szCs w:val="18"/>
        </w:rPr>
        <w:t xml:space="preserve"> (</w:t>
      </w:r>
      <w:r w:rsidR="0001415E" w:rsidRPr="00E9538C">
        <w:rPr>
          <w:rFonts w:ascii="Verdana" w:eastAsia="Malgun Gothic" w:hAnsi="Verdana"/>
          <w:sz w:val="18"/>
          <w:szCs w:val="18"/>
        </w:rPr>
        <w:t>80.115</w:t>
      </w:r>
      <w:r w:rsidR="0001415E" w:rsidRPr="001E2A77">
        <w:rPr>
          <w:rFonts w:ascii="Verdana" w:eastAsia="Malgun Gothic" w:hAnsi="Verdana"/>
          <w:sz w:val="18"/>
          <w:szCs w:val="18"/>
        </w:rPr>
        <w:t>)</w:t>
      </w:r>
      <w:r w:rsidR="00E26FB5" w:rsidRPr="001E2A77">
        <w:rPr>
          <w:rFonts w:ascii="Verdana" w:eastAsia="Malgun Gothic" w:hAnsi="Verdana"/>
          <w:sz w:val="18"/>
          <w:szCs w:val="18"/>
        </w:rPr>
        <w:t>,</w:t>
      </w:r>
      <w:r w:rsidR="00EA28A3" w:rsidRPr="00EA28A3">
        <w:rPr>
          <w:rFonts w:ascii="Verdana" w:eastAsia="Malgun Gothic" w:hAnsi="Verdana"/>
          <w:sz w:val="18"/>
          <w:szCs w:val="18"/>
        </w:rPr>
        <w:t xml:space="preserve"> </w:t>
      </w:r>
      <w:r w:rsidR="00CA0613" w:rsidRPr="00EA28A3">
        <w:rPr>
          <w:rFonts w:ascii="Verdana" w:eastAsia="Malgun Gothic" w:hAnsi="Verdana"/>
          <w:sz w:val="18"/>
          <w:szCs w:val="18"/>
        </w:rPr>
        <w:t xml:space="preserve">Poland </w:t>
      </w:r>
      <w:r w:rsidR="00523EE1" w:rsidRPr="00EA28A3">
        <w:rPr>
          <w:rFonts w:ascii="Verdana" w:eastAsia="Malgun Gothic" w:hAnsi="Verdana" w:cs="Arial"/>
          <w:sz w:val="18"/>
          <w:szCs w:val="18"/>
        </w:rPr>
        <w:t xml:space="preserve">with </w:t>
      </w:r>
      <w:r w:rsidR="0001415E" w:rsidRPr="001E2A77">
        <w:rPr>
          <w:rFonts w:ascii="Verdana" w:eastAsia="Malgun Gothic" w:hAnsi="Verdana"/>
          <w:sz w:val="18"/>
          <w:szCs w:val="18"/>
        </w:rPr>
        <w:t>7,</w:t>
      </w:r>
      <w:r w:rsidR="0001415E">
        <w:rPr>
          <w:rFonts w:ascii="Verdana" w:eastAsia="Malgun Gothic" w:hAnsi="Verdana"/>
          <w:sz w:val="18"/>
          <w:szCs w:val="18"/>
        </w:rPr>
        <w:t>9</w:t>
      </w:r>
      <w:r w:rsidR="0001415E" w:rsidRPr="001E2A77">
        <w:rPr>
          <w:rFonts w:ascii="Verdana" w:eastAsia="Malgun Gothic" w:hAnsi="Verdana"/>
          <w:sz w:val="18"/>
          <w:szCs w:val="18"/>
        </w:rPr>
        <w:t>% (</w:t>
      </w:r>
      <w:r w:rsidR="0001415E" w:rsidRPr="00E9538C">
        <w:rPr>
          <w:rFonts w:ascii="Verdana" w:eastAsia="Malgun Gothic" w:hAnsi="Verdana"/>
          <w:sz w:val="18"/>
          <w:szCs w:val="18"/>
        </w:rPr>
        <w:t>45.019</w:t>
      </w:r>
      <w:r w:rsidR="0001415E" w:rsidRPr="001E2A77">
        <w:rPr>
          <w:rFonts w:ascii="Verdana" w:eastAsia="Malgun Gothic" w:hAnsi="Verdana"/>
          <w:sz w:val="18"/>
          <w:szCs w:val="18"/>
        </w:rPr>
        <w:t>)</w:t>
      </w:r>
      <w:r w:rsidR="00E26FB5" w:rsidRPr="001E2A77">
        <w:rPr>
          <w:rFonts w:ascii="Verdana" w:eastAsia="Malgun Gothic" w:hAnsi="Verdana"/>
          <w:sz w:val="18"/>
          <w:szCs w:val="18"/>
        </w:rPr>
        <w:t xml:space="preserve">, </w:t>
      </w:r>
      <w:r w:rsidR="00F652DC" w:rsidRPr="00EA28A3">
        <w:rPr>
          <w:rFonts w:ascii="Verdana" w:eastAsia="Malgun Gothic" w:hAnsi="Verdana"/>
          <w:sz w:val="18"/>
          <w:szCs w:val="18"/>
        </w:rPr>
        <w:t xml:space="preserve">Germany </w:t>
      </w:r>
      <w:r w:rsidR="00F652DC" w:rsidRPr="00EA28A3">
        <w:rPr>
          <w:rFonts w:ascii="Verdana" w:eastAsia="Malgun Gothic" w:hAnsi="Verdana" w:cs="Arial"/>
          <w:sz w:val="18"/>
          <w:szCs w:val="18"/>
        </w:rPr>
        <w:t xml:space="preserve">with </w:t>
      </w:r>
      <w:r w:rsidR="0001415E">
        <w:rPr>
          <w:rFonts w:ascii="Verdana" w:eastAsia="Malgun Gothic" w:hAnsi="Verdana"/>
          <w:sz w:val="18"/>
          <w:szCs w:val="18"/>
        </w:rPr>
        <w:t>6</w:t>
      </w:r>
      <w:r w:rsidR="0001415E" w:rsidRPr="001E2A77">
        <w:rPr>
          <w:rFonts w:ascii="Verdana" w:eastAsia="Malgun Gothic" w:hAnsi="Verdana"/>
          <w:sz w:val="18"/>
          <w:szCs w:val="18"/>
        </w:rPr>
        <w:t>,</w:t>
      </w:r>
      <w:r w:rsidR="0001415E">
        <w:rPr>
          <w:rFonts w:ascii="Verdana" w:eastAsia="Malgun Gothic" w:hAnsi="Verdana"/>
          <w:sz w:val="18"/>
          <w:szCs w:val="18"/>
        </w:rPr>
        <w:t>0</w:t>
      </w:r>
      <w:r w:rsidR="0001415E" w:rsidRPr="001E2A77">
        <w:rPr>
          <w:rFonts w:ascii="Verdana" w:eastAsia="Malgun Gothic" w:hAnsi="Verdana"/>
          <w:sz w:val="18"/>
          <w:szCs w:val="18"/>
        </w:rPr>
        <w:t>% (</w:t>
      </w:r>
      <w:r w:rsidR="0001415E" w:rsidRPr="00EB579D">
        <w:rPr>
          <w:rFonts w:ascii="Verdana" w:eastAsia="Malgun Gothic" w:hAnsi="Verdana"/>
          <w:sz w:val="18"/>
          <w:szCs w:val="18"/>
        </w:rPr>
        <w:t>34.348</w:t>
      </w:r>
      <w:r w:rsidR="0001415E" w:rsidRPr="001E2A77">
        <w:rPr>
          <w:rFonts w:ascii="Verdana" w:eastAsia="Malgun Gothic" w:hAnsi="Verdana"/>
          <w:sz w:val="18"/>
          <w:szCs w:val="18"/>
        </w:rPr>
        <w:t>)</w:t>
      </w:r>
      <w:r w:rsidR="00EA28A3" w:rsidRPr="00EA28A3">
        <w:rPr>
          <w:rFonts w:ascii="Verdana" w:eastAsia="Malgun Gothic" w:hAnsi="Verdana"/>
          <w:sz w:val="18"/>
          <w:szCs w:val="18"/>
        </w:rPr>
        <w:t xml:space="preserve">, </w:t>
      </w:r>
      <w:r w:rsidR="003C5C14" w:rsidRPr="00EA28A3">
        <w:rPr>
          <w:rFonts w:ascii="Verdana" w:eastAsia="Malgun Gothic" w:hAnsi="Verdana"/>
          <w:sz w:val="18"/>
          <w:szCs w:val="18"/>
        </w:rPr>
        <w:t xml:space="preserve">Sweden </w:t>
      </w:r>
      <w:r w:rsidR="003C5C14" w:rsidRPr="00EA28A3">
        <w:rPr>
          <w:rFonts w:ascii="Verdana" w:eastAsia="Malgun Gothic" w:hAnsi="Verdana" w:cs="Arial"/>
          <w:sz w:val="18"/>
          <w:szCs w:val="18"/>
        </w:rPr>
        <w:t xml:space="preserve">with </w:t>
      </w:r>
      <w:r w:rsidR="0001415E" w:rsidRPr="001E2A77">
        <w:rPr>
          <w:rFonts w:ascii="Verdana" w:eastAsia="Malgun Gothic" w:hAnsi="Verdana"/>
          <w:sz w:val="18"/>
          <w:szCs w:val="18"/>
        </w:rPr>
        <w:t>3,</w:t>
      </w:r>
      <w:r w:rsidR="0001415E">
        <w:rPr>
          <w:rFonts w:ascii="Verdana" w:eastAsia="Malgun Gothic" w:hAnsi="Verdana"/>
          <w:sz w:val="18"/>
          <w:szCs w:val="18"/>
        </w:rPr>
        <w:t>6</w:t>
      </w:r>
      <w:r w:rsidR="0001415E" w:rsidRPr="001E2A77">
        <w:rPr>
          <w:rFonts w:ascii="Verdana" w:eastAsia="Malgun Gothic" w:hAnsi="Verdana"/>
          <w:sz w:val="18"/>
          <w:szCs w:val="18"/>
        </w:rPr>
        <w:t>% (</w:t>
      </w:r>
      <w:r w:rsidR="0001415E" w:rsidRPr="00EB579D">
        <w:rPr>
          <w:rFonts w:ascii="Verdana" w:eastAsia="Malgun Gothic" w:hAnsi="Verdana"/>
          <w:sz w:val="18"/>
          <w:szCs w:val="18"/>
        </w:rPr>
        <w:t>20.570</w:t>
      </w:r>
      <w:r w:rsidR="0001415E" w:rsidRPr="001E2A77">
        <w:rPr>
          <w:rFonts w:ascii="Verdana" w:eastAsia="Malgun Gothic" w:hAnsi="Verdana"/>
          <w:sz w:val="18"/>
          <w:szCs w:val="18"/>
        </w:rPr>
        <w:t>)</w:t>
      </w:r>
      <w:r w:rsidR="0001415E">
        <w:rPr>
          <w:rFonts w:ascii="Verdana" w:eastAsia="Malgun Gothic" w:hAnsi="Verdana"/>
          <w:sz w:val="18"/>
          <w:szCs w:val="18"/>
        </w:rPr>
        <w:t>,</w:t>
      </w:r>
      <w:r w:rsidR="0001415E" w:rsidRPr="0001415E">
        <w:rPr>
          <w:rFonts w:ascii="Verdana" w:eastAsia="Malgun Gothic" w:hAnsi="Verdana"/>
          <w:sz w:val="18"/>
          <w:szCs w:val="18"/>
        </w:rPr>
        <w:t xml:space="preserve"> </w:t>
      </w:r>
      <w:r w:rsidR="00414E19" w:rsidRPr="00EA28A3">
        <w:rPr>
          <w:rFonts w:ascii="Verdana" w:eastAsia="Malgun Gothic" w:hAnsi="Verdana" w:cs="Arial"/>
          <w:sz w:val="18"/>
          <w:szCs w:val="18"/>
        </w:rPr>
        <w:t>Romania</w:t>
      </w:r>
      <w:r w:rsidR="00B5318F" w:rsidRPr="00EA28A3">
        <w:rPr>
          <w:rFonts w:ascii="Verdana" w:eastAsia="Malgun Gothic" w:hAnsi="Verdana" w:cs="Arial"/>
          <w:sz w:val="18"/>
          <w:szCs w:val="18"/>
        </w:rPr>
        <w:t xml:space="preserve"> </w:t>
      </w:r>
      <w:r w:rsidR="00523EE1" w:rsidRPr="00EA28A3">
        <w:rPr>
          <w:rFonts w:ascii="Verdana" w:eastAsia="Malgun Gothic" w:hAnsi="Verdana" w:cs="Arial"/>
          <w:sz w:val="18"/>
          <w:szCs w:val="18"/>
        </w:rPr>
        <w:t xml:space="preserve">with </w:t>
      </w:r>
      <w:r w:rsidR="0001415E" w:rsidRPr="00056239">
        <w:rPr>
          <w:rFonts w:ascii="Verdana" w:eastAsia="Malgun Gothic" w:hAnsi="Verdana"/>
          <w:sz w:val="18"/>
          <w:szCs w:val="18"/>
        </w:rPr>
        <w:t>3</w:t>
      </w:r>
      <w:r w:rsidR="0001415E" w:rsidRPr="001E2A77">
        <w:rPr>
          <w:rFonts w:ascii="Verdana" w:eastAsia="Malgun Gothic" w:hAnsi="Verdana"/>
          <w:sz w:val="18"/>
          <w:szCs w:val="18"/>
        </w:rPr>
        <w:t>,</w:t>
      </w:r>
      <w:r w:rsidR="0001415E">
        <w:rPr>
          <w:rFonts w:ascii="Verdana" w:eastAsia="Malgun Gothic" w:hAnsi="Verdana"/>
          <w:sz w:val="18"/>
          <w:szCs w:val="18"/>
        </w:rPr>
        <w:t>1</w:t>
      </w:r>
      <w:r w:rsidR="0001415E" w:rsidRPr="001E2A77">
        <w:rPr>
          <w:rFonts w:ascii="Verdana" w:eastAsia="Malgun Gothic" w:hAnsi="Verdana"/>
          <w:sz w:val="18"/>
          <w:szCs w:val="18"/>
        </w:rPr>
        <w:t>% (</w:t>
      </w:r>
      <w:r w:rsidR="0001415E" w:rsidRPr="00373131">
        <w:rPr>
          <w:rFonts w:ascii="Verdana" w:eastAsia="Malgun Gothic" w:hAnsi="Verdana"/>
          <w:sz w:val="18"/>
          <w:szCs w:val="18"/>
        </w:rPr>
        <w:t>17.975</w:t>
      </w:r>
      <w:r w:rsidR="0001415E" w:rsidRPr="001E2A77">
        <w:rPr>
          <w:rFonts w:ascii="Verdana" w:eastAsia="Malgun Gothic" w:hAnsi="Verdana"/>
          <w:sz w:val="18"/>
          <w:szCs w:val="18"/>
        </w:rPr>
        <w:t>)</w:t>
      </w:r>
      <w:r w:rsidR="0001415E" w:rsidRPr="00373131">
        <w:t xml:space="preserve"> </w:t>
      </w:r>
      <w:r w:rsidR="0001415E" w:rsidRPr="00EA28A3">
        <w:rPr>
          <w:rFonts w:ascii="Verdana" w:eastAsia="Malgun Gothic" w:hAnsi="Verdana"/>
          <w:sz w:val="18"/>
          <w:szCs w:val="18"/>
        </w:rPr>
        <w:t xml:space="preserve">and </w:t>
      </w:r>
      <w:r w:rsidR="0001415E">
        <w:rPr>
          <w:rFonts w:ascii="Verdana" w:eastAsia="Malgun Gothic" w:hAnsi="Verdana" w:cs="Arial"/>
          <w:sz w:val="18"/>
          <w:szCs w:val="18"/>
        </w:rPr>
        <w:t>Greece</w:t>
      </w:r>
      <w:r w:rsidR="0001415E" w:rsidRPr="00EA28A3">
        <w:rPr>
          <w:rFonts w:ascii="Verdana" w:eastAsia="Malgun Gothic" w:hAnsi="Verdana" w:cs="Arial"/>
          <w:sz w:val="18"/>
          <w:szCs w:val="18"/>
        </w:rPr>
        <w:t xml:space="preserve"> with </w:t>
      </w:r>
      <w:r w:rsidR="0001415E" w:rsidRPr="00056239">
        <w:rPr>
          <w:rFonts w:ascii="Verdana" w:eastAsia="Malgun Gothic" w:hAnsi="Verdana"/>
          <w:sz w:val="18"/>
          <w:szCs w:val="18"/>
        </w:rPr>
        <w:t>3</w:t>
      </w:r>
      <w:r w:rsidR="0001415E" w:rsidRPr="001E2A77">
        <w:rPr>
          <w:rFonts w:ascii="Verdana" w:eastAsia="Malgun Gothic" w:hAnsi="Verdana"/>
          <w:sz w:val="18"/>
          <w:szCs w:val="18"/>
        </w:rPr>
        <w:t>,</w:t>
      </w:r>
      <w:r w:rsidR="0001415E">
        <w:rPr>
          <w:rFonts w:ascii="Verdana" w:eastAsia="Malgun Gothic" w:hAnsi="Verdana"/>
          <w:sz w:val="18"/>
          <w:szCs w:val="18"/>
        </w:rPr>
        <w:t>0</w:t>
      </w:r>
      <w:r w:rsidR="0001415E" w:rsidRPr="001E2A77">
        <w:rPr>
          <w:rFonts w:ascii="Verdana" w:eastAsia="Malgun Gothic" w:hAnsi="Verdana"/>
          <w:sz w:val="18"/>
          <w:szCs w:val="18"/>
        </w:rPr>
        <w:t>% (</w:t>
      </w:r>
      <w:r w:rsidR="0001415E" w:rsidRPr="00825597">
        <w:rPr>
          <w:rFonts w:ascii="Verdana" w:eastAsia="Malgun Gothic" w:hAnsi="Verdana"/>
          <w:sz w:val="18"/>
          <w:szCs w:val="18"/>
        </w:rPr>
        <w:t>17.217</w:t>
      </w:r>
      <w:r w:rsidR="0001415E" w:rsidRPr="001E2A77">
        <w:rPr>
          <w:rFonts w:ascii="Verdana" w:eastAsia="Malgun Gothic" w:hAnsi="Verdana"/>
          <w:sz w:val="18"/>
          <w:szCs w:val="18"/>
        </w:rPr>
        <w:t>)</w:t>
      </w:r>
      <w:r w:rsidR="0001415E" w:rsidRPr="00373131">
        <w:t xml:space="preserve"> </w:t>
      </w:r>
      <w:r w:rsidR="00E276B4" w:rsidRPr="00EA28A3">
        <w:rPr>
          <w:rFonts w:ascii="Verdana" w:eastAsia="Malgun Gothic" w:hAnsi="Verdana" w:cs="Arial"/>
          <w:sz w:val="18"/>
          <w:szCs w:val="18"/>
        </w:rPr>
        <w:t>(Table 1).</w:t>
      </w: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A20E9E" w:rsidRPr="00A20E9E"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A20E9E" w:rsidRDefault="00FA1EAF" w:rsidP="007C68BC">
            <w:pPr>
              <w:tabs>
                <w:tab w:val="left" w:pos="1080"/>
                <w:tab w:val="left" w:pos="6840"/>
              </w:tabs>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lastRenderedPageBreak/>
              <w:t>T</w:t>
            </w:r>
            <w:r w:rsidRPr="00630A40">
              <w:rPr>
                <w:rFonts w:ascii="Verdana" w:eastAsia="Times New Roman" w:hAnsi="Verdana" w:cs="Calibri"/>
                <w:b/>
                <w:bCs/>
                <w:color w:val="366092"/>
                <w:sz w:val="18"/>
                <w:szCs w:val="18"/>
              </w:rPr>
              <w:t>able</w:t>
            </w:r>
            <w:r w:rsidRPr="00A20E9E">
              <w:rPr>
                <w:rFonts w:ascii="Verdana" w:eastAsia="Times New Roman" w:hAnsi="Verdana" w:cs="Calibri"/>
                <w:b/>
                <w:bCs/>
                <w:color w:val="366092"/>
                <w:sz w:val="18"/>
                <w:szCs w:val="18"/>
              </w:rPr>
              <w:t xml:space="preserv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A20E9E" w:rsidRDefault="00FA1EAF" w:rsidP="007C68BC">
            <w:pPr>
              <w:rPr>
                <w:rFonts w:ascii="Verdana" w:eastAsia="Times New Roman" w:hAnsi="Verdana" w:cs="Calibri"/>
                <w:color w:val="366092"/>
                <w:sz w:val="18"/>
                <w:szCs w:val="18"/>
              </w:rPr>
            </w:pPr>
            <w:r w:rsidRPr="00A20E9E">
              <w:rPr>
                <w:rFonts w:ascii="Verdana" w:eastAsia="Times New Roman" w:hAnsi="Verdana" w:cs="Calibri"/>
                <w:color w:val="366092"/>
                <w:sz w:val="18"/>
                <w:szCs w:val="18"/>
              </w:rPr>
              <w:t> </w:t>
            </w:r>
          </w:p>
        </w:tc>
      </w:tr>
      <w:tr w:rsidR="00A20E9E" w:rsidRPr="00A20E9E"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 xml:space="preserve">Country of </w:t>
            </w:r>
            <w:r w:rsidR="00A45410" w:rsidRPr="00A20E9E">
              <w:rPr>
                <w:rFonts w:ascii="Verdana" w:eastAsia="Times New Roman" w:hAnsi="Verdana" w:cs="Calibri"/>
                <w:b/>
                <w:bCs/>
                <w:color w:val="366092"/>
                <w:sz w:val="18"/>
                <w:szCs w:val="18"/>
              </w:rPr>
              <w:t>U</w:t>
            </w:r>
            <w:r w:rsidRPr="00A20E9E">
              <w:rPr>
                <w:rFonts w:ascii="Verdana" w:eastAsia="Times New Roman" w:hAnsi="Verdana" w:cs="Calibri"/>
                <w:b/>
                <w:bCs/>
                <w:color w:val="366092"/>
                <w:sz w:val="18"/>
                <w:szCs w:val="18"/>
              </w:rPr>
              <w:t xml:space="preserve">sual </w:t>
            </w:r>
            <w:r w:rsidR="00A45410" w:rsidRPr="00A20E9E">
              <w:rPr>
                <w:rFonts w:ascii="Verdana" w:eastAsia="Times New Roman" w:hAnsi="Verdana" w:cs="Calibri"/>
                <w:b/>
                <w:bCs/>
                <w:color w:val="366092"/>
                <w:sz w:val="18"/>
                <w:szCs w:val="18"/>
              </w:rPr>
              <w:t>R</w:t>
            </w:r>
            <w:r w:rsidRPr="00A20E9E">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A20E9E" w:rsidRDefault="00FA1EAF" w:rsidP="007C68BC">
            <w:pPr>
              <w:tabs>
                <w:tab w:val="left" w:pos="1080"/>
                <w:tab w:val="left" w:pos="6840"/>
              </w:tabs>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 xml:space="preserve">Tourist </w:t>
            </w:r>
            <w:r w:rsidR="00A45410" w:rsidRPr="00A20E9E">
              <w:rPr>
                <w:rFonts w:ascii="Verdana" w:eastAsia="Times New Roman" w:hAnsi="Verdana" w:cs="Calibri"/>
                <w:b/>
                <w:bCs/>
                <w:color w:val="366092"/>
                <w:sz w:val="18"/>
                <w:szCs w:val="18"/>
              </w:rPr>
              <w:t>A</w:t>
            </w:r>
            <w:r w:rsidRPr="00A20E9E">
              <w:rPr>
                <w:rFonts w:ascii="Verdana" w:eastAsia="Times New Roman" w:hAnsi="Verdana" w:cs="Calibri"/>
                <w:b/>
                <w:bCs/>
                <w:color w:val="366092"/>
                <w:sz w:val="18"/>
                <w:szCs w:val="18"/>
              </w:rPr>
              <w:t>rrivals</w:t>
            </w:r>
          </w:p>
        </w:tc>
      </w:tr>
      <w:tr w:rsidR="00A20E9E" w:rsidRPr="00A20E9E"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A20E9E"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07393CE0" w:rsidR="00FA1EAF" w:rsidRPr="00A20E9E" w:rsidRDefault="00637A94"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September</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Percentage Change</w:t>
            </w:r>
          </w:p>
          <w:p w14:paraId="217D79C8" w14:textId="77777777" w:rsidR="00FA1EAF" w:rsidRPr="00A20E9E" w:rsidRDefault="00FA1EAF" w:rsidP="007C68BC">
            <w:pPr>
              <w:jc w:val="center"/>
              <w:rPr>
                <w:rFonts w:ascii="Verdana" w:eastAsia="Times New Roman" w:hAnsi="Verdana" w:cs="Calibri"/>
                <w:b/>
                <w:bCs/>
                <w:color w:val="366092"/>
                <w:sz w:val="18"/>
                <w:szCs w:val="18"/>
                <w:lang w:val="el-GR"/>
              </w:rPr>
            </w:pPr>
            <w:r w:rsidRPr="00A20E9E">
              <w:rPr>
                <w:rFonts w:ascii="Verdana" w:eastAsia="Times New Roman" w:hAnsi="Verdana" w:cs="Calibri"/>
                <w:b/>
                <w:bCs/>
                <w:color w:val="366092"/>
                <w:sz w:val="18"/>
                <w:szCs w:val="18"/>
                <w:lang w:val="el-GR"/>
              </w:rPr>
              <w:t>(%)</w:t>
            </w:r>
          </w:p>
          <w:p w14:paraId="65B5C266" w14:textId="77777777" w:rsidR="00FA1EAF" w:rsidRPr="00A20E9E" w:rsidRDefault="00FA1EAF" w:rsidP="007C68BC">
            <w:pPr>
              <w:jc w:val="center"/>
              <w:rPr>
                <w:rFonts w:ascii="Verdana" w:eastAsia="Times New Roman" w:hAnsi="Verdana" w:cs="Calibri"/>
                <w:b/>
                <w:bCs/>
                <w:color w:val="366092"/>
                <w:sz w:val="12"/>
                <w:szCs w:val="12"/>
                <w:lang w:val="el-GR"/>
              </w:rPr>
            </w:pPr>
          </w:p>
          <w:p w14:paraId="08EFAD9B" w14:textId="693E8A72" w:rsidR="00FA1EAF" w:rsidRPr="00A20E9E" w:rsidRDefault="00BB4AFD"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rPr>
              <w:t>Sep</w:t>
            </w:r>
            <w:r w:rsidR="00E26FB5" w:rsidRPr="00A20E9E">
              <w:rPr>
                <w:rFonts w:ascii="Verdana" w:eastAsia="Times New Roman" w:hAnsi="Verdana" w:cs="Calibri"/>
                <w:b/>
                <w:bCs/>
                <w:color w:val="366092"/>
                <w:sz w:val="18"/>
                <w:szCs w:val="18"/>
              </w:rPr>
              <w:t>.</w:t>
            </w:r>
            <w:r w:rsidR="00FA1EAF" w:rsidRPr="00A20E9E">
              <w:rPr>
                <w:rFonts w:ascii="Verdana" w:eastAsia="Times New Roman" w:hAnsi="Verdana" w:cs="Calibri"/>
                <w:b/>
                <w:bCs/>
                <w:color w:val="366092"/>
                <w:sz w:val="18"/>
                <w:szCs w:val="18"/>
                <w:lang w:val="el-GR"/>
              </w:rPr>
              <w:t xml:space="preserve"> </w:t>
            </w:r>
            <w:r w:rsidR="00FA1EAF" w:rsidRPr="00A20E9E">
              <w:rPr>
                <w:rFonts w:ascii="Verdana" w:eastAsia="Times New Roman" w:hAnsi="Verdana" w:cs="Calibri"/>
                <w:b/>
                <w:bCs/>
                <w:color w:val="366092"/>
                <w:sz w:val="18"/>
                <w:szCs w:val="18"/>
              </w:rPr>
              <w:t>2025/24</w:t>
            </w:r>
          </w:p>
          <w:p w14:paraId="6DE3D205" w14:textId="77777777" w:rsidR="00FA1EAF" w:rsidRPr="00A20E9E" w:rsidRDefault="00FA1EAF" w:rsidP="007C68BC">
            <w:pPr>
              <w:jc w:val="center"/>
              <w:rPr>
                <w:rFonts w:ascii="Verdana" w:eastAsia="Times New Roman" w:hAnsi="Verdana" w:cs="Calibri"/>
                <w:b/>
                <w:bCs/>
                <w:color w:val="366092"/>
                <w:sz w:val="18"/>
                <w:szCs w:val="18"/>
              </w:rPr>
            </w:pPr>
          </w:p>
        </w:tc>
      </w:tr>
      <w:tr w:rsidR="00A20E9E" w:rsidRPr="00A20E9E"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A20E9E"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77777777"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7422A924" w14:textId="77777777"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0BFCD0D" w14:textId="77777777" w:rsidR="00FA1EAF" w:rsidRPr="00A20E9E" w:rsidRDefault="00FA1EAF" w:rsidP="007C68BC">
            <w:pPr>
              <w:jc w:val="cente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092A590C" w14:textId="77777777" w:rsidR="00FA1EAF" w:rsidRPr="00A20E9E" w:rsidRDefault="00FA1EAF" w:rsidP="007C68BC">
            <w:pPr>
              <w:rPr>
                <w:rFonts w:ascii="Verdana" w:eastAsia="Times New Roman" w:hAnsi="Verdana" w:cs="Calibri"/>
                <w:b/>
                <w:bCs/>
                <w:color w:val="366092"/>
                <w:sz w:val="18"/>
                <w:szCs w:val="18"/>
              </w:rPr>
            </w:pPr>
          </w:p>
        </w:tc>
      </w:tr>
      <w:tr w:rsidR="00BB4AFD" w:rsidRPr="00A20E9E" w14:paraId="382C0295" w14:textId="77777777" w:rsidTr="00C9168E">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BB4AFD" w:rsidRPr="00A20E9E" w:rsidRDefault="00BB4AFD" w:rsidP="00BB4AFD">
            <w:pPr>
              <w:rPr>
                <w:rFonts w:ascii="Verdana" w:eastAsia="Times New Roman" w:hAnsi="Verdana" w:cs="Calibri"/>
                <w:b/>
                <w:bCs/>
                <w:color w:val="366092"/>
                <w:sz w:val="18"/>
                <w:szCs w:val="18"/>
              </w:rPr>
            </w:pPr>
            <w:r w:rsidRPr="00A20E9E">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vAlign w:val="center"/>
          </w:tcPr>
          <w:p w14:paraId="67D0F605" w14:textId="155E1B52" w:rsidR="00BB4AFD" w:rsidRPr="00A20E9E" w:rsidRDefault="00BB4AFD" w:rsidP="00BB4AF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487.350</w:t>
            </w:r>
          </w:p>
        </w:tc>
        <w:tc>
          <w:tcPr>
            <w:tcW w:w="1882" w:type="dxa"/>
            <w:tcBorders>
              <w:top w:val="single" w:sz="4" w:space="0" w:color="366092"/>
              <w:left w:val="nil"/>
              <w:bottom w:val="single" w:sz="4" w:space="0" w:color="366092"/>
              <w:right w:val="nil"/>
            </w:tcBorders>
            <w:vAlign w:val="center"/>
          </w:tcPr>
          <w:p w14:paraId="567B157A" w14:textId="11233782" w:rsidR="00BB4AFD" w:rsidRPr="00A20E9E" w:rsidRDefault="00BB4AFD" w:rsidP="00BB4AF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509.463</w:t>
            </w:r>
          </w:p>
        </w:tc>
        <w:tc>
          <w:tcPr>
            <w:tcW w:w="1898" w:type="dxa"/>
            <w:tcBorders>
              <w:top w:val="single" w:sz="4" w:space="0" w:color="366092"/>
              <w:left w:val="nil"/>
              <w:bottom w:val="single" w:sz="4" w:space="0" w:color="366092"/>
              <w:right w:val="nil"/>
            </w:tcBorders>
            <w:shd w:val="clear" w:color="000000" w:fill="FFFFFF"/>
            <w:vAlign w:val="center"/>
          </w:tcPr>
          <w:p w14:paraId="4AF3C63B" w14:textId="3991B434" w:rsidR="00BB4AFD" w:rsidRPr="00A20E9E" w:rsidRDefault="00BB4AFD" w:rsidP="00BB4AF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570.635</w:t>
            </w:r>
          </w:p>
        </w:tc>
        <w:tc>
          <w:tcPr>
            <w:tcW w:w="1960" w:type="dxa"/>
            <w:tcBorders>
              <w:top w:val="single" w:sz="4" w:space="0" w:color="366092"/>
              <w:left w:val="nil"/>
              <w:bottom w:val="single" w:sz="4" w:space="0" w:color="366092"/>
              <w:right w:val="nil"/>
            </w:tcBorders>
            <w:shd w:val="clear" w:color="000000" w:fill="FFFFFF"/>
            <w:vAlign w:val="center"/>
          </w:tcPr>
          <w:p w14:paraId="0508A845" w14:textId="0FFDA5A1" w:rsidR="00BB4AFD" w:rsidRPr="00A20E9E" w:rsidRDefault="00BB4AFD" w:rsidP="00BB4AFD">
            <w:pPr>
              <w:ind w:right="56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12,0</w:t>
            </w:r>
          </w:p>
        </w:tc>
      </w:tr>
      <w:tr w:rsidR="00BB4AFD" w:rsidRPr="00A20E9E" w14:paraId="752AA6A9" w14:textId="77777777" w:rsidTr="00E26FB5">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Austria</w:t>
            </w:r>
          </w:p>
        </w:tc>
        <w:tc>
          <w:tcPr>
            <w:tcW w:w="1882" w:type="dxa"/>
            <w:tcBorders>
              <w:top w:val="single" w:sz="4" w:space="0" w:color="366092"/>
              <w:left w:val="nil"/>
              <w:bottom w:val="nil"/>
              <w:right w:val="nil"/>
            </w:tcBorders>
          </w:tcPr>
          <w:p w14:paraId="463EA04D" w14:textId="5E2363A3"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9.335</w:t>
            </w:r>
          </w:p>
        </w:tc>
        <w:tc>
          <w:tcPr>
            <w:tcW w:w="1882" w:type="dxa"/>
            <w:tcBorders>
              <w:top w:val="single" w:sz="4" w:space="0" w:color="366092"/>
              <w:left w:val="nil"/>
              <w:bottom w:val="nil"/>
              <w:right w:val="nil"/>
            </w:tcBorders>
          </w:tcPr>
          <w:p w14:paraId="6B987520" w14:textId="6A9587A1"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9.758</w:t>
            </w:r>
          </w:p>
        </w:tc>
        <w:tc>
          <w:tcPr>
            <w:tcW w:w="1898" w:type="dxa"/>
            <w:tcBorders>
              <w:top w:val="single" w:sz="4" w:space="0" w:color="366092"/>
              <w:left w:val="nil"/>
              <w:bottom w:val="nil"/>
              <w:right w:val="nil"/>
            </w:tcBorders>
          </w:tcPr>
          <w:p w14:paraId="52D22D95" w14:textId="4679025A"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12.333</w:t>
            </w:r>
          </w:p>
        </w:tc>
        <w:tc>
          <w:tcPr>
            <w:tcW w:w="1960" w:type="dxa"/>
            <w:tcBorders>
              <w:top w:val="single" w:sz="4" w:space="0" w:color="366092"/>
              <w:left w:val="nil"/>
              <w:bottom w:val="nil"/>
              <w:right w:val="nil"/>
            </w:tcBorders>
            <w:noWrap/>
          </w:tcPr>
          <w:p w14:paraId="642B88C4" w14:textId="087CCC38"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26,4</w:t>
            </w:r>
          </w:p>
        </w:tc>
      </w:tr>
      <w:tr w:rsidR="00BB4AFD" w:rsidRPr="00A20E9E" w14:paraId="7911406D"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val="el-GR" w:eastAsia="el-GR"/>
              </w:rPr>
            </w:pPr>
            <w:r w:rsidRPr="00A20E9E">
              <w:rPr>
                <w:rFonts w:ascii="Verdana" w:eastAsia="Times New Roman" w:hAnsi="Verdana" w:cs="Calibri"/>
                <w:color w:val="366092"/>
                <w:sz w:val="18"/>
                <w:szCs w:val="18"/>
              </w:rPr>
              <w:t>France</w:t>
            </w:r>
          </w:p>
        </w:tc>
        <w:tc>
          <w:tcPr>
            <w:tcW w:w="1882" w:type="dxa"/>
            <w:tcBorders>
              <w:top w:val="nil"/>
              <w:left w:val="nil"/>
              <w:bottom w:val="nil"/>
              <w:right w:val="nil"/>
            </w:tcBorders>
          </w:tcPr>
          <w:p w14:paraId="7A082362" w14:textId="122E641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8.578</w:t>
            </w:r>
          </w:p>
        </w:tc>
        <w:tc>
          <w:tcPr>
            <w:tcW w:w="1882" w:type="dxa"/>
            <w:tcBorders>
              <w:top w:val="nil"/>
              <w:left w:val="nil"/>
              <w:bottom w:val="nil"/>
              <w:right w:val="nil"/>
            </w:tcBorders>
          </w:tcPr>
          <w:p w14:paraId="254257E6" w14:textId="0E20F0B2"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9.870</w:t>
            </w:r>
          </w:p>
        </w:tc>
        <w:tc>
          <w:tcPr>
            <w:tcW w:w="1898" w:type="dxa"/>
            <w:tcBorders>
              <w:top w:val="nil"/>
              <w:left w:val="nil"/>
              <w:bottom w:val="nil"/>
              <w:right w:val="nil"/>
            </w:tcBorders>
          </w:tcPr>
          <w:p w14:paraId="7D32C6A0" w14:textId="4AEE7844"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9.771</w:t>
            </w:r>
          </w:p>
        </w:tc>
        <w:tc>
          <w:tcPr>
            <w:tcW w:w="1960" w:type="dxa"/>
            <w:tcBorders>
              <w:top w:val="nil"/>
              <w:left w:val="nil"/>
              <w:bottom w:val="nil"/>
              <w:right w:val="nil"/>
            </w:tcBorders>
            <w:noWrap/>
          </w:tcPr>
          <w:p w14:paraId="1FFAF18C" w14:textId="49914303"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-1,0</w:t>
            </w:r>
          </w:p>
        </w:tc>
      </w:tr>
      <w:tr w:rsidR="00BB4AFD" w:rsidRPr="00A20E9E" w14:paraId="192D4CC2"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Germany</w:t>
            </w:r>
          </w:p>
        </w:tc>
        <w:tc>
          <w:tcPr>
            <w:tcW w:w="1882" w:type="dxa"/>
            <w:tcBorders>
              <w:top w:val="nil"/>
              <w:left w:val="nil"/>
              <w:bottom w:val="nil"/>
              <w:right w:val="nil"/>
            </w:tcBorders>
          </w:tcPr>
          <w:p w14:paraId="5B08C21C" w14:textId="68D71BDA"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26.907</w:t>
            </w:r>
          </w:p>
        </w:tc>
        <w:tc>
          <w:tcPr>
            <w:tcW w:w="1882" w:type="dxa"/>
            <w:tcBorders>
              <w:top w:val="nil"/>
              <w:left w:val="nil"/>
              <w:bottom w:val="nil"/>
              <w:right w:val="nil"/>
            </w:tcBorders>
          </w:tcPr>
          <w:p w14:paraId="7A0BA1CE" w14:textId="04E8C3C0"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24.594</w:t>
            </w:r>
          </w:p>
        </w:tc>
        <w:tc>
          <w:tcPr>
            <w:tcW w:w="1898" w:type="dxa"/>
            <w:tcBorders>
              <w:top w:val="nil"/>
              <w:left w:val="nil"/>
              <w:bottom w:val="nil"/>
              <w:right w:val="nil"/>
            </w:tcBorders>
          </w:tcPr>
          <w:p w14:paraId="2B4B62C9" w14:textId="51758B80"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34.348</w:t>
            </w:r>
          </w:p>
        </w:tc>
        <w:tc>
          <w:tcPr>
            <w:tcW w:w="1960" w:type="dxa"/>
            <w:tcBorders>
              <w:top w:val="nil"/>
              <w:left w:val="nil"/>
              <w:bottom w:val="nil"/>
              <w:right w:val="nil"/>
            </w:tcBorders>
            <w:noWrap/>
          </w:tcPr>
          <w:p w14:paraId="061971BE" w14:textId="28B367D5"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39,7</w:t>
            </w:r>
          </w:p>
        </w:tc>
      </w:tr>
      <w:tr w:rsidR="00BB4AFD" w:rsidRPr="00A20E9E" w14:paraId="55E32DEC"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Denmark</w:t>
            </w:r>
          </w:p>
        </w:tc>
        <w:tc>
          <w:tcPr>
            <w:tcW w:w="1882" w:type="dxa"/>
            <w:tcBorders>
              <w:top w:val="nil"/>
              <w:left w:val="nil"/>
              <w:bottom w:val="nil"/>
              <w:right w:val="nil"/>
            </w:tcBorders>
          </w:tcPr>
          <w:p w14:paraId="18FA8047" w14:textId="5C5615DD"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8.895</w:t>
            </w:r>
          </w:p>
        </w:tc>
        <w:tc>
          <w:tcPr>
            <w:tcW w:w="1882" w:type="dxa"/>
            <w:tcBorders>
              <w:top w:val="nil"/>
              <w:left w:val="nil"/>
              <w:bottom w:val="nil"/>
              <w:right w:val="nil"/>
            </w:tcBorders>
          </w:tcPr>
          <w:p w14:paraId="5D17DF5C" w14:textId="09E501AD"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9.015</w:t>
            </w:r>
          </w:p>
        </w:tc>
        <w:tc>
          <w:tcPr>
            <w:tcW w:w="1898" w:type="dxa"/>
            <w:tcBorders>
              <w:top w:val="nil"/>
              <w:left w:val="nil"/>
              <w:bottom w:val="nil"/>
              <w:right w:val="nil"/>
            </w:tcBorders>
          </w:tcPr>
          <w:p w14:paraId="77E0B5C5" w14:textId="4721C535"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9.113</w:t>
            </w:r>
          </w:p>
        </w:tc>
        <w:tc>
          <w:tcPr>
            <w:tcW w:w="1960" w:type="dxa"/>
            <w:tcBorders>
              <w:top w:val="nil"/>
              <w:left w:val="nil"/>
              <w:bottom w:val="nil"/>
              <w:right w:val="nil"/>
            </w:tcBorders>
            <w:noWrap/>
          </w:tcPr>
          <w:p w14:paraId="02AA2F3F" w14:textId="4A251CDB"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1,1</w:t>
            </w:r>
          </w:p>
        </w:tc>
      </w:tr>
      <w:tr w:rsidR="00BB4AFD" w:rsidRPr="00A20E9E" w14:paraId="69FBB338"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tcPr>
          <w:p w14:paraId="5DD5A6AC" w14:textId="44F51DEE"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11.163</w:t>
            </w:r>
          </w:p>
        </w:tc>
        <w:tc>
          <w:tcPr>
            <w:tcW w:w="1882" w:type="dxa"/>
            <w:tcBorders>
              <w:top w:val="nil"/>
              <w:left w:val="nil"/>
              <w:bottom w:val="nil"/>
              <w:right w:val="nil"/>
            </w:tcBorders>
          </w:tcPr>
          <w:p w14:paraId="6867F72A" w14:textId="6E74C5E6"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11.366</w:t>
            </w:r>
          </w:p>
        </w:tc>
        <w:tc>
          <w:tcPr>
            <w:tcW w:w="1898" w:type="dxa"/>
            <w:tcBorders>
              <w:top w:val="nil"/>
              <w:left w:val="nil"/>
              <w:bottom w:val="nil"/>
              <w:right w:val="nil"/>
            </w:tcBorders>
          </w:tcPr>
          <w:p w14:paraId="7781E890" w14:textId="6FB65D4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10.663</w:t>
            </w:r>
          </w:p>
        </w:tc>
        <w:tc>
          <w:tcPr>
            <w:tcW w:w="1960" w:type="dxa"/>
            <w:tcBorders>
              <w:top w:val="nil"/>
              <w:left w:val="nil"/>
              <w:bottom w:val="nil"/>
              <w:right w:val="nil"/>
            </w:tcBorders>
            <w:noWrap/>
          </w:tcPr>
          <w:p w14:paraId="4DC3C224" w14:textId="441506AA"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-6,2</w:t>
            </w:r>
          </w:p>
        </w:tc>
      </w:tr>
      <w:tr w:rsidR="00BB4AFD" w:rsidRPr="00A20E9E" w14:paraId="5AE14BA8" w14:textId="77777777" w:rsidTr="003A789B">
        <w:trPr>
          <w:trHeight w:val="300"/>
          <w:jc w:val="center"/>
        </w:trPr>
        <w:tc>
          <w:tcPr>
            <w:tcW w:w="1960" w:type="dxa"/>
            <w:tcBorders>
              <w:top w:val="nil"/>
              <w:left w:val="nil"/>
              <w:bottom w:val="nil"/>
              <w:right w:val="nil"/>
            </w:tcBorders>
            <w:shd w:val="clear" w:color="000000" w:fill="FFFFFF"/>
            <w:vAlign w:val="center"/>
            <w:hideMark/>
          </w:tcPr>
          <w:p w14:paraId="78176ADE"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Greece</w:t>
            </w:r>
          </w:p>
        </w:tc>
        <w:tc>
          <w:tcPr>
            <w:tcW w:w="1882" w:type="dxa"/>
            <w:tcBorders>
              <w:top w:val="nil"/>
              <w:left w:val="nil"/>
              <w:bottom w:val="nil"/>
              <w:right w:val="nil"/>
            </w:tcBorders>
          </w:tcPr>
          <w:p w14:paraId="356BCCB2" w14:textId="1D06B41C" w:rsidR="00BB4AFD" w:rsidRPr="00A20E9E" w:rsidRDefault="00BB4AFD" w:rsidP="00BB4AFD">
            <w:pPr>
              <w:ind w:right="397"/>
              <w:jc w:val="right"/>
              <w:rPr>
                <w:rFonts w:ascii="Verdana" w:eastAsia="Times New Roman" w:hAnsi="Verdana" w:cs="Calibri"/>
                <w:color w:val="366092"/>
                <w:sz w:val="18"/>
                <w:szCs w:val="18"/>
                <w:lang w:val="el-GR"/>
              </w:rPr>
            </w:pPr>
            <w:r w:rsidRPr="006C0C7C">
              <w:rPr>
                <w:rFonts w:ascii="Verdana" w:eastAsia="Times New Roman" w:hAnsi="Verdana" w:cs="Calibri"/>
                <w:color w:val="366092"/>
                <w:sz w:val="18"/>
                <w:szCs w:val="18"/>
              </w:rPr>
              <w:t>15.520</w:t>
            </w:r>
          </w:p>
        </w:tc>
        <w:tc>
          <w:tcPr>
            <w:tcW w:w="1882" w:type="dxa"/>
            <w:tcBorders>
              <w:top w:val="nil"/>
              <w:left w:val="nil"/>
              <w:bottom w:val="nil"/>
              <w:right w:val="nil"/>
            </w:tcBorders>
          </w:tcPr>
          <w:p w14:paraId="0398A0DC" w14:textId="7CB5E83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15.479</w:t>
            </w:r>
          </w:p>
        </w:tc>
        <w:tc>
          <w:tcPr>
            <w:tcW w:w="1898" w:type="dxa"/>
            <w:tcBorders>
              <w:top w:val="nil"/>
              <w:left w:val="nil"/>
              <w:bottom w:val="nil"/>
              <w:right w:val="nil"/>
            </w:tcBorders>
          </w:tcPr>
          <w:p w14:paraId="115FC362" w14:textId="7D9E1307"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17.217</w:t>
            </w:r>
          </w:p>
        </w:tc>
        <w:tc>
          <w:tcPr>
            <w:tcW w:w="1960" w:type="dxa"/>
            <w:tcBorders>
              <w:top w:val="nil"/>
              <w:left w:val="nil"/>
              <w:bottom w:val="nil"/>
              <w:right w:val="nil"/>
            </w:tcBorders>
            <w:noWrap/>
          </w:tcPr>
          <w:p w14:paraId="21D74791" w14:textId="09324110"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11,2</w:t>
            </w:r>
          </w:p>
        </w:tc>
      </w:tr>
      <w:tr w:rsidR="00BB4AFD" w:rsidRPr="00A20E9E" w14:paraId="1089B335"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United Kingdom</w:t>
            </w:r>
          </w:p>
        </w:tc>
        <w:tc>
          <w:tcPr>
            <w:tcW w:w="1882" w:type="dxa"/>
            <w:tcBorders>
              <w:top w:val="nil"/>
              <w:left w:val="nil"/>
              <w:bottom w:val="nil"/>
              <w:right w:val="nil"/>
            </w:tcBorders>
          </w:tcPr>
          <w:p w14:paraId="44E5627D" w14:textId="7F711E67"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165.869</w:t>
            </w:r>
          </w:p>
        </w:tc>
        <w:tc>
          <w:tcPr>
            <w:tcW w:w="1882" w:type="dxa"/>
            <w:tcBorders>
              <w:top w:val="nil"/>
              <w:left w:val="nil"/>
              <w:bottom w:val="nil"/>
              <w:right w:val="nil"/>
            </w:tcBorders>
          </w:tcPr>
          <w:p w14:paraId="2F003372" w14:textId="232E57D2"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180.961</w:t>
            </w:r>
          </w:p>
        </w:tc>
        <w:tc>
          <w:tcPr>
            <w:tcW w:w="1898" w:type="dxa"/>
            <w:tcBorders>
              <w:top w:val="nil"/>
              <w:left w:val="nil"/>
              <w:bottom w:val="nil"/>
              <w:right w:val="nil"/>
            </w:tcBorders>
          </w:tcPr>
          <w:p w14:paraId="35C274AE" w14:textId="4C17869E"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179.293</w:t>
            </w:r>
          </w:p>
        </w:tc>
        <w:tc>
          <w:tcPr>
            <w:tcW w:w="1960" w:type="dxa"/>
            <w:tcBorders>
              <w:top w:val="nil"/>
              <w:left w:val="nil"/>
              <w:bottom w:val="nil"/>
              <w:right w:val="nil"/>
            </w:tcBorders>
            <w:noWrap/>
          </w:tcPr>
          <w:p w14:paraId="00031001" w14:textId="7B4985A1"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-0,9</w:t>
            </w:r>
          </w:p>
        </w:tc>
      </w:tr>
      <w:tr w:rsidR="00BB4AFD" w:rsidRPr="00A20E9E" w14:paraId="5CE0242F" w14:textId="77777777" w:rsidTr="003A789B">
        <w:trPr>
          <w:trHeight w:val="300"/>
          <w:jc w:val="center"/>
        </w:trPr>
        <w:tc>
          <w:tcPr>
            <w:tcW w:w="1960" w:type="dxa"/>
            <w:tcBorders>
              <w:top w:val="nil"/>
              <w:left w:val="nil"/>
              <w:bottom w:val="nil"/>
              <w:right w:val="nil"/>
            </w:tcBorders>
            <w:shd w:val="clear" w:color="000000" w:fill="FFFFFF"/>
            <w:vAlign w:val="center"/>
            <w:hideMark/>
          </w:tcPr>
          <w:p w14:paraId="0DACBE9E"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Israel</w:t>
            </w:r>
          </w:p>
        </w:tc>
        <w:tc>
          <w:tcPr>
            <w:tcW w:w="1882" w:type="dxa"/>
            <w:tcBorders>
              <w:top w:val="nil"/>
              <w:left w:val="nil"/>
              <w:bottom w:val="nil"/>
              <w:right w:val="nil"/>
            </w:tcBorders>
          </w:tcPr>
          <w:p w14:paraId="371963D7" w14:textId="479698E9"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57.088</w:t>
            </w:r>
          </w:p>
        </w:tc>
        <w:tc>
          <w:tcPr>
            <w:tcW w:w="1882" w:type="dxa"/>
            <w:tcBorders>
              <w:top w:val="nil"/>
              <w:left w:val="nil"/>
              <w:bottom w:val="nil"/>
              <w:right w:val="nil"/>
            </w:tcBorders>
          </w:tcPr>
          <w:p w14:paraId="64180648" w14:textId="5CCDA0D0"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54.557</w:t>
            </w:r>
          </w:p>
        </w:tc>
        <w:tc>
          <w:tcPr>
            <w:tcW w:w="1898" w:type="dxa"/>
            <w:tcBorders>
              <w:top w:val="nil"/>
              <w:left w:val="nil"/>
              <w:bottom w:val="nil"/>
              <w:right w:val="nil"/>
            </w:tcBorders>
          </w:tcPr>
          <w:p w14:paraId="08B5F225" w14:textId="136FC3C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80.115</w:t>
            </w:r>
          </w:p>
        </w:tc>
        <w:tc>
          <w:tcPr>
            <w:tcW w:w="1960" w:type="dxa"/>
            <w:tcBorders>
              <w:top w:val="nil"/>
              <w:left w:val="nil"/>
              <w:bottom w:val="nil"/>
              <w:right w:val="nil"/>
            </w:tcBorders>
            <w:noWrap/>
          </w:tcPr>
          <w:p w14:paraId="47171DD4" w14:textId="261E9734"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46,8</w:t>
            </w:r>
          </w:p>
        </w:tc>
      </w:tr>
      <w:tr w:rsidR="00BB4AFD" w:rsidRPr="00A20E9E" w14:paraId="07E71511"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Lebanon</w:t>
            </w:r>
          </w:p>
        </w:tc>
        <w:tc>
          <w:tcPr>
            <w:tcW w:w="1882" w:type="dxa"/>
            <w:tcBorders>
              <w:top w:val="nil"/>
              <w:left w:val="nil"/>
              <w:bottom w:val="nil"/>
              <w:right w:val="nil"/>
            </w:tcBorders>
          </w:tcPr>
          <w:p w14:paraId="272B422F" w14:textId="2D2CC9DE"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4.017</w:t>
            </w:r>
          </w:p>
        </w:tc>
        <w:tc>
          <w:tcPr>
            <w:tcW w:w="1882" w:type="dxa"/>
            <w:tcBorders>
              <w:top w:val="nil"/>
              <w:left w:val="nil"/>
              <w:bottom w:val="nil"/>
              <w:right w:val="nil"/>
            </w:tcBorders>
          </w:tcPr>
          <w:p w14:paraId="4196C0F1" w14:textId="50F4DA53"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4.512</w:t>
            </w:r>
          </w:p>
        </w:tc>
        <w:tc>
          <w:tcPr>
            <w:tcW w:w="1898" w:type="dxa"/>
            <w:tcBorders>
              <w:top w:val="nil"/>
              <w:left w:val="nil"/>
              <w:bottom w:val="nil"/>
              <w:right w:val="nil"/>
            </w:tcBorders>
          </w:tcPr>
          <w:p w14:paraId="4F74BC69" w14:textId="3215B22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3.827</w:t>
            </w:r>
          </w:p>
        </w:tc>
        <w:tc>
          <w:tcPr>
            <w:tcW w:w="1960" w:type="dxa"/>
            <w:tcBorders>
              <w:top w:val="nil"/>
              <w:left w:val="nil"/>
              <w:bottom w:val="nil"/>
              <w:right w:val="nil"/>
            </w:tcBorders>
            <w:noWrap/>
          </w:tcPr>
          <w:p w14:paraId="4C6CE056" w14:textId="7062A7D1"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-15,2</w:t>
            </w:r>
          </w:p>
        </w:tc>
      </w:tr>
      <w:tr w:rsidR="00BB4AFD" w:rsidRPr="00A20E9E" w14:paraId="1F429ED9"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Norway</w:t>
            </w:r>
          </w:p>
        </w:tc>
        <w:tc>
          <w:tcPr>
            <w:tcW w:w="1882" w:type="dxa"/>
            <w:tcBorders>
              <w:top w:val="nil"/>
              <w:left w:val="nil"/>
              <w:bottom w:val="nil"/>
              <w:right w:val="nil"/>
            </w:tcBorders>
          </w:tcPr>
          <w:p w14:paraId="2EFFA110" w14:textId="38DB7AF6"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9.008</w:t>
            </w:r>
          </w:p>
        </w:tc>
        <w:tc>
          <w:tcPr>
            <w:tcW w:w="1882" w:type="dxa"/>
            <w:tcBorders>
              <w:top w:val="nil"/>
              <w:left w:val="nil"/>
              <w:bottom w:val="nil"/>
              <w:right w:val="nil"/>
            </w:tcBorders>
          </w:tcPr>
          <w:p w14:paraId="1FD2AF51" w14:textId="109EE8D6"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10.439</w:t>
            </w:r>
          </w:p>
        </w:tc>
        <w:tc>
          <w:tcPr>
            <w:tcW w:w="1898" w:type="dxa"/>
            <w:tcBorders>
              <w:top w:val="nil"/>
              <w:left w:val="nil"/>
              <w:bottom w:val="nil"/>
              <w:right w:val="nil"/>
            </w:tcBorders>
          </w:tcPr>
          <w:p w14:paraId="709C7B5B" w14:textId="1424A038"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9.495</w:t>
            </w:r>
          </w:p>
        </w:tc>
        <w:tc>
          <w:tcPr>
            <w:tcW w:w="1960" w:type="dxa"/>
            <w:tcBorders>
              <w:top w:val="nil"/>
              <w:left w:val="nil"/>
              <w:bottom w:val="nil"/>
              <w:right w:val="nil"/>
            </w:tcBorders>
            <w:noWrap/>
          </w:tcPr>
          <w:p w14:paraId="3E355675" w14:textId="4FB692BA"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-9,0</w:t>
            </w:r>
          </w:p>
        </w:tc>
      </w:tr>
      <w:tr w:rsidR="00BB4AFD" w:rsidRPr="00A20E9E" w14:paraId="2BB52DC0"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Netherlands</w:t>
            </w:r>
          </w:p>
        </w:tc>
        <w:tc>
          <w:tcPr>
            <w:tcW w:w="1882" w:type="dxa"/>
            <w:tcBorders>
              <w:top w:val="nil"/>
              <w:left w:val="nil"/>
              <w:bottom w:val="nil"/>
              <w:right w:val="nil"/>
            </w:tcBorders>
          </w:tcPr>
          <w:p w14:paraId="4DAD2427" w14:textId="51978F4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5.777</w:t>
            </w:r>
          </w:p>
        </w:tc>
        <w:tc>
          <w:tcPr>
            <w:tcW w:w="1882" w:type="dxa"/>
            <w:tcBorders>
              <w:top w:val="nil"/>
              <w:left w:val="nil"/>
              <w:bottom w:val="nil"/>
              <w:right w:val="nil"/>
            </w:tcBorders>
          </w:tcPr>
          <w:p w14:paraId="0650D944" w14:textId="2A03B43A"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7.509</w:t>
            </w:r>
          </w:p>
        </w:tc>
        <w:tc>
          <w:tcPr>
            <w:tcW w:w="1898" w:type="dxa"/>
            <w:tcBorders>
              <w:top w:val="nil"/>
              <w:left w:val="nil"/>
              <w:bottom w:val="nil"/>
              <w:right w:val="nil"/>
            </w:tcBorders>
          </w:tcPr>
          <w:p w14:paraId="66ABCB29" w14:textId="29AFCDC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7.821</w:t>
            </w:r>
          </w:p>
        </w:tc>
        <w:tc>
          <w:tcPr>
            <w:tcW w:w="1960" w:type="dxa"/>
            <w:tcBorders>
              <w:top w:val="nil"/>
              <w:left w:val="nil"/>
              <w:bottom w:val="nil"/>
              <w:right w:val="nil"/>
            </w:tcBorders>
            <w:noWrap/>
          </w:tcPr>
          <w:p w14:paraId="679DCC58" w14:textId="5A0DC51E"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4,2</w:t>
            </w:r>
          </w:p>
        </w:tc>
      </w:tr>
      <w:tr w:rsidR="00BB4AFD" w:rsidRPr="00A20E9E" w14:paraId="2E6159C8" w14:textId="77777777" w:rsidTr="003A789B">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Times New Roman" w:hAnsi="Verdana" w:cs="Calibri"/>
                <w:color w:val="366092"/>
                <w:sz w:val="18"/>
                <w:szCs w:val="18"/>
              </w:rPr>
              <w:t>Hungary</w:t>
            </w:r>
          </w:p>
        </w:tc>
        <w:tc>
          <w:tcPr>
            <w:tcW w:w="1882" w:type="dxa"/>
            <w:tcBorders>
              <w:top w:val="nil"/>
              <w:left w:val="nil"/>
              <w:bottom w:val="nil"/>
              <w:right w:val="nil"/>
            </w:tcBorders>
          </w:tcPr>
          <w:p w14:paraId="4D91E7D0" w14:textId="5F92B4A3"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9.630</w:t>
            </w:r>
          </w:p>
        </w:tc>
        <w:tc>
          <w:tcPr>
            <w:tcW w:w="1882" w:type="dxa"/>
            <w:tcBorders>
              <w:top w:val="nil"/>
              <w:left w:val="nil"/>
              <w:bottom w:val="nil"/>
              <w:right w:val="nil"/>
            </w:tcBorders>
          </w:tcPr>
          <w:p w14:paraId="7176E622" w14:textId="29D194BC"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8.998</w:t>
            </w:r>
          </w:p>
        </w:tc>
        <w:tc>
          <w:tcPr>
            <w:tcW w:w="1898" w:type="dxa"/>
            <w:tcBorders>
              <w:top w:val="nil"/>
              <w:left w:val="nil"/>
              <w:bottom w:val="nil"/>
              <w:right w:val="nil"/>
            </w:tcBorders>
          </w:tcPr>
          <w:p w14:paraId="7967A2CE" w14:textId="0B5DF603"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9.264</w:t>
            </w:r>
          </w:p>
        </w:tc>
        <w:tc>
          <w:tcPr>
            <w:tcW w:w="1960" w:type="dxa"/>
            <w:tcBorders>
              <w:top w:val="nil"/>
              <w:left w:val="nil"/>
              <w:bottom w:val="nil"/>
              <w:right w:val="nil"/>
            </w:tcBorders>
            <w:noWrap/>
          </w:tcPr>
          <w:p w14:paraId="17DDADCD" w14:textId="37EBC09B"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3,0</w:t>
            </w:r>
          </w:p>
        </w:tc>
      </w:tr>
      <w:tr w:rsidR="00BB4AFD" w:rsidRPr="00A20E9E" w14:paraId="5BD91B10" w14:textId="77777777" w:rsidTr="003A789B">
        <w:trPr>
          <w:trHeight w:val="300"/>
          <w:jc w:val="center"/>
        </w:trPr>
        <w:tc>
          <w:tcPr>
            <w:tcW w:w="1960" w:type="dxa"/>
            <w:tcBorders>
              <w:top w:val="nil"/>
              <w:left w:val="nil"/>
              <w:bottom w:val="nil"/>
              <w:right w:val="nil"/>
            </w:tcBorders>
            <w:shd w:val="clear" w:color="000000" w:fill="FFFFFF"/>
            <w:noWrap/>
            <w:vAlign w:val="center"/>
          </w:tcPr>
          <w:p w14:paraId="67BE0BFF"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Poland</w:t>
            </w:r>
          </w:p>
        </w:tc>
        <w:tc>
          <w:tcPr>
            <w:tcW w:w="1882" w:type="dxa"/>
            <w:tcBorders>
              <w:top w:val="nil"/>
              <w:left w:val="nil"/>
              <w:bottom w:val="nil"/>
              <w:right w:val="nil"/>
            </w:tcBorders>
          </w:tcPr>
          <w:p w14:paraId="00DF1446" w14:textId="082A7A08"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32.530</w:t>
            </w:r>
          </w:p>
        </w:tc>
        <w:tc>
          <w:tcPr>
            <w:tcW w:w="1882" w:type="dxa"/>
            <w:tcBorders>
              <w:top w:val="nil"/>
              <w:left w:val="nil"/>
              <w:bottom w:val="nil"/>
              <w:right w:val="nil"/>
            </w:tcBorders>
          </w:tcPr>
          <w:p w14:paraId="091984B8" w14:textId="49A9A56E"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42.295</w:t>
            </w:r>
          </w:p>
        </w:tc>
        <w:tc>
          <w:tcPr>
            <w:tcW w:w="1898" w:type="dxa"/>
            <w:tcBorders>
              <w:top w:val="nil"/>
              <w:left w:val="nil"/>
              <w:bottom w:val="nil"/>
              <w:right w:val="nil"/>
            </w:tcBorders>
          </w:tcPr>
          <w:p w14:paraId="33053EAB" w14:textId="7FF37273"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45.019</w:t>
            </w:r>
          </w:p>
        </w:tc>
        <w:tc>
          <w:tcPr>
            <w:tcW w:w="1960" w:type="dxa"/>
            <w:tcBorders>
              <w:top w:val="nil"/>
              <w:left w:val="nil"/>
              <w:bottom w:val="nil"/>
              <w:right w:val="nil"/>
            </w:tcBorders>
            <w:noWrap/>
          </w:tcPr>
          <w:p w14:paraId="6B41F176" w14:textId="32BF8E9A"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6,4</w:t>
            </w:r>
          </w:p>
        </w:tc>
      </w:tr>
      <w:tr w:rsidR="00BB4AFD" w:rsidRPr="00A20E9E" w14:paraId="559D0611" w14:textId="77777777" w:rsidTr="003A789B">
        <w:trPr>
          <w:trHeight w:val="300"/>
          <w:jc w:val="center"/>
        </w:trPr>
        <w:tc>
          <w:tcPr>
            <w:tcW w:w="1960" w:type="dxa"/>
            <w:tcBorders>
              <w:top w:val="nil"/>
              <w:left w:val="nil"/>
              <w:bottom w:val="nil"/>
              <w:right w:val="nil"/>
            </w:tcBorders>
            <w:shd w:val="clear" w:color="000000" w:fill="FFFFFF"/>
            <w:noWrap/>
            <w:vAlign w:val="center"/>
          </w:tcPr>
          <w:p w14:paraId="32F0194B"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Romania</w:t>
            </w:r>
          </w:p>
        </w:tc>
        <w:tc>
          <w:tcPr>
            <w:tcW w:w="1882" w:type="dxa"/>
            <w:tcBorders>
              <w:top w:val="nil"/>
              <w:left w:val="nil"/>
              <w:bottom w:val="nil"/>
              <w:right w:val="nil"/>
            </w:tcBorders>
          </w:tcPr>
          <w:p w14:paraId="40071BFA" w14:textId="0157F691"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10.072</w:t>
            </w:r>
          </w:p>
        </w:tc>
        <w:tc>
          <w:tcPr>
            <w:tcW w:w="1882" w:type="dxa"/>
            <w:tcBorders>
              <w:top w:val="nil"/>
              <w:left w:val="nil"/>
              <w:bottom w:val="nil"/>
              <w:right w:val="nil"/>
            </w:tcBorders>
          </w:tcPr>
          <w:p w14:paraId="6BC91577" w14:textId="1D90AF15"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14.705</w:t>
            </w:r>
          </w:p>
        </w:tc>
        <w:tc>
          <w:tcPr>
            <w:tcW w:w="1898" w:type="dxa"/>
            <w:tcBorders>
              <w:top w:val="nil"/>
              <w:left w:val="nil"/>
              <w:bottom w:val="nil"/>
              <w:right w:val="nil"/>
            </w:tcBorders>
          </w:tcPr>
          <w:p w14:paraId="1C4979A8" w14:textId="65071032"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17.975</w:t>
            </w:r>
          </w:p>
        </w:tc>
        <w:tc>
          <w:tcPr>
            <w:tcW w:w="1960" w:type="dxa"/>
            <w:tcBorders>
              <w:top w:val="nil"/>
              <w:left w:val="nil"/>
              <w:bottom w:val="nil"/>
              <w:right w:val="nil"/>
            </w:tcBorders>
            <w:noWrap/>
          </w:tcPr>
          <w:p w14:paraId="49CCEC96" w14:textId="72A83FD5"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22,2</w:t>
            </w:r>
          </w:p>
        </w:tc>
      </w:tr>
      <w:tr w:rsidR="00BB4AFD" w:rsidRPr="00A20E9E" w14:paraId="7F7CDB62" w14:textId="77777777" w:rsidTr="003A789B">
        <w:trPr>
          <w:trHeight w:val="300"/>
          <w:jc w:val="center"/>
        </w:trPr>
        <w:tc>
          <w:tcPr>
            <w:tcW w:w="1960" w:type="dxa"/>
            <w:tcBorders>
              <w:top w:val="nil"/>
              <w:left w:val="nil"/>
              <w:bottom w:val="nil"/>
              <w:right w:val="nil"/>
            </w:tcBorders>
            <w:shd w:val="clear" w:color="000000" w:fill="FFFFFF"/>
            <w:noWrap/>
            <w:vAlign w:val="center"/>
          </w:tcPr>
          <w:p w14:paraId="03FE9046"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Sweden</w:t>
            </w:r>
          </w:p>
        </w:tc>
        <w:tc>
          <w:tcPr>
            <w:tcW w:w="1882" w:type="dxa"/>
            <w:tcBorders>
              <w:top w:val="nil"/>
              <w:left w:val="nil"/>
              <w:bottom w:val="nil"/>
              <w:right w:val="nil"/>
            </w:tcBorders>
          </w:tcPr>
          <w:p w14:paraId="57F17597" w14:textId="5E94CE42"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22.196</w:t>
            </w:r>
          </w:p>
        </w:tc>
        <w:tc>
          <w:tcPr>
            <w:tcW w:w="1882" w:type="dxa"/>
            <w:tcBorders>
              <w:top w:val="nil"/>
              <w:left w:val="nil"/>
              <w:bottom w:val="nil"/>
              <w:right w:val="nil"/>
            </w:tcBorders>
          </w:tcPr>
          <w:p w14:paraId="6539097B" w14:textId="2434A16B"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21.609</w:t>
            </w:r>
          </w:p>
        </w:tc>
        <w:tc>
          <w:tcPr>
            <w:tcW w:w="1898" w:type="dxa"/>
            <w:tcBorders>
              <w:top w:val="nil"/>
              <w:left w:val="nil"/>
              <w:bottom w:val="nil"/>
              <w:right w:val="nil"/>
            </w:tcBorders>
          </w:tcPr>
          <w:p w14:paraId="582D958A" w14:textId="21B5A515"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20.570</w:t>
            </w:r>
          </w:p>
        </w:tc>
        <w:tc>
          <w:tcPr>
            <w:tcW w:w="1960" w:type="dxa"/>
            <w:tcBorders>
              <w:top w:val="nil"/>
              <w:left w:val="nil"/>
              <w:bottom w:val="nil"/>
              <w:right w:val="nil"/>
            </w:tcBorders>
            <w:noWrap/>
          </w:tcPr>
          <w:p w14:paraId="67CEB183" w14:textId="7821D7D9"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-4,8</w:t>
            </w:r>
          </w:p>
        </w:tc>
      </w:tr>
      <w:tr w:rsidR="00BB4AFD" w:rsidRPr="00A20E9E" w14:paraId="7876C973" w14:textId="77777777" w:rsidTr="003A789B">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BB4AFD" w:rsidRPr="00A20E9E" w:rsidRDefault="00BB4AFD" w:rsidP="00BB4AFD">
            <w:pPr>
              <w:tabs>
                <w:tab w:val="left" w:pos="1080"/>
                <w:tab w:val="left" w:pos="6840"/>
              </w:tabs>
              <w:ind w:left="57"/>
              <w:rPr>
                <w:rFonts w:ascii="Verdana" w:eastAsia="Malgun Gothic" w:hAnsi="Verdana" w:cs="Arial"/>
                <w:color w:val="366092"/>
                <w:sz w:val="18"/>
                <w:szCs w:val="18"/>
                <w:lang w:eastAsia="el-GR"/>
              </w:rPr>
            </w:pPr>
            <w:r w:rsidRPr="00A20E9E">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tcPr>
          <w:p w14:paraId="3A6FC7A8" w14:textId="719FC217"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90.765</w:t>
            </w:r>
          </w:p>
        </w:tc>
        <w:tc>
          <w:tcPr>
            <w:tcW w:w="1882" w:type="dxa"/>
            <w:tcBorders>
              <w:top w:val="nil"/>
              <w:left w:val="nil"/>
              <w:bottom w:val="single" w:sz="4" w:space="0" w:color="366092"/>
              <w:right w:val="nil"/>
            </w:tcBorders>
            <w:shd w:val="clear" w:color="000000" w:fill="FFFFFF"/>
          </w:tcPr>
          <w:p w14:paraId="6D4B38FE" w14:textId="43304FA1"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83.796</w:t>
            </w:r>
          </w:p>
        </w:tc>
        <w:tc>
          <w:tcPr>
            <w:tcW w:w="1898" w:type="dxa"/>
            <w:tcBorders>
              <w:top w:val="nil"/>
              <w:left w:val="nil"/>
              <w:bottom w:val="single" w:sz="4" w:space="0" w:color="366092"/>
              <w:right w:val="nil"/>
            </w:tcBorders>
            <w:shd w:val="clear" w:color="000000" w:fill="FFFFFF"/>
          </w:tcPr>
          <w:p w14:paraId="79D6549E" w14:textId="535AC4DD" w:rsidR="00BB4AFD" w:rsidRPr="00A20E9E" w:rsidRDefault="00BB4AFD" w:rsidP="00BB4AFD">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103.811</w:t>
            </w:r>
          </w:p>
        </w:tc>
        <w:tc>
          <w:tcPr>
            <w:tcW w:w="1960" w:type="dxa"/>
            <w:tcBorders>
              <w:top w:val="nil"/>
              <w:left w:val="nil"/>
              <w:bottom w:val="single" w:sz="4" w:space="0" w:color="366092"/>
              <w:right w:val="nil"/>
            </w:tcBorders>
            <w:shd w:val="clear" w:color="000000" w:fill="FFFFFF"/>
          </w:tcPr>
          <w:p w14:paraId="2E79246A" w14:textId="0135DAA7" w:rsidR="00BB4AFD" w:rsidRPr="00A20E9E" w:rsidRDefault="00BB4AFD" w:rsidP="00BB4AFD">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23,9</w:t>
            </w:r>
          </w:p>
        </w:tc>
      </w:tr>
    </w:tbl>
    <w:p w14:paraId="46E0F0B4" w14:textId="77777777" w:rsidR="002F26F4" w:rsidRDefault="002F26F4" w:rsidP="0009495F">
      <w:pPr>
        <w:jc w:val="both"/>
        <w:rPr>
          <w:rFonts w:ascii="Verdana" w:eastAsia="Malgun Gothic" w:hAnsi="Verdana" w:cs="Arial"/>
          <w:sz w:val="18"/>
          <w:szCs w:val="18"/>
        </w:rPr>
      </w:pPr>
    </w:p>
    <w:p w14:paraId="3273C13A" w14:textId="77777777" w:rsidR="00495D39" w:rsidRPr="00495D39" w:rsidRDefault="00495D39" w:rsidP="0009495F">
      <w:pPr>
        <w:jc w:val="both"/>
        <w:rPr>
          <w:rFonts w:ascii="Verdana" w:eastAsia="Malgun Gothic" w:hAnsi="Verdana" w:cs="Arial"/>
          <w:sz w:val="18"/>
          <w:szCs w:val="18"/>
        </w:rPr>
      </w:pPr>
    </w:p>
    <w:p w14:paraId="2443B5FD" w14:textId="5C4B8391" w:rsidR="002A10AB" w:rsidRPr="00545E88" w:rsidRDefault="002A10AB" w:rsidP="0009495F">
      <w:pPr>
        <w:jc w:val="both"/>
        <w:rPr>
          <w:rFonts w:ascii="Verdana" w:eastAsia="Malgun Gothic" w:hAnsi="Verdana" w:cs="Arial"/>
          <w:sz w:val="18"/>
          <w:szCs w:val="18"/>
        </w:rPr>
      </w:pPr>
      <w:r w:rsidRPr="004D1666">
        <w:rPr>
          <w:rFonts w:ascii="Verdana" w:eastAsia="Malgun Gothic" w:hAnsi="Verdana" w:cs="Arial"/>
          <w:sz w:val="18"/>
          <w:szCs w:val="18"/>
        </w:rPr>
        <w:t xml:space="preserve">For a percentage of </w:t>
      </w:r>
      <w:r w:rsidR="006D79D9" w:rsidRPr="006D79D9">
        <w:rPr>
          <w:rFonts w:ascii="Verdana" w:eastAsia="Malgun Gothic" w:hAnsi="Verdana" w:cs="Arial"/>
          <w:sz w:val="18"/>
          <w:szCs w:val="18"/>
        </w:rPr>
        <w:t>84</w:t>
      </w:r>
      <w:proofErr w:type="gramStart"/>
      <w:r w:rsidR="006D79D9" w:rsidRPr="006D79D9">
        <w:rPr>
          <w:rFonts w:ascii="Verdana" w:eastAsia="Malgun Gothic" w:hAnsi="Verdana" w:cs="Arial"/>
          <w:sz w:val="18"/>
          <w:szCs w:val="18"/>
        </w:rPr>
        <w:t>,8</w:t>
      </w:r>
      <w:proofErr w:type="gramEnd"/>
      <w:r w:rsidRPr="004D1666">
        <w:rPr>
          <w:rFonts w:ascii="Verdana" w:eastAsia="Malgun Gothic" w:hAnsi="Verdana" w:cs="Arial"/>
          <w:sz w:val="18"/>
          <w:szCs w:val="18"/>
        </w:rPr>
        <w:t xml:space="preserve">% of tourists, the purpose of their trip in </w:t>
      </w:r>
      <w:r w:rsidR="00637A94">
        <w:rPr>
          <w:rFonts w:ascii="Verdana" w:eastAsia="Malgun Gothic" w:hAnsi="Verdana" w:cs="Arial"/>
          <w:sz w:val="18"/>
          <w:szCs w:val="18"/>
          <w:lang w:val="en-GB"/>
        </w:rPr>
        <w:t>September</w:t>
      </w:r>
      <w:r w:rsidRPr="004D1666">
        <w:rPr>
          <w:rFonts w:ascii="Verdana" w:eastAsia="Malgun Gothic" w:hAnsi="Verdana" w:cs="Arial"/>
          <w:sz w:val="18"/>
          <w:szCs w:val="18"/>
          <w:lang w:val="en-GB"/>
        </w:rPr>
        <w:t xml:space="preserve"> </w:t>
      </w:r>
      <w:r w:rsidR="00455353" w:rsidRPr="004D1666">
        <w:rPr>
          <w:rFonts w:ascii="Verdana" w:eastAsia="Malgun Gothic" w:hAnsi="Verdana" w:cs="Arial"/>
          <w:sz w:val="18"/>
          <w:szCs w:val="18"/>
        </w:rPr>
        <w:t>2025</w:t>
      </w:r>
      <w:r w:rsidRPr="004D1666">
        <w:rPr>
          <w:rFonts w:ascii="Verdana" w:eastAsia="Malgun Gothic" w:hAnsi="Verdana" w:cs="Arial"/>
          <w:sz w:val="18"/>
          <w:szCs w:val="18"/>
        </w:rPr>
        <w:t xml:space="preserve"> was holidays, for </w:t>
      </w:r>
      <w:r w:rsidR="006D79D9" w:rsidRPr="006D79D9">
        <w:rPr>
          <w:rFonts w:ascii="Verdana" w:eastAsia="Times New Roman" w:hAnsi="Verdana" w:cs="Arial"/>
          <w:sz w:val="18"/>
          <w:szCs w:val="18"/>
        </w:rPr>
        <w:t>10,1</w:t>
      </w:r>
      <w:r w:rsidRPr="004D1666">
        <w:rPr>
          <w:rFonts w:ascii="Verdana" w:eastAsia="Malgun Gothic" w:hAnsi="Verdana" w:cs="Arial"/>
          <w:sz w:val="18"/>
          <w:szCs w:val="18"/>
        </w:rPr>
        <w:t xml:space="preserve">% visit to friends and relatives and for </w:t>
      </w:r>
      <w:bookmarkStart w:id="3" w:name="_Hlk205798976"/>
      <w:r w:rsidR="006D79D9" w:rsidRPr="006D79D9">
        <w:rPr>
          <w:rFonts w:ascii="Verdana" w:eastAsia="Malgun Gothic" w:hAnsi="Verdana" w:cs="Arial"/>
          <w:sz w:val="18"/>
          <w:szCs w:val="18"/>
        </w:rPr>
        <w:t>5,</w:t>
      </w:r>
      <w:bookmarkEnd w:id="3"/>
      <w:r w:rsidR="006D79D9" w:rsidRPr="006D79D9">
        <w:rPr>
          <w:rFonts w:ascii="Verdana" w:eastAsia="Malgun Gothic" w:hAnsi="Verdana" w:cs="Arial"/>
          <w:sz w:val="18"/>
          <w:szCs w:val="18"/>
        </w:rPr>
        <w:t>0</w:t>
      </w:r>
      <w:r w:rsidRPr="004D1666">
        <w:rPr>
          <w:rFonts w:ascii="Verdana" w:eastAsia="Malgun Gothic" w:hAnsi="Verdana" w:cs="Arial"/>
          <w:sz w:val="18"/>
          <w:szCs w:val="18"/>
        </w:rPr>
        <w:t xml:space="preserve">% business. Respectively, in </w:t>
      </w:r>
      <w:r w:rsidR="00637A94">
        <w:rPr>
          <w:rFonts w:ascii="Verdana" w:eastAsia="Malgun Gothic" w:hAnsi="Verdana" w:cs="Arial"/>
          <w:sz w:val="18"/>
          <w:szCs w:val="18"/>
        </w:rPr>
        <w:t>September</w:t>
      </w:r>
      <w:r w:rsidRPr="004D1666">
        <w:rPr>
          <w:rFonts w:ascii="Verdana" w:eastAsia="Malgun Gothic" w:hAnsi="Verdana" w:cs="Arial"/>
          <w:sz w:val="18"/>
          <w:szCs w:val="18"/>
        </w:rPr>
        <w:t xml:space="preserve"> </w:t>
      </w:r>
      <w:r w:rsidR="00370BAB" w:rsidRPr="004D1666">
        <w:rPr>
          <w:rFonts w:ascii="Verdana" w:eastAsia="Malgun Gothic" w:hAnsi="Verdana" w:cs="Arial"/>
          <w:sz w:val="18"/>
          <w:szCs w:val="18"/>
        </w:rPr>
        <w:t>202</w:t>
      </w:r>
      <w:r w:rsidR="007B02A6" w:rsidRPr="004D1666">
        <w:rPr>
          <w:rFonts w:ascii="Verdana" w:eastAsia="Malgun Gothic" w:hAnsi="Verdana" w:cs="Arial"/>
          <w:sz w:val="18"/>
          <w:szCs w:val="18"/>
        </w:rPr>
        <w:t>4</w:t>
      </w:r>
      <w:r w:rsidRPr="004D1666">
        <w:rPr>
          <w:rFonts w:ascii="Verdana" w:eastAsia="Malgun Gothic" w:hAnsi="Verdana" w:cs="Arial"/>
          <w:sz w:val="18"/>
          <w:szCs w:val="18"/>
        </w:rPr>
        <w:t xml:space="preserve">, </w:t>
      </w:r>
      <w:r w:rsidR="006D79D9" w:rsidRPr="006D79D9">
        <w:rPr>
          <w:rFonts w:ascii="Verdana" w:eastAsia="Malgun Gothic" w:hAnsi="Verdana" w:cs="Arial"/>
          <w:sz w:val="18"/>
          <w:szCs w:val="18"/>
        </w:rPr>
        <w:t>85</w:t>
      </w:r>
      <w:proofErr w:type="gramStart"/>
      <w:r w:rsidR="006D79D9" w:rsidRPr="006D79D9">
        <w:rPr>
          <w:rFonts w:ascii="Verdana" w:eastAsia="Malgun Gothic" w:hAnsi="Verdana" w:cs="Arial"/>
          <w:sz w:val="18"/>
          <w:szCs w:val="18"/>
        </w:rPr>
        <w:t>,1</w:t>
      </w:r>
      <w:proofErr w:type="gramEnd"/>
      <w:r w:rsidRPr="004D1666">
        <w:rPr>
          <w:rFonts w:ascii="Verdana" w:eastAsia="Malgun Gothic" w:hAnsi="Verdana" w:cs="Arial"/>
          <w:sz w:val="18"/>
          <w:szCs w:val="18"/>
        </w:rPr>
        <w:t xml:space="preserve">% of tourists visited Cyprus for holidays, </w:t>
      </w:r>
      <w:r w:rsidR="006D79D9" w:rsidRPr="006D79D9">
        <w:rPr>
          <w:rFonts w:ascii="Verdana" w:eastAsia="Malgun Gothic" w:hAnsi="Verdana" w:cs="Arial"/>
          <w:sz w:val="18"/>
          <w:szCs w:val="18"/>
        </w:rPr>
        <w:t>9,6</w:t>
      </w:r>
      <w:r w:rsidRPr="004D1666">
        <w:rPr>
          <w:rFonts w:ascii="Verdana" w:eastAsia="Malgun Gothic" w:hAnsi="Verdana" w:cs="Arial"/>
          <w:sz w:val="18"/>
          <w:szCs w:val="18"/>
        </w:rPr>
        <w:t xml:space="preserve">% visited friends or relatives and </w:t>
      </w:r>
      <w:r w:rsidR="006D79D9" w:rsidRPr="00CF7463">
        <w:rPr>
          <w:rFonts w:ascii="Verdana" w:eastAsia="Malgun Gothic" w:hAnsi="Verdana" w:cs="Arial"/>
          <w:sz w:val="18"/>
          <w:szCs w:val="18"/>
        </w:rPr>
        <w:t>5,2</w:t>
      </w:r>
      <w:r w:rsidRPr="004D1666">
        <w:rPr>
          <w:rFonts w:ascii="Verdana" w:eastAsia="Malgun Gothic" w:hAnsi="Verdana" w:cs="Arial"/>
          <w:sz w:val="18"/>
          <w:szCs w:val="18"/>
        </w:rPr>
        <w:t>% visited Cyprus for business reasons</w:t>
      </w:r>
      <w:r w:rsidR="00D01229" w:rsidRPr="004D1666">
        <w:rPr>
          <w:rFonts w:ascii="Verdana" w:eastAsia="Malgun Gothic" w:hAnsi="Verdana" w:cs="Arial"/>
          <w:sz w:val="18"/>
          <w:szCs w:val="18"/>
        </w:rPr>
        <w:t xml:space="preserve"> (Table</w:t>
      </w:r>
      <w:r w:rsidR="00E276B4" w:rsidRPr="004D1666">
        <w:rPr>
          <w:rFonts w:ascii="Verdana" w:eastAsia="Malgun Gothic" w:hAnsi="Verdana" w:cs="Arial"/>
          <w:sz w:val="18"/>
          <w:szCs w:val="18"/>
        </w:rPr>
        <w:t xml:space="preserve"> 2</w:t>
      </w:r>
      <w:r w:rsidR="00D01229" w:rsidRPr="004D1666">
        <w:rPr>
          <w:rFonts w:ascii="Verdana" w:eastAsia="Malgun Gothic" w:hAnsi="Verdana" w:cs="Arial"/>
          <w:sz w:val="18"/>
          <w:szCs w:val="18"/>
        </w:rPr>
        <w:t>)</w:t>
      </w:r>
      <w:r w:rsidRPr="004D1666">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C56CC8" w:rsidRPr="00C56CC8"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A45410" w:rsidRDefault="00584210" w:rsidP="002E3908">
            <w:pPr>
              <w:tabs>
                <w:tab w:val="left" w:pos="1080"/>
                <w:tab w:val="left" w:pos="6840"/>
              </w:tabs>
              <w:rPr>
                <w:rFonts w:ascii="Verdana" w:eastAsia="Malgun Gothic" w:hAnsi="Verdana" w:cs="Arial"/>
                <w:b/>
                <w:bCs/>
                <w:color w:val="366092"/>
                <w:sz w:val="18"/>
                <w:szCs w:val="18"/>
              </w:rPr>
            </w:pPr>
            <w:r w:rsidRPr="00A45410">
              <w:rPr>
                <w:rFonts w:ascii="Verdana" w:eastAsia="Malgun Gothic" w:hAnsi="Verdana" w:cs="Arial"/>
                <w:b/>
                <w:bCs/>
                <w:color w:val="366092"/>
                <w:sz w:val="18"/>
                <w:szCs w:val="18"/>
              </w:rPr>
              <w:t>Table</w:t>
            </w:r>
            <w:r w:rsidR="00E276B4" w:rsidRPr="00A45410">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r>
      <w:tr w:rsidR="00C56CC8" w:rsidRPr="00C56CC8"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A45410"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A45410">
              <w:rPr>
                <w:rFonts w:ascii="Verdana" w:eastAsia="Malgun Gothic" w:hAnsi="Verdana" w:cs="Arial"/>
                <w:b/>
                <w:bCs/>
                <w:color w:val="366092"/>
                <w:sz w:val="18"/>
                <w:szCs w:val="18"/>
                <w:lang w:val="el-GR"/>
              </w:rPr>
              <w:t>Purpose</w:t>
            </w:r>
            <w:proofErr w:type="spellEnd"/>
            <w:r w:rsidRPr="00A45410">
              <w:rPr>
                <w:rFonts w:ascii="Verdana" w:eastAsia="Malgun Gothic" w:hAnsi="Verdana" w:cs="Arial"/>
                <w:b/>
                <w:bCs/>
                <w:color w:val="366092"/>
                <w:sz w:val="18"/>
                <w:szCs w:val="18"/>
                <w:lang w:val="el-GR"/>
              </w:rPr>
              <w:t xml:space="preserve"> </w:t>
            </w:r>
            <w:proofErr w:type="spellStart"/>
            <w:r w:rsidRPr="00A45410">
              <w:rPr>
                <w:rFonts w:ascii="Verdana" w:eastAsia="Malgun Gothic" w:hAnsi="Verdana" w:cs="Arial"/>
                <w:b/>
                <w:bCs/>
                <w:color w:val="366092"/>
                <w:sz w:val="18"/>
                <w:szCs w:val="18"/>
                <w:lang w:val="el-GR"/>
              </w:rPr>
              <w:t>of</w:t>
            </w:r>
            <w:proofErr w:type="spellEnd"/>
            <w:r w:rsidRPr="00A45410">
              <w:rPr>
                <w:rFonts w:ascii="Verdana" w:eastAsia="Malgun Gothic" w:hAnsi="Verdana" w:cs="Arial"/>
                <w:b/>
                <w:bCs/>
                <w:color w:val="366092"/>
                <w:sz w:val="18"/>
                <w:szCs w:val="18"/>
                <w:lang w:val="el-GR"/>
              </w:rPr>
              <w:t xml:space="preserve"> </w:t>
            </w:r>
            <w:r w:rsidRPr="00A45410">
              <w:rPr>
                <w:rFonts w:ascii="Verdana" w:eastAsia="Malgun Gothic" w:hAnsi="Verdana" w:cs="Arial"/>
                <w:b/>
                <w:bCs/>
                <w:color w:val="366092"/>
                <w:sz w:val="18"/>
                <w:szCs w:val="18"/>
              </w:rPr>
              <w:t>V</w:t>
            </w:r>
            <w:proofErr w:type="spellStart"/>
            <w:r w:rsidRPr="00A45410">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A45410" w:rsidRDefault="00584210" w:rsidP="002E3908">
            <w:pPr>
              <w:tabs>
                <w:tab w:val="left" w:pos="1080"/>
                <w:tab w:val="left" w:pos="6840"/>
              </w:tabs>
              <w:jc w:val="center"/>
              <w:rPr>
                <w:rFonts w:ascii="Verdana" w:eastAsia="Malgun Gothic" w:hAnsi="Verdana" w:cs="Arial"/>
                <w:color w:val="366092"/>
                <w:sz w:val="18"/>
                <w:szCs w:val="18"/>
                <w:lang w:val="el-GR"/>
              </w:rPr>
            </w:pPr>
            <w:r w:rsidRPr="00A45410">
              <w:rPr>
                <w:rFonts w:ascii="Verdana" w:eastAsia="Times New Roman" w:hAnsi="Verdana" w:cs="Arial"/>
                <w:b/>
                <w:bCs/>
                <w:color w:val="366092"/>
                <w:sz w:val="18"/>
                <w:szCs w:val="18"/>
              </w:rPr>
              <w:t>Percentage (%)</w:t>
            </w:r>
          </w:p>
        </w:tc>
      </w:tr>
      <w:tr w:rsidR="00C56CC8" w:rsidRPr="00C56CC8"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A45410"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5F299014" w:rsidR="0047320F" w:rsidRPr="00A45410" w:rsidRDefault="006D79D9" w:rsidP="0047320F">
            <w:pPr>
              <w:tabs>
                <w:tab w:val="left" w:pos="1080"/>
                <w:tab w:val="left" w:pos="6840"/>
              </w:tabs>
              <w:jc w:val="center"/>
              <w:rPr>
                <w:rFonts w:ascii="Verdana" w:eastAsia="Times New Roman" w:hAnsi="Verdana" w:cs="Arial"/>
                <w:b/>
                <w:bCs/>
                <w:color w:val="366092"/>
                <w:sz w:val="18"/>
                <w:szCs w:val="18"/>
                <w:lang w:val="el-GR"/>
              </w:rPr>
            </w:pPr>
            <w:r>
              <w:rPr>
                <w:rFonts w:ascii="Verdana" w:eastAsia="Times New Roman" w:hAnsi="Verdana" w:cs="Calibri"/>
                <w:b/>
                <w:bCs/>
                <w:color w:val="366092"/>
                <w:sz w:val="18"/>
                <w:szCs w:val="18"/>
              </w:rPr>
              <w:t>Sep</w:t>
            </w:r>
            <w:r w:rsidR="00DB72D3">
              <w:rPr>
                <w:rFonts w:ascii="Verdana" w:eastAsia="Times New Roman" w:hAnsi="Verdana" w:cs="Calibri"/>
                <w:b/>
                <w:bCs/>
                <w:color w:val="366092"/>
                <w:sz w:val="18"/>
                <w:szCs w:val="18"/>
              </w:rPr>
              <w:t>.</w:t>
            </w:r>
            <w:r w:rsidR="0047320F" w:rsidRPr="00A45410">
              <w:rPr>
                <w:rFonts w:ascii="Verdana" w:eastAsia="Times New Roman" w:hAnsi="Verdana" w:cs="Arial"/>
                <w:b/>
                <w:bCs/>
                <w:color w:val="366092"/>
                <w:sz w:val="18"/>
                <w:szCs w:val="18"/>
                <w:lang w:val="el-GR"/>
              </w:rPr>
              <w:t xml:space="preserve"> </w:t>
            </w:r>
            <w:r w:rsidR="0047320F" w:rsidRPr="00A45410">
              <w:rPr>
                <w:rFonts w:ascii="Verdana" w:eastAsia="Times New Roman" w:hAnsi="Verdana" w:cs="Arial"/>
                <w:b/>
                <w:bCs/>
                <w:color w:val="366092"/>
                <w:sz w:val="18"/>
                <w:szCs w:val="18"/>
              </w:rPr>
              <w:t>20</w:t>
            </w:r>
            <w:r w:rsidR="0047320F" w:rsidRPr="00A45410">
              <w:rPr>
                <w:rFonts w:ascii="Verdana" w:eastAsia="Times New Roman" w:hAnsi="Verdana" w:cs="Arial"/>
                <w:b/>
                <w:bCs/>
                <w:color w:val="366092"/>
                <w:sz w:val="18"/>
                <w:szCs w:val="18"/>
                <w:lang w:val="el-GR"/>
              </w:rPr>
              <w:t>2</w:t>
            </w:r>
            <w:r w:rsidR="00E16580" w:rsidRPr="00A45410">
              <w:rPr>
                <w:rFonts w:ascii="Verdana" w:eastAsia="Times New Roman" w:hAnsi="Verdana" w:cs="Arial"/>
                <w:b/>
                <w:bCs/>
                <w:color w:val="366092"/>
                <w:sz w:val="18"/>
                <w:szCs w:val="18"/>
                <w:lang w:val="el-GR"/>
              </w:rPr>
              <w:t>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6A019249" w:rsidR="0047320F" w:rsidRPr="00A45410" w:rsidRDefault="006D79D9"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Calibri"/>
                <w:b/>
                <w:bCs/>
                <w:color w:val="366092"/>
                <w:sz w:val="18"/>
                <w:szCs w:val="18"/>
              </w:rPr>
              <w:t>Sep</w:t>
            </w:r>
            <w:r w:rsidR="00DB72D3">
              <w:rPr>
                <w:rFonts w:ascii="Verdana" w:eastAsia="Times New Roman" w:hAnsi="Verdana" w:cs="Calibri"/>
                <w:b/>
                <w:bCs/>
                <w:color w:val="366092"/>
                <w:sz w:val="18"/>
                <w:szCs w:val="18"/>
              </w:rPr>
              <w:t>.</w:t>
            </w:r>
            <w:r w:rsidR="00DB72D3" w:rsidRPr="00A45410">
              <w:rPr>
                <w:rFonts w:ascii="Verdana" w:eastAsia="Times New Roman" w:hAnsi="Verdana" w:cs="Arial"/>
                <w:b/>
                <w:bCs/>
                <w:color w:val="366092"/>
                <w:sz w:val="18"/>
                <w:szCs w:val="18"/>
                <w:lang w:val="el-GR"/>
              </w:rPr>
              <w:t xml:space="preserve"> </w:t>
            </w:r>
            <w:r w:rsidR="0047320F" w:rsidRPr="00A45410">
              <w:rPr>
                <w:rFonts w:ascii="Verdana" w:eastAsia="Times New Roman" w:hAnsi="Verdana" w:cs="Arial"/>
                <w:b/>
                <w:bCs/>
                <w:color w:val="366092"/>
                <w:sz w:val="18"/>
                <w:szCs w:val="18"/>
              </w:rPr>
              <w:t>20</w:t>
            </w:r>
            <w:r w:rsidR="0047320F" w:rsidRPr="00A45410">
              <w:rPr>
                <w:rFonts w:ascii="Verdana" w:eastAsia="Times New Roman" w:hAnsi="Verdana" w:cs="Arial"/>
                <w:b/>
                <w:bCs/>
                <w:color w:val="366092"/>
                <w:sz w:val="18"/>
                <w:szCs w:val="18"/>
                <w:lang w:val="el-GR"/>
              </w:rPr>
              <w:t>2</w:t>
            </w:r>
            <w:r w:rsidR="00E16580" w:rsidRPr="00A45410">
              <w:rPr>
                <w:rFonts w:ascii="Verdana" w:eastAsia="Times New Roman" w:hAnsi="Verdana" w:cs="Arial"/>
                <w:b/>
                <w:bCs/>
                <w:color w:val="366092"/>
                <w:sz w:val="18"/>
                <w:szCs w:val="18"/>
                <w:lang w:val="el-GR"/>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50DCAFC2" w:rsidR="0047320F" w:rsidRPr="00A45410" w:rsidRDefault="006D79D9"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Calibri"/>
                <w:b/>
                <w:bCs/>
                <w:color w:val="366092"/>
                <w:sz w:val="18"/>
                <w:szCs w:val="18"/>
              </w:rPr>
              <w:t>Sep</w:t>
            </w:r>
            <w:r w:rsidR="00DB72D3">
              <w:rPr>
                <w:rFonts w:ascii="Verdana" w:eastAsia="Times New Roman" w:hAnsi="Verdana" w:cs="Calibri"/>
                <w:b/>
                <w:bCs/>
                <w:color w:val="366092"/>
                <w:sz w:val="18"/>
                <w:szCs w:val="18"/>
              </w:rPr>
              <w:t>.</w:t>
            </w:r>
            <w:r w:rsidR="00DB72D3" w:rsidRPr="00A45410">
              <w:rPr>
                <w:rFonts w:ascii="Verdana" w:eastAsia="Times New Roman" w:hAnsi="Verdana" w:cs="Arial"/>
                <w:b/>
                <w:bCs/>
                <w:color w:val="366092"/>
                <w:sz w:val="18"/>
                <w:szCs w:val="18"/>
                <w:lang w:val="el-GR"/>
              </w:rPr>
              <w:t xml:space="preserve"> </w:t>
            </w:r>
            <w:r w:rsidR="00455353" w:rsidRPr="00A45410">
              <w:rPr>
                <w:rFonts w:ascii="Verdana" w:eastAsia="Times New Roman" w:hAnsi="Verdana" w:cs="Arial"/>
                <w:b/>
                <w:bCs/>
                <w:color w:val="366092"/>
                <w:sz w:val="18"/>
                <w:szCs w:val="18"/>
              </w:rPr>
              <w:t>2025</w:t>
            </w:r>
          </w:p>
        </w:tc>
      </w:tr>
      <w:tr w:rsidR="006D79D9" w:rsidRPr="00C56CC8" w14:paraId="40E1811E" w14:textId="77777777" w:rsidTr="00F05A4E">
        <w:trPr>
          <w:trHeight w:val="397"/>
          <w:jc w:val="center"/>
        </w:trPr>
        <w:tc>
          <w:tcPr>
            <w:tcW w:w="3345" w:type="dxa"/>
            <w:tcBorders>
              <w:top w:val="single" w:sz="4" w:space="0" w:color="366092"/>
            </w:tcBorders>
            <w:vAlign w:val="center"/>
          </w:tcPr>
          <w:p w14:paraId="6F48AC9A" w14:textId="29971016" w:rsidR="006D79D9" w:rsidRPr="00A45410" w:rsidRDefault="006D79D9" w:rsidP="006D79D9">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1517173F"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84</w:t>
            </w:r>
            <w:r w:rsidRPr="009F181E">
              <w:rPr>
                <w:rFonts w:ascii="Verdana" w:hAnsi="Verdana" w:cs="Calibri"/>
                <w:color w:val="365F91"/>
                <w:sz w:val="18"/>
                <w:szCs w:val="18"/>
                <w:lang w:val="el-GR"/>
              </w:rPr>
              <w:t>,</w:t>
            </w:r>
            <w:r>
              <w:rPr>
                <w:rFonts w:ascii="Verdana" w:hAnsi="Verdana" w:cs="Calibri"/>
                <w:color w:val="365F91"/>
                <w:sz w:val="18"/>
                <w:szCs w:val="18"/>
                <w:lang w:val="el-GR"/>
              </w:rPr>
              <w:t>1</w:t>
            </w:r>
          </w:p>
        </w:tc>
        <w:tc>
          <w:tcPr>
            <w:tcW w:w="2098" w:type="dxa"/>
            <w:tcBorders>
              <w:top w:val="single" w:sz="4" w:space="0" w:color="2F5496" w:themeColor="accent1" w:themeShade="BF"/>
            </w:tcBorders>
            <w:vAlign w:val="center"/>
          </w:tcPr>
          <w:p w14:paraId="29066375" w14:textId="012F323A"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sidRPr="00516328">
              <w:rPr>
                <w:rFonts w:ascii="Verdana" w:eastAsia="Malgun Gothic" w:hAnsi="Verdana" w:cs="Arial"/>
                <w:color w:val="2F5496" w:themeColor="accent1" w:themeShade="BF"/>
                <w:sz w:val="18"/>
                <w:szCs w:val="18"/>
                <w:lang w:val="el-GR"/>
              </w:rPr>
              <w:t>85,1</w:t>
            </w:r>
          </w:p>
        </w:tc>
        <w:tc>
          <w:tcPr>
            <w:tcW w:w="2098" w:type="dxa"/>
            <w:tcBorders>
              <w:top w:val="single" w:sz="4" w:space="0" w:color="366092"/>
            </w:tcBorders>
            <w:vAlign w:val="center"/>
          </w:tcPr>
          <w:p w14:paraId="75225345" w14:textId="31CE8D02" w:rsidR="006D79D9" w:rsidRPr="00A45410" w:rsidRDefault="006D79D9" w:rsidP="006D79D9">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84</w:t>
            </w:r>
            <w:r w:rsidRPr="00A44832">
              <w:rPr>
                <w:rFonts w:ascii="Verdana" w:hAnsi="Verdana" w:cs="Calibri"/>
                <w:color w:val="366092"/>
                <w:sz w:val="18"/>
                <w:szCs w:val="18"/>
                <w:lang w:val="el-GR"/>
              </w:rPr>
              <w:t>,</w:t>
            </w:r>
            <w:r>
              <w:rPr>
                <w:rFonts w:ascii="Verdana" w:hAnsi="Verdana" w:cs="Calibri"/>
                <w:color w:val="366092"/>
                <w:sz w:val="18"/>
                <w:szCs w:val="18"/>
              </w:rPr>
              <w:t>8</w:t>
            </w:r>
          </w:p>
        </w:tc>
      </w:tr>
      <w:tr w:rsidR="006D79D9" w:rsidRPr="00C56CC8" w14:paraId="248D4CD9" w14:textId="77777777" w:rsidTr="00BE2714">
        <w:trPr>
          <w:trHeight w:val="397"/>
          <w:jc w:val="center"/>
        </w:trPr>
        <w:tc>
          <w:tcPr>
            <w:tcW w:w="3345" w:type="dxa"/>
            <w:vAlign w:val="center"/>
          </w:tcPr>
          <w:p w14:paraId="262329E7" w14:textId="72169F05" w:rsidR="006D79D9" w:rsidRPr="00A45410" w:rsidRDefault="006D79D9" w:rsidP="006D79D9">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Visiting friends &amp; relatives</w:t>
            </w:r>
          </w:p>
        </w:tc>
        <w:tc>
          <w:tcPr>
            <w:tcW w:w="2098" w:type="dxa"/>
            <w:vAlign w:val="center"/>
          </w:tcPr>
          <w:p w14:paraId="2E0B39C4" w14:textId="2EC3400F"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10</w:t>
            </w:r>
            <w:r w:rsidRPr="009F181E">
              <w:rPr>
                <w:rFonts w:ascii="Verdana" w:hAnsi="Verdana" w:cs="Calibri"/>
                <w:color w:val="365F91"/>
                <w:sz w:val="18"/>
                <w:szCs w:val="18"/>
                <w:lang w:val="el-GR"/>
              </w:rPr>
              <w:t>,</w:t>
            </w:r>
            <w:r>
              <w:rPr>
                <w:rFonts w:ascii="Verdana" w:hAnsi="Verdana" w:cs="Calibri"/>
                <w:color w:val="365F91"/>
                <w:sz w:val="18"/>
                <w:szCs w:val="18"/>
                <w:lang w:val="el-GR"/>
              </w:rPr>
              <w:t>3</w:t>
            </w:r>
          </w:p>
        </w:tc>
        <w:tc>
          <w:tcPr>
            <w:tcW w:w="2098" w:type="dxa"/>
            <w:vAlign w:val="center"/>
          </w:tcPr>
          <w:p w14:paraId="7FB3EC8A" w14:textId="4B4D1840"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sidRPr="00516328">
              <w:rPr>
                <w:rFonts w:ascii="Verdana" w:eastAsia="Malgun Gothic" w:hAnsi="Verdana" w:cs="Arial"/>
                <w:color w:val="2F5496" w:themeColor="accent1" w:themeShade="BF"/>
                <w:sz w:val="18"/>
                <w:szCs w:val="18"/>
              </w:rPr>
              <w:t>9,6</w:t>
            </w:r>
          </w:p>
        </w:tc>
        <w:tc>
          <w:tcPr>
            <w:tcW w:w="2098" w:type="dxa"/>
            <w:vAlign w:val="center"/>
          </w:tcPr>
          <w:p w14:paraId="34867041" w14:textId="3C98A25C" w:rsidR="006D79D9" w:rsidRPr="00A45410" w:rsidRDefault="006D79D9" w:rsidP="006D79D9">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10</w:t>
            </w:r>
            <w:r w:rsidRPr="00A44832">
              <w:rPr>
                <w:rFonts w:ascii="Verdana" w:hAnsi="Verdana" w:cs="Calibri"/>
                <w:color w:val="366092"/>
                <w:sz w:val="18"/>
                <w:szCs w:val="18"/>
                <w:lang w:val="el-GR"/>
              </w:rPr>
              <w:t>,</w:t>
            </w:r>
            <w:r>
              <w:rPr>
                <w:rFonts w:ascii="Verdana" w:hAnsi="Verdana" w:cs="Calibri"/>
                <w:color w:val="366092"/>
                <w:sz w:val="18"/>
                <w:szCs w:val="18"/>
              </w:rPr>
              <w:t>1</w:t>
            </w:r>
          </w:p>
        </w:tc>
      </w:tr>
      <w:tr w:rsidR="006D79D9" w:rsidRPr="00C56CC8" w14:paraId="563B1CA8" w14:textId="77777777" w:rsidTr="00F05A4E">
        <w:trPr>
          <w:trHeight w:val="454"/>
          <w:jc w:val="center"/>
        </w:trPr>
        <w:tc>
          <w:tcPr>
            <w:tcW w:w="3345" w:type="dxa"/>
            <w:tcBorders>
              <w:bottom w:val="single" w:sz="4" w:space="0" w:color="366092"/>
            </w:tcBorders>
            <w:vAlign w:val="center"/>
          </w:tcPr>
          <w:p w14:paraId="5BC9F580" w14:textId="5D1BED6E" w:rsidR="006D79D9" w:rsidRPr="00A45410" w:rsidRDefault="006D79D9" w:rsidP="006D79D9">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08A6ADAE"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5</w:t>
            </w:r>
            <w:r w:rsidRPr="009F181E">
              <w:rPr>
                <w:rFonts w:ascii="Verdana" w:hAnsi="Verdana" w:cs="Calibri"/>
                <w:color w:val="365F91"/>
                <w:sz w:val="18"/>
                <w:szCs w:val="18"/>
                <w:lang w:val="el-GR"/>
              </w:rPr>
              <w:t>,</w:t>
            </w:r>
            <w:r>
              <w:rPr>
                <w:rFonts w:ascii="Verdana" w:hAnsi="Verdana" w:cs="Calibri"/>
                <w:color w:val="365F91"/>
                <w:sz w:val="18"/>
                <w:szCs w:val="18"/>
                <w:lang w:val="el-GR"/>
              </w:rPr>
              <w:t>5</w:t>
            </w:r>
          </w:p>
        </w:tc>
        <w:tc>
          <w:tcPr>
            <w:tcW w:w="2098" w:type="dxa"/>
            <w:tcBorders>
              <w:bottom w:val="single" w:sz="4" w:space="0" w:color="2F5496" w:themeColor="accent1" w:themeShade="BF"/>
            </w:tcBorders>
            <w:vAlign w:val="center"/>
          </w:tcPr>
          <w:p w14:paraId="2ED4CF77" w14:textId="26490853" w:rsidR="006D79D9" w:rsidRPr="00A45410" w:rsidRDefault="006D79D9" w:rsidP="006D79D9">
            <w:pPr>
              <w:tabs>
                <w:tab w:val="left" w:pos="1080"/>
                <w:tab w:val="left" w:pos="6840"/>
              </w:tabs>
              <w:ind w:right="737"/>
              <w:jc w:val="right"/>
              <w:rPr>
                <w:rFonts w:ascii="Verdana" w:eastAsia="Malgun Gothic" w:hAnsi="Verdana" w:cs="Arial"/>
                <w:color w:val="366092"/>
                <w:sz w:val="18"/>
                <w:szCs w:val="18"/>
              </w:rPr>
            </w:pPr>
            <w:r w:rsidRPr="00516328">
              <w:rPr>
                <w:rFonts w:ascii="Verdana" w:eastAsia="Malgun Gothic" w:hAnsi="Verdana" w:cs="Arial"/>
                <w:color w:val="2F5496" w:themeColor="accent1" w:themeShade="BF"/>
                <w:sz w:val="18"/>
                <w:szCs w:val="18"/>
                <w:lang w:val="el-GR"/>
              </w:rPr>
              <w:t>5,2</w:t>
            </w:r>
          </w:p>
        </w:tc>
        <w:tc>
          <w:tcPr>
            <w:tcW w:w="2098" w:type="dxa"/>
            <w:tcBorders>
              <w:bottom w:val="single" w:sz="4" w:space="0" w:color="366092"/>
            </w:tcBorders>
            <w:vAlign w:val="center"/>
          </w:tcPr>
          <w:p w14:paraId="3527E2F8" w14:textId="253B7D2C" w:rsidR="006D79D9" w:rsidRPr="00A45410" w:rsidRDefault="006D79D9" w:rsidP="006D79D9">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5</w:t>
            </w:r>
            <w:r w:rsidRPr="00A44832">
              <w:rPr>
                <w:rFonts w:ascii="Verdana" w:hAnsi="Verdana" w:cs="Calibri"/>
                <w:color w:val="366092"/>
                <w:sz w:val="18"/>
                <w:szCs w:val="18"/>
                <w:lang w:val="el-GR"/>
              </w:rPr>
              <w:t>,</w:t>
            </w:r>
            <w:r>
              <w:rPr>
                <w:rFonts w:ascii="Verdana" w:hAnsi="Verdana" w:cs="Calibri"/>
                <w:color w:val="366092"/>
                <w:sz w:val="18"/>
                <w:szCs w:val="18"/>
              </w:rPr>
              <w:t>0</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6DD7DBEE" w14:textId="77777777" w:rsidR="005110E9" w:rsidRDefault="005110E9" w:rsidP="0009495F">
      <w:pPr>
        <w:tabs>
          <w:tab w:val="left" w:pos="1080"/>
          <w:tab w:val="left" w:pos="6840"/>
        </w:tabs>
        <w:rPr>
          <w:rFonts w:ascii="Verdana" w:eastAsia="Malgun Gothic" w:hAnsi="Verdana" w:cs="Arial"/>
          <w:b/>
          <w:sz w:val="18"/>
          <w:szCs w:val="18"/>
          <w:u w:val="single"/>
        </w:rPr>
      </w:pPr>
    </w:p>
    <w:p w14:paraId="18798A1C" w14:textId="77777777" w:rsidR="00E276B4" w:rsidRPr="00A20E9E" w:rsidRDefault="00E276B4" w:rsidP="0009495F">
      <w:pPr>
        <w:tabs>
          <w:tab w:val="left" w:pos="1080"/>
          <w:tab w:val="left" w:pos="6840"/>
        </w:tabs>
        <w:rPr>
          <w:rFonts w:ascii="Verdana" w:eastAsia="Malgun Gothic" w:hAnsi="Verdana" w:cs="Arial"/>
          <w:b/>
          <w:sz w:val="18"/>
          <w:szCs w:val="18"/>
          <w:u w:val="single"/>
          <w:lang w:val="en-GB"/>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762ADAAE" w:rsidR="00044CF1" w:rsidRPr="005B18E2" w:rsidRDefault="001C0938" w:rsidP="00A20E9E">
      <w:pPr>
        <w:tabs>
          <w:tab w:val="left" w:pos="1080"/>
          <w:tab w:val="left" w:pos="6840"/>
        </w:tabs>
        <w:jc w:val="both"/>
        <w:rPr>
          <w:rFonts w:ascii="Verdana" w:eastAsia="Malgun Gothic" w:hAnsi="Verdana"/>
          <w:sz w:val="18"/>
          <w:szCs w:val="18"/>
          <w:lang w:eastAsia="x-none"/>
        </w:rPr>
      </w:pPr>
      <w:r w:rsidRPr="005B18E2">
        <w:rPr>
          <w:rFonts w:ascii="Verdana" w:eastAsia="Arial" w:hAnsi="Verdana" w:cs="Arial"/>
          <w:sz w:val="18"/>
          <w:szCs w:val="18"/>
        </w:rPr>
        <w:t xml:space="preserve">A total number of </w:t>
      </w:r>
      <w:r w:rsidR="00CF7463" w:rsidRPr="00CF7463">
        <w:rPr>
          <w:rFonts w:ascii="Verdana" w:eastAsia="Malgun Gothic" w:hAnsi="Verdana"/>
          <w:sz w:val="18"/>
          <w:szCs w:val="18"/>
          <w:lang w:eastAsia="x-none"/>
        </w:rPr>
        <w:t>166.129</w:t>
      </w:r>
      <w:r w:rsidR="00CF7463">
        <w:rPr>
          <w:rFonts w:ascii="Verdana" w:eastAsia="Malgun Gothic" w:hAnsi="Verdana"/>
          <w:sz w:val="18"/>
          <w:szCs w:val="18"/>
          <w:lang w:eastAsia="x-none"/>
        </w:rPr>
        <w:t xml:space="preserve"> </w:t>
      </w:r>
      <w:r w:rsidRPr="005B18E2">
        <w:rPr>
          <w:rFonts w:ascii="Verdana" w:eastAsia="Malgun Gothic" w:hAnsi="Verdana"/>
          <w:sz w:val="18"/>
          <w:szCs w:val="18"/>
          <w:lang w:eastAsia="x-none"/>
        </w:rPr>
        <w:t xml:space="preserve">residents of Cyprus returned from a trip abroad in </w:t>
      </w:r>
      <w:r w:rsidR="00637A94">
        <w:rPr>
          <w:rFonts w:ascii="Verdana" w:eastAsia="Malgun Gothic" w:hAnsi="Verdana"/>
          <w:sz w:val="18"/>
          <w:szCs w:val="18"/>
          <w:lang w:eastAsia="x-none"/>
        </w:rPr>
        <w:t>September</w:t>
      </w:r>
      <w:r w:rsidRPr="005B18E2">
        <w:rPr>
          <w:rFonts w:ascii="Verdana" w:eastAsia="Malgun Gothic" w:hAnsi="Verdana"/>
          <w:sz w:val="18"/>
          <w:szCs w:val="18"/>
          <w:lang w:eastAsia="x-none"/>
        </w:rPr>
        <w:t xml:space="preserve"> </w:t>
      </w:r>
      <w:r w:rsidR="00455353" w:rsidRPr="005B18E2">
        <w:rPr>
          <w:rFonts w:ascii="Verdana" w:eastAsia="Malgun Gothic" w:hAnsi="Verdana"/>
          <w:sz w:val="18"/>
          <w:szCs w:val="18"/>
          <w:lang w:eastAsia="x-none"/>
        </w:rPr>
        <w:t>2025</w:t>
      </w:r>
      <w:r w:rsidR="00044CF1" w:rsidRPr="005B18E2">
        <w:rPr>
          <w:rFonts w:ascii="Verdana" w:eastAsia="Malgun Gothic" w:hAnsi="Verdana"/>
          <w:sz w:val="18"/>
          <w:szCs w:val="18"/>
          <w:lang w:eastAsia="x-none"/>
        </w:rPr>
        <w:t xml:space="preserve"> </w:t>
      </w:r>
      <w:r w:rsidRPr="005B18E2">
        <w:rPr>
          <w:rFonts w:ascii="Verdana" w:eastAsia="Malgun Gothic" w:hAnsi="Verdana"/>
          <w:sz w:val="18"/>
          <w:szCs w:val="18"/>
          <w:lang w:eastAsia="x-none"/>
        </w:rPr>
        <w:t xml:space="preserve">compared to </w:t>
      </w:r>
      <w:bookmarkStart w:id="4" w:name="_Hlk205799187"/>
      <w:r w:rsidR="00CF7463" w:rsidRPr="00CF7463">
        <w:rPr>
          <w:rFonts w:ascii="Verdana" w:eastAsia="Malgun Gothic" w:hAnsi="Verdana"/>
          <w:sz w:val="18"/>
          <w:szCs w:val="18"/>
          <w:lang w:eastAsia="x-none"/>
        </w:rPr>
        <w:t xml:space="preserve">156.153 </w:t>
      </w:r>
      <w:bookmarkEnd w:id="4"/>
      <w:r w:rsidRPr="005B18E2">
        <w:rPr>
          <w:rFonts w:ascii="Verdana" w:eastAsia="Malgun Gothic" w:hAnsi="Verdana"/>
          <w:sz w:val="18"/>
          <w:szCs w:val="18"/>
          <w:lang w:eastAsia="x-none"/>
        </w:rPr>
        <w:t xml:space="preserve">in the corresponding month last year, recording </w:t>
      </w:r>
      <w:r w:rsidR="00AE2841" w:rsidRPr="005B18E2">
        <w:rPr>
          <w:rFonts w:ascii="Verdana" w:eastAsia="Malgun Gothic" w:hAnsi="Verdana"/>
          <w:sz w:val="18"/>
          <w:szCs w:val="18"/>
        </w:rPr>
        <w:t>a</w:t>
      </w:r>
      <w:r w:rsidR="00C93517" w:rsidRPr="005B18E2">
        <w:rPr>
          <w:rFonts w:ascii="Verdana" w:eastAsia="Malgun Gothic" w:hAnsi="Verdana"/>
          <w:sz w:val="18"/>
          <w:szCs w:val="18"/>
        </w:rPr>
        <w:t>n</w:t>
      </w:r>
      <w:r w:rsidR="00AE2841" w:rsidRPr="005B18E2">
        <w:rPr>
          <w:rFonts w:ascii="Verdana" w:eastAsia="Malgun Gothic" w:hAnsi="Verdana"/>
          <w:sz w:val="18"/>
          <w:szCs w:val="18"/>
        </w:rPr>
        <w:t xml:space="preserve"> </w:t>
      </w:r>
      <w:r w:rsidR="00C93517" w:rsidRPr="005B18E2">
        <w:rPr>
          <w:rFonts w:ascii="Verdana" w:eastAsia="Malgun Gothic" w:hAnsi="Verdana"/>
          <w:sz w:val="18"/>
          <w:szCs w:val="18"/>
        </w:rPr>
        <w:t>in</w:t>
      </w:r>
      <w:r w:rsidR="00AE2841" w:rsidRPr="005B18E2">
        <w:rPr>
          <w:rFonts w:ascii="Verdana" w:eastAsia="Malgun Gothic" w:hAnsi="Verdana"/>
          <w:sz w:val="18"/>
          <w:szCs w:val="18"/>
        </w:rPr>
        <w:t>crease</w:t>
      </w:r>
      <w:r w:rsidRPr="005B18E2">
        <w:rPr>
          <w:rFonts w:ascii="Verdana" w:eastAsia="Malgun Gothic" w:hAnsi="Verdana"/>
          <w:sz w:val="18"/>
          <w:szCs w:val="18"/>
          <w:lang w:eastAsia="x-none"/>
        </w:rPr>
        <w:t xml:space="preserve"> of </w:t>
      </w:r>
      <w:bookmarkStart w:id="5" w:name="_Hlk205799207"/>
      <w:r w:rsidR="00CF7463" w:rsidRPr="00CF7463">
        <w:rPr>
          <w:rFonts w:ascii="Verdana" w:eastAsia="Malgun Gothic" w:hAnsi="Verdana"/>
          <w:sz w:val="18"/>
          <w:szCs w:val="18"/>
          <w:lang w:eastAsia="x-none"/>
        </w:rPr>
        <w:t>6,</w:t>
      </w:r>
      <w:bookmarkEnd w:id="5"/>
      <w:r w:rsidR="00CF7463" w:rsidRPr="00CF7463">
        <w:rPr>
          <w:rFonts w:ascii="Verdana" w:eastAsia="Malgun Gothic" w:hAnsi="Verdana"/>
          <w:sz w:val="18"/>
          <w:szCs w:val="18"/>
          <w:lang w:eastAsia="x-none"/>
        </w:rPr>
        <w:t>4</w:t>
      </w:r>
      <w:r w:rsidR="00044CF1" w:rsidRPr="005B18E2">
        <w:rPr>
          <w:rFonts w:ascii="Verdana" w:eastAsia="Malgun Gothic" w:hAnsi="Verdana"/>
          <w:sz w:val="18"/>
          <w:szCs w:val="18"/>
          <w:lang w:eastAsia="x-none"/>
        </w:rPr>
        <w:t xml:space="preserve">%. </w:t>
      </w:r>
    </w:p>
    <w:p w14:paraId="5858933C" w14:textId="77777777" w:rsidR="00044CF1" w:rsidRPr="003B66F4" w:rsidRDefault="00044CF1" w:rsidP="00A20E9E">
      <w:pPr>
        <w:tabs>
          <w:tab w:val="left" w:pos="1080"/>
          <w:tab w:val="left" w:pos="6840"/>
        </w:tabs>
        <w:jc w:val="both"/>
        <w:rPr>
          <w:rFonts w:ascii="Verdana" w:eastAsia="Malgun Gothic" w:hAnsi="Verdana"/>
          <w:sz w:val="18"/>
          <w:szCs w:val="18"/>
          <w:highlight w:val="yellow"/>
          <w:lang w:eastAsia="x-none"/>
        </w:rPr>
      </w:pPr>
    </w:p>
    <w:p w14:paraId="209A932C" w14:textId="7998B642" w:rsidR="00044CF1" w:rsidRPr="00CF7463" w:rsidRDefault="001C0938" w:rsidP="00A20E9E">
      <w:pPr>
        <w:tabs>
          <w:tab w:val="left" w:pos="1080"/>
          <w:tab w:val="left" w:pos="6840"/>
        </w:tabs>
        <w:jc w:val="both"/>
        <w:rPr>
          <w:rFonts w:ascii="Verdana" w:eastAsia="Malgun Gothic" w:hAnsi="Verdana"/>
          <w:sz w:val="18"/>
          <w:szCs w:val="18"/>
          <w:lang w:eastAsia="x-none"/>
        </w:rPr>
      </w:pPr>
      <w:r w:rsidRPr="00FC36DA">
        <w:rPr>
          <w:rFonts w:ascii="Verdana" w:eastAsia="Malgun Gothic" w:hAnsi="Verdana"/>
          <w:sz w:val="18"/>
          <w:szCs w:val="18"/>
          <w:lang w:eastAsia="x-none"/>
        </w:rPr>
        <w:t>The main countries from which</w:t>
      </w:r>
      <w:r w:rsidR="00CD7FE1" w:rsidRPr="00FC36DA">
        <w:rPr>
          <w:rFonts w:ascii="Verdana" w:eastAsia="Malgun Gothic" w:hAnsi="Verdana"/>
          <w:sz w:val="18"/>
          <w:szCs w:val="18"/>
          <w:lang w:eastAsia="x-none"/>
        </w:rPr>
        <w:t xml:space="preserve"> </w:t>
      </w:r>
      <w:r w:rsidR="00D35A7E" w:rsidRPr="00FC36DA">
        <w:rPr>
          <w:rFonts w:ascii="Verdana" w:eastAsia="Malgun Gothic" w:hAnsi="Verdana"/>
          <w:sz w:val="18"/>
          <w:szCs w:val="18"/>
          <w:lang w:eastAsia="x-none"/>
        </w:rPr>
        <w:t xml:space="preserve">residents of Cyprus returned in </w:t>
      </w:r>
      <w:r w:rsidR="00637A94">
        <w:rPr>
          <w:rFonts w:ascii="Verdana" w:eastAsia="Malgun Gothic" w:hAnsi="Verdana"/>
          <w:sz w:val="18"/>
          <w:szCs w:val="18"/>
          <w:lang w:eastAsia="x-none"/>
        </w:rPr>
        <w:t>September</w:t>
      </w:r>
      <w:r w:rsidR="00D35A7E" w:rsidRPr="00FC36DA">
        <w:rPr>
          <w:rFonts w:ascii="Verdana" w:eastAsia="Malgun Gothic" w:hAnsi="Verdana"/>
          <w:sz w:val="18"/>
          <w:szCs w:val="18"/>
          <w:lang w:eastAsia="x-none"/>
        </w:rPr>
        <w:t xml:space="preserve"> </w:t>
      </w:r>
      <w:r w:rsidR="00455353" w:rsidRPr="00FC36DA">
        <w:rPr>
          <w:rFonts w:ascii="Verdana" w:eastAsia="Malgun Gothic" w:hAnsi="Verdana"/>
          <w:sz w:val="18"/>
          <w:szCs w:val="18"/>
          <w:lang w:eastAsia="x-none"/>
        </w:rPr>
        <w:t>2025</w:t>
      </w:r>
      <w:r w:rsidRPr="00FC36DA">
        <w:rPr>
          <w:rFonts w:ascii="Verdana" w:eastAsia="Malgun Gothic" w:hAnsi="Verdana"/>
          <w:sz w:val="18"/>
          <w:szCs w:val="18"/>
          <w:lang w:eastAsia="x-none"/>
        </w:rPr>
        <w:t xml:space="preserve"> were Greece with a share of </w:t>
      </w:r>
      <w:bookmarkStart w:id="6" w:name="_Hlk205799401"/>
      <w:r w:rsidR="00CF7463" w:rsidRPr="00CF7463">
        <w:rPr>
          <w:rFonts w:ascii="Verdana" w:eastAsia="Malgun Gothic" w:hAnsi="Verdana"/>
          <w:sz w:val="18"/>
          <w:szCs w:val="18"/>
          <w:lang w:eastAsia="x-none"/>
        </w:rPr>
        <w:t>35</w:t>
      </w:r>
      <w:proofErr w:type="gramStart"/>
      <w:r w:rsidR="00CF7463" w:rsidRPr="00CF7463">
        <w:rPr>
          <w:rFonts w:ascii="Verdana" w:eastAsia="Malgun Gothic" w:hAnsi="Verdana"/>
          <w:sz w:val="18"/>
          <w:szCs w:val="18"/>
          <w:lang w:eastAsia="x-none"/>
        </w:rPr>
        <w:t>,8</w:t>
      </w:r>
      <w:proofErr w:type="gramEnd"/>
      <w:r w:rsidR="00CF7463" w:rsidRPr="00CF7463">
        <w:rPr>
          <w:rFonts w:ascii="Verdana" w:eastAsia="Malgun Gothic" w:hAnsi="Verdana"/>
          <w:sz w:val="18"/>
          <w:szCs w:val="18"/>
          <w:lang w:eastAsia="x-none"/>
        </w:rPr>
        <w:t>% (59.514)</w:t>
      </w:r>
      <w:bookmarkEnd w:id="6"/>
      <w:r w:rsidR="00CF7463">
        <w:rPr>
          <w:rFonts w:ascii="Verdana" w:eastAsia="Malgun Gothic" w:hAnsi="Verdana"/>
          <w:sz w:val="18"/>
          <w:szCs w:val="18"/>
          <w:lang w:eastAsia="x-none"/>
        </w:rPr>
        <w:t>, Russia</w:t>
      </w:r>
      <w:r w:rsidRPr="00FC36DA">
        <w:rPr>
          <w:rFonts w:ascii="Verdana" w:eastAsia="Malgun Gothic" w:hAnsi="Verdana"/>
          <w:sz w:val="18"/>
          <w:szCs w:val="18"/>
          <w:lang w:eastAsia="x-none"/>
        </w:rPr>
        <w:t xml:space="preserve"> with </w:t>
      </w:r>
      <w:bookmarkStart w:id="7" w:name="_Hlk208577020"/>
      <w:r w:rsidR="00CF7463" w:rsidRPr="00CF7463">
        <w:rPr>
          <w:rFonts w:ascii="Verdana" w:eastAsia="Malgun Gothic" w:hAnsi="Verdana"/>
          <w:sz w:val="18"/>
          <w:szCs w:val="18"/>
          <w:lang w:eastAsia="x-none"/>
        </w:rPr>
        <w:t xml:space="preserve">6,6% (10.987), </w:t>
      </w:r>
      <w:bookmarkEnd w:id="7"/>
      <w:r w:rsidR="00CF7463" w:rsidRPr="00FC36DA">
        <w:rPr>
          <w:rFonts w:ascii="Verdana" w:eastAsia="Malgun Gothic" w:hAnsi="Verdana"/>
          <w:sz w:val="18"/>
          <w:szCs w:val="18"/>
          <w:lang w:eastAsia="x-none"/>
        </w:rPr>
        <w:t xml:space="preserve">the United Kingdom </w:t>
      </w:r>
      <w:r w:rsidR="00B1297E">
        <w:rPr>
          <w:rFonts w:ascii="Verdana" w:eastAsia="Malgun Gothic" w:hAnsi="Verdana"/>
          <w:sz w:val="18"/>
          <w:szCs w:val="18"/>
          <w:lang w:eastAsia="x-none"/>
        </w:rPr>
        <w:t xml:space="preserve">with </w:t>
      </w:r>
      <w:bookmarkStart w:id="8" w:name="_Hlk134772611"/>
      <w:bookmarkStart w:id="9" w:name="_Hlk208576992"/>
      <w:bookmarkStart w:id="10" w:name="_Hlk203031615"/>
      <w:r w:rsidR="00CF7463" w:rsidRPr="00CF7463">
        <w:rPr>
          <w:rFonts w:ascii="Verdana" w:eastAsia="Malgun Gothic" w:hAnsi="Verdana"/>
          <w:sz w:val="18"/>
          <w:szCs w:val="18"/>
          <w:lang w:eastAsia="x-none"/>
        </w:rPr>
        <w:t>6,6% (10.964)</w:t>
      </w:r>
      <w:bookmarkEnd w:id="8"/>
      <w:bookmarkEnd w:id="9"/>
      <w:bookmarkEnd w:id="10"/>
      <w:r w:rsidR="00CF7463" w:rsidRPr="00CF7463">
        <w:rPr>
          <w:rFonts w:ascii="Verdana" w:eastAsia="Malgun Gothic" w:hAnsi="Verdana"/>
          <w:sz w:val="18"/>
          <w:szCs w:val="18"/>
          <w:lang w:eastAsia="x-none"/>
        </w:rPr>
        <w:t xml:space="preserve"> </w:t>
      </w:r>
      <w:r w:rsidR="005F1383" w:rsidRPr="00FC36DA">
        <w:rPr>
          <w:rFonts w:ascii="Verdana" w:eastAsia="Malgun Gothic" w:hAnsi="Verdana"/>
          <w:sz w:val="18"/>
          <w:szCs w:val="18"/>
          <w:lang w:eastAsia="x-none"/>
        </w:rPr>
        <w:t>and</w:t>
      </w:r>
      <w:r w:rsidR="00303A9A" w:rsidRPr="00FC36DA">
        <w:rPr>
          <w:rFonts w:ascii="Verdana" w:eastAsia="Malgun Gothic" w:hAnsi="Verdana"/>
          <w:sz w:val="18"/>
          <w:szCs w:val="18"/>
          <w:lang w:eastAsia="x-none"/>
        </w:rPr>
        <w:t xml:space="preserve"> </w:t>
      </w:r>
      <w:r w:rsidR="00A95085" w:rsidRPr="00FC36DA">
        <w:rPr>
          <w:rFonts w:ascii="Verdana" w:eastAsia="Malgun Gothic" w:hAnsi="Verdana"/>
          <w:sz w:val="18"/>
          <w:szCs w:val="18"/>
          <w:lang w:eastAsia="x-none"/>
        </w:rPr>
        <w:t>Italy</w:t>
      </w:r>
      <w:r w:rsidR="008070BC" w:rsidRPr="00FC36DA">
        <w:rPr>
          <w:rFonts w:ascii="Verdana" w:eastAsia="Malgun Gothic" w:hAnsi="Verdana"/>
          <w:sz w:val="18"/>
          <w:szCs w:val="18"/>
          <w:lang w:eastAsia="x-none"/>
        </w:rPr>
        <w:t xml:space="preserve"> with </w:t>
      </w:r>
      <w:bookmarkStart w:id="11" w:name="_Hlk192589309"/>
      <w:bookmarkStart w:id="12" w:name="_Hlk203031620"/>
      <w:r w:rsidR="00CF7463" w:rsidRPr="00CF7463">
        <w:rPr>
          <w:rFonts w:ascii="Verdana" w:eastAsia="Malgun Gothic" w:hAnsi="Verdana"/>
          <w:sz w:val="18"/>
          <w:szCs w:val="18"/>
          <w:lang w:eastAsia="x-none"/>
        </w:rPr>
        <w:t>5,2% (8.711)</w:t>
      </w:r>
      <w:bookmarkEnd w:id="11"/>
      <w:r w:rsidR="00CF7463" w:rsidRPr="00CF7463">
        <w:rPr>
          <w:rFonts w:ascii="Verdana" w:eastAsia="Malgun Gothic" w:hAnsi="Verdana"/>
          <w:sz w:val="18"/>
          <w:szCs w:val="18"/>
          <w:lang w:eastAsia="x-none"/>
        </w:rPr>
        <w:t>.</w:t>
      </w:r>
      <w:bookmarkEnd w:id="12"/>
    </w:p>
    <w:p w14:paraId="7530CD56" w14:textId="77777777" w:rsidR="00C15993" w:rsidRDefault="00C15993" w:rsidP="00AF4867">
      <w:pPr>
        <w:tabs>
          <w:tab w:val="left" w:pos="1080"/>
          <w:tab w:val="left" w:pos="6840"/>
        </w:tabs>
        <w:jc w:val="both"/>
        <w:rPr>
          <w:rFonts w:ascii="Verdana" w:eastAsia="Malgun Gothic" w:hAnsi="Verdana"/>
          <w:sz w:val="18"/>
          <w:szCs w:val="18"/>
          <w:lang w:eastAsia="x-none"/>
        </w:rPr>
      </w:pPr>
    </w:p>
    <w:p w14:paraId="67E9529E" w14:textId="28EFE5A5" w:rsidR="009245D7" w:rsidRPr="006B3973" w:rsidRDefault="00C75FB7"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val="en-GB" w:eastAsia="en-GB"/>
        </w:rPr>
        <w:drawing>
          <wp:inline distT="0" distB="0" distL="0" distR="0" wp14:anchorId="413934D5" wp14:editId="65FCA918">
            <wp:extent cx="6059805" cy="3230880"/>
            <wp:effectExtent l="0" t="0" r="0" b="7620"/>
            <wp:docPr id="1136023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0154E4A7"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637A94">
        <w:rPr>
          <w:rFonts w:ascii="Verdana" w:eastAsia="Malgun Gothic" w:hAnsi="Verdana" w:cs="Arial"/>
          <w:sz w:val="18"/>
          <w:szCs w:val="18"/>
        </w:rPr>
        <w:t>September</w:t>
      </w:r>
      <w:r w:rsidRPr="00563E4C">
        <w:rPr>
          <w:rFonts w:ascii="Verdana" w:eastAsia="Malgun Gothic" w:hAnsi="Verdana" w:cs="Arial"/>
          <w:sz w:val="18"/>
          <w:szCs w:val="18"/>
        </w:rPr>
        <w:t xml:space="preserve"> </w:t>
      </w:r>
      <w:r w:rsidR="00455353" w:rsidRPr="00563E4C">
        <w:rPr>
          <w:rFonts w:ascii="Verdana" w:eastAsia="Malgun Gothic" w:hAnsi="Verdana" w:cs="Arial"/>
          <w:sz w:val="18"/>
          <w:szCs w:val="18"/>
        </w:rPr>
        <w:t>2025</w:t>
      </w:r>
      <w:r w:rsidRPr="00563E4C">
        <w:rPr>
          <w:rFonts w:ascii="Verdana" w:eastAsia="Malgun Gothic" w:hAnsi="Verdana" w:cs="Arial"/>
          <w:sz w:val="18"/>
          <w:szCs w:val="18"/>
        </w:rPr>
        <w:t xml:space="preserve"> was mainly holidays, with a percentage of </w:t>
      </w:r>
      <w:bookmarkStart w:id="13" w:name="_Hlk205799491"/>
      <w:bookmarkStart w:id="14" w:name="_Hlk208577931"/>
      <w:r w:rsidR="00F26140" w:rsidRPr="00F26140">
        <w:rPr>
          <w:rFonts w:ascii="Verdana" w:eastAsia="Malgun Gothic" w:hAnsi="Verdana" w:cs="Arial"/>
          <w:sz w:val="18"/>
          <w:szCs w:val="18"/>
        </w:rPr>
        <w:t>76,</w:t>
      </w:r>
      <w:bookmarkEnd w:id="13"/>
      <w:bookmarkEnd w:id="14"/>
      <w:r w:rsidR="00F26140" w:rsidRPr="00F26140">
        <w:rPr>
          <w:rFonts w:ascii="Verdana" w:eastAsia="Malgun Gothic" w:hAnsi="Verdana" w:cs="Arial"/>
          <w:sz w:val="18"/>
          <w:szCs w:val="18"/>
        </w:rPr>
        <w:t>1</w:t>
      </w:r>
      <w:r w:rsidRPr="00563E4C">
        <w:rPr>
          <w:rFonts w:ascii="Verdana" w:eastAsia="Malgun Gothic" w:hAnsi="Verdana" w:cs="Arial"/>
          <w:sz w:val="18"/>
          <w:szCs w:val="18"/>
        </w:rPr>
        <w:t xml:space="preserve">%, whilst business reasons held a percentage of </w:t>
      </w:r>
      <w:bookmarkStart w:id="15" w:name="_Hlk205799499"/>
      <w:bookmarkStart w:id="16" w:name="_Hlk208577939"/>
      <w:r w:rsidR="00F26140" w:rsidRPr="00F26140">
        <w:rPr>
          <w:rFonts w:ascii="Verdana" w:eastAsia="Malgun Gothic" w:hAnsi="Verdana" w:cs="Arial"/>
          <w:sz w:val="18"/>
          <w:szCs w:val="18"/>
        </w:rPr>
        <w:t>21,</w:t>
      </w:r>
      <w:bookmarkEnd w:id="15"/>
      <w:bookmarkEnd w:id="16"/>
      <w:r w:rsidR="00F26140" w:rsidRPr="00F26140">
        <w:rPr>
          <w:rFonts w:ascii="Verdana" w:eastAsia="Malgun Gothic" w:hAnsi="Verdana" w:cs="Arial"/>
          <w:sz w:val="18"/>
          <w:szCs w:val="18"/>
        </w:rPr>
        <w:t>0</w:t>
      </w:r>
      <w:r w:rsidRPr="00563E4C">
        <w:rPr>
          <w:rFonts w:ascii="Verdana" w:eastAsia="Malgun Gothic" w:hAnsi="Verdana" w:cs="Arial"/>
          <w:sz w:val="18"/>
          <w:szCs w:val="18"/>
        </w:rPr>
        <w:t xml:space="preserve">%, studies </w:t>
      </w:r>
      <w:bookmarkStart w:id="17" w:name="_Hlk205799505"/>
      <w:r w:rsidR="009A0F55" w:rsidRPr="009A0F55">
        <w:rPr>
          <w:rFonts w:ascii="Verdana" w:eastAsia="Malgun Gothic" w:hAnsi="Verdana" w:cs="Arial"/>
          <w:sz w:val="18"/>
          <w:szCs w:val="18"/>
        </w:rPr>
        <w:t>1,</w:t>
      </w:r>
      <w:bookmarkEnd w:id="17"/>
      <w:r w:rsidR="00F26140" w:rsidRPr="00F26140">
        <w:rPr>
          <w:rFonts w:ascii="Verdana" w:eastAsia="Malgun Gothic" w:hAnsi="Verdana" w:cs="Arial"/>
          <w:sz w:val="18"/>
          <w:szCs w:val="18"/>
        </w:rPr>
        <w:t>6</w:t>
      </w:r>
      <w:r w:rsidRPr="00563E4C">
        <w:rPr>
          <w:rFonts w:ascii="Verdana" w:eastAsia="Malgun Gothic" w:hAnsi="Verdana" w:cs="Arial"/>
          <w:sz w:val="18"/>
          <w:szCs w:val="18"/>
        </w:rPr>
        <w:t xml:space="preserve">% and other reasons </w:t>
      </w:r>
      <w:bookmarkStart w:id="18" w:name="_Hlk205799512"/>
      <w:r w:rsidR="00F26140" w:rsidRPr="00C75FB7">
        <w:rPr>
          <w:rFonts w:ascii="Verdana" w:eastAsia="Malgun Gothic" w:hAnsi="Verdana" w:cs="Arial"/>
          <w:sz w:val="18"/>
          <w:szCs w:val="18"/>
        </w:rPr>
        <w:t>1,</w:t>
      </w:r>
      <w:bookmarkEnd w:id="18"/>
      <w:r w:rsidR="00F26140" w:rsidRPr="00C75FB7">
        <w:rPr>
          <w:rFonts w:ascii="Verdana" w:eastAsia="Malgun Gothic" w:hAnsi="Verdana" w:cs="Arial"/>
          <w:sz w:val="18"/>
          <w:szCs w:val="18"/>
        </w:rPr>
        <w:t>3</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 xml:space="preserve">The data are obtained from the Passengers Survey which is carried out at the points of arrival in </w:t>
      </w:r>
      <w:proofErr w:type="spellStart"/>
      <w:r w:rsidRPr="00545E88">
        <w:rPr>
          <w:rFonts w:ascii="Verdana" w:hAnsi="Verdana"/>
          <w:sz w:val="18"/>
          <w:szCs w:val="18"/>
        </w:rPr>
        <w:t>Larna</w:t>
      </w:r>
      <w:r w:rsidR="002853FB">
        <w:rPr>
          <w:rFonts w:ascii="Verdana" w:hAnsi="Verdana"/>
          <w:sz w:val="18"/>
          <w:szCs w:val="18"/>
        </w:rPr>
        <w:t>k</w:t>
      </w:r>
      <w:r w:rsidRPr="00545E88">
        <w:rPr>
          <w:rFonts w:ascii="Verdana" w:hAnsi="Verdana"/>
          <w:sz w:val="18"/>
          <w:szCs w:val="18"/>
        </w:rPr>
        <w:t>a</w:t>
      </w:r>
      <w:proofErr w:type="spellEnd"/>
      <w:r w:rsidRPr="00545E88">
        <w:rPr>
          <w:rFonts w:ascii="Verdana" w:hAnsi="Verdana"/>
          <w:sz w:val="18"/>
          <w:szCs w:val="18"/>
        </w:rPr>
        <w:t xml:space="preserve"> and </w:t>
      </w:r>
      <w:proofErr w:type="spellStart"/>
      <w:r w:rsidRPr="00545E88">
        <w:rPr>
          <w:rFonts w:ascii="Verdana" w:hAnsi="Verdana"/>
          <w:sz w:val="18"/>
          <w:szCs w:val="18"/>
        </w:rPr>
        <w:t>Pa</w:t>
      </w:r>
      <w:r w:rsidR="002853FB">
        <w:rPr>
          <w:rFonts w:ascii="Verdana" w:hAnsi="Verdana"/>
          <w:sz w:val="18"/>
          <w:szCs w:val="18"/>
        </w:rPr>
        <w:t>f</w:t>
      </w:r>
      <w:r w:rsidRPr="00545E88">
        <w:rPr>
          <w:rFonts w:ascii="Verdana" w:hAnsi="Verdana"/>
          <w:sz w:val="18"/>
          <w:szCs w:val="18"/>
        </w:rPr>
        <w:t>os</w:t>
      </w:r>
      <w:proofErr w:type="spellEnd"/>
      <w:r w:rsidRPr="00545E88">
        <w:rPr>
          <w:rFonts w:ascii="Verdana" w:hAnsi="Verdana"/>
          <w:sz w:val="18"/>
          <w:szCs w:val="18"/>
        </w:rPr>
        <w:t xml:space="preserve">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1" w:history="1">
        <w:r w:rsidRPr="00545E88">
          <w:rPr>
            <w:rStyle w:val="Hyperlink"/>
            <w:rFonts w:ascii="Verdana" w:hAnsi="Verdana"/>
            <w:sz w:val="18"/>
            <w:szCs w:val="18"/>
            <w:lang w:val="en-GB"/>
          </w:rPr>
          <w:t>Tourism</w:t>
        </w:r>
      </w:hyperlink>
    </w:p>
    <w:p w14:paraId="5B16E89A" w14:textId="25856769" w:rsidR="002A10AB" w:rsidRPr="00545E88" w:rsidRDefault="00285A73" w:rsidP="0009495F">
      <w:pPr>
        <w:rPr>
          <w:rFonts w:ascii="Verdana" w:hAnsi="Verdana"/>
          <w:sz w:val="18"/>
          <w:szCs w:val="18"/>
        </w:rPr>
      </w:pPr>
      <w:hyperlink r:id="rId12" w:history="1">
        <w:r w:rsidR="002A10AB" w:rsidRPr="00545E88">
          <w:rPr>
            <w:rStyle w:val="Hyperlink"/>
            <w:rFonts w:ascii="Verdana" w:hAnsi="Verdana"/>
            <w:sz w:val="18"/>
            <w:szCs w:val="18"/>
          </w:rPr>
          <w:t>CYSTAT-DB</w:t>
        </w:r>
      </w:hyperlink>
      <w:r w:rsidR="002A10AB" w:rsidRPr="00545E88">
        <w:rPr>
          <w:rFonts w:ascii="Verdana" w:hAnsi="Verdana"/>
          <w:sz w:val="18"/>
          <w:szCs w:val="18"/>
        </w:rPr>
        <w:t xml:space="preserve"> (Online Database) </w:t>
      </w:r>
    </w:p>
    <w:p w14:paraId="18E635B7" w14:textId="3CF29AFF" w:rsidR="002A10AB" w:rsidRPr="00545E88" w:rsidRDefault="00285A73" w:rsidP="0009495F">
      <w:pPr>
        <w:jc w:val="both"/>
        <w:rPr>
          <w:rFonts w:ascii="Verdana" w:hAnsi="Verdana"/>
          <w:sz w:val="18"/>
          <w:szCs w:val="18"/>
        </w:rPr>
      </w:pPr>
      <w:hyperlink r:id="rId13" w:history="1">
        <w:r w:rsidR="002A10AB" w:rsidRPr="00545E88">
          <w:rPr>
            <w:rStyle w:val="Hyperlink"/>
            <w:rFonts w:ascii="Verdana" w:hAnsi="Verdana"/>
            <w:sz w:val="18"/>
            <w:szCs w:val="18"/>
          </w:rPr>
          <w:t>Predefined Tables</w:t>
        </w:r>
      </w:hyperlink>
      <w:r w:rsidR="002A10AB" w:rsidRPr="00545E88">
        <w:rPr>
          <w:rFonts w:ascii="Verdana" w:hAnsi="Verdana"/>
          <w:sz w:val="18"/>
          <w:szCs w:val="18"/>
        </w:rPr>
        <w:t xml:space="preserve"> (Excel)</w:t>
      </w:r>
    </w:p>
    <w:p w14:paraId="4230EDA5" w14:textId="599E1385" w:rsidR="00F12DF4" w:rsidRPr="00545E88" w:rsidRDefault="00285A73" w:rsidP="0009495F">
      <w:pPr>
        <w:jc w:val="both"/>
        <w:rPr>
          <w:rFonts w:ascii="Verdana" w:eastAsia="Malgun Gothic" w:hAnsi="Verdana" w:cs="Arial"/>
          <w:sz w:val="18"/>
          <w:szCs w:val="18"/>
        </w:rPr>
      </w:pPr>
      <w:hyperlink r:id="rId14" w:history="1">
        <w:r w:rsidR="00F12DF4"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32BE7D22" w14:textId="64CF6B54" w:rsidR="00CD39E3" w:rsidRPr="00AE6628" w:rsidRDefault="00CD39E3" w:rsidP="00CD39E3">
      <w:pPr>
        <w:jc w:val="both"/>
        <w:rPr>
          <w:rFonts w:ascii="Verdana" w:hAnsi="Verdana"/>
          <w:b/>
          <w:bCs/>
          <w:sz w:val="18"/>
          <w:szCs w:val="18"/>
        </w:rPr>
      </w:pPr>
      <w:r w:rsidRPr="00AE6628">
        <w:rPr>
          <w:rFonts w:ascii="Verdana" w:hAnsi="Verdana"/>
          <w:b/>
          <w:bCs/>
          <w:sz w:val="18"/>
          <w:szCs w:val="18"/>
        </w:rPr>
        <w:t xml:space="preserve">The Predefined Tables available in Excel </w:t>
      </w:r>
      <w:proofErr w:type="gramStart"/>
      <w:r w:rsidRPr="00AE6628">
        <w:rPr>
          <w:rFonts w:ascii="Verdana" w:hAnsi="Verdana"/>
          <w:b/>
          <w:bCs/>
          <w:sz w:val="18"/>
          <w:szCs w:val="18"/>
        </w:rPr>
        <w:t>format,</w:t>
      </w:r>
      <w:proofErr w:type="gramEnd"/>
      <w:r w:rsidRPr="00AE6628">
        <w:rPr>
          <w:rFonts w:ascii="Verdana" w:hAnsi="Verdana"/>
          <w:b/>
          <w:bCs/>
          <w:sz w:val="18"/>
          <w:szCs w:val="18"/>
        </w:rPr>
        <w:t xml:space="preserve"> include data up to December 2024. As of </w:t>
      </w:r>
      <w:r w:rsidR="00A10BD4">
        <w:rPr>
          <w:rFonts w:ascii="Verdana" w:hAnsi="Verdana"/>
          <w:b/>
          <w:bCs/>
          <w:sz w:val="18"/>
          <w:szCs w:val="18"/>
        </w:rPr>
        <w:t>January</w:t>
      </w:r>
      <w:r w:rsidRPr="00AE6628">
        <w:rPr>
          <w:rFonts w:ascii="Verdana" w:hAnsi="Verdana"/>
          <w:b/>
          <w:bCs/>
          <w:sz w:val="18"/>
          <w:szCs w:val="18"/>
        </w:rPr>
        <w:t xml:space="preserve"> 2025, data will only be available in the Online Database CYSTAT-DB.</w:t>
      </w:r>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52254998" w14:textId="3872FCC9"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35722602152, E-mail: </w:t>
      </w:r>
      <w:hyperlink r:id="rId15"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551E1" w14:textId="77777777" w:rsidR="00285A73" w:rsidRDefault="00285A73" w:rsidP="00FB398F">
      <w:r>
        <w:separator/>
      </w:r>
    </w:p>
  </w:endnote>
  <w:endnote w:type="continuationSeparator" w:id="0">
    <w:p w14:paraId="3F0C5102" w14:textId="77777777" w:rsidR="00285A73" w:rsidRDefault="00285A7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630A40">
      <w:rPr>
        <w:noProof/>
      </w:rPr>
      <w:t>2</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w:t>
    </w:r>
    <w:proofErr w:type="spellStart"/>
    <w:r w:rsidRPr="001D7CB0">
      <w:rPr>
        <w:rFonts w:ascii="Verdana" w:hAnsi="Verdana" w:cs="Arial"/>
        <w:sz w:val="16"/>
        <w:szCs w:val="16"/>
      </w:rPr>
      <w:t>Karaoli</w:t>
    </w:r>
    <w:proofErr w:type="spellEnd"/>
    <w:r w:rsidRPr="001D7CB0">
      <w:rPr>
        <w:rFonts w:ascii="Verdana" w:hAnsi="Verdana" w:cs="Arial"/>
        <w:sz w:val="16"/>
        <w:szCs w:val="16"/>
      </w:rPr>
      <w:t xml:space="preserve"> Str., 1444 Nicosia, Cyprus</w:t>
    </w:r>
  </w:p>
  <w:p w14:paraId="5BFB5428" w14:textId="53954C92" w:rsidR="0060256A" w:rsidRPr="001D7CB0" w:rsidRDefault="00122143"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 xml:space="preserve">E-mail: </w:t>
    </w:r>
    <w:hyperlink r:id="rId1" w:history="1">
      <w:r w:rsidR="0060256A" w:rsidRPr="001D7CB0">
        <w:rPr>
          <w:rStyle w:val="Hyperlink"/>
          <w:rFonts w:ascii="Verdana" w:hAnsi="Verdana" w:cs="Arial"/>
          <w:sz w:val="16"/>
          <w:szCs w:val="16"/>
          <w:lang w:val="pt-PT"/>
        </w:rPr>
        <w:t>enquiries@cystat.mof.gov.cy</w:t>
      </w:r>
    </w:hyperlink>
  </w:p>
  <w:p w14:paraId="53D85FE4" w14:textId="7EE9AA76" w:rsidR="004E4F42" w:rsidRPr="001D7CB0" w:rsidRDefault="0071675B"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Web </w:t>
    </w:r>
    <w:r w:rsidR="001D7CB0">
      <w:rPr>
        <w:rFonts w:ascii="Verdana" w:hAnsi="Verdana" w:cs="Arial"/>
        <w:sz w:val="16"/>
        <w:szCs w:val="16"/>
        <w:lang w:val="pt-PT"/>
      </w:rPr>
      <w:t>P</w:t>
    </w:r>
    <w:r w:rsidRPr="001D7CB0">
      <w:rPr>
        <w:rFonts w:ascii="Verdana" w:hAnsi="Verdana" w:cs="Arial"/>
        <w:sz w:val="16"/>
        <w:szCs w:val="16"/>
        <w:lang w:val="pt-PT"/>
      </w:rPr>
      <w:t xml:space="preserve">ortal: </w:t>
    </w:r>
    <w:hyperlink r:id="rId2" w:history="1">
      <w:r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87E06" w14:textId="77777777" w:rsidR="00285A73" w:rsidRDefault="00285A73" w:rsidP="00FB398F">
      <w:r>
        <w:separator/>
      </w:r>
    </w:p>
  </w:footnote>
  <w:footnote w:type="continuationSeparator" w:id="0">
    <w:p w14:paraId="24DD0994" w14:textId="77777777" w:rsidR="00285A73" w:rsidRDefault="00285A73"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033C"/>
    <w:rsid w:val="00000C19"/>
    <w:rsid w:val="00001A84"/>
    <w:rsid w:val="00002C89"/>
    <w:rsid w:val="00004F86"/>
    <w:rsid w:val="0000542E"/>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4E72"/>
    <w:rsid w:val="000D1E7A"/>
    <w:rsid w:val="000D28B8"/>
    <w:rsid w:val="000D4579"/>
    <w:rsid w:val="000D77AF"/>
    <w:rsid w:val="000E24B1"/>
    <w:rsid w:val="000E2735"/>
    <w:rsid w:val="000E32D6"/>
    <w:rsid w:val="000E57F2"/>
    <w:rsid w:val="000E72A7"/>
    <w:rsid w:val="000E783F"/>
    <w:rsid w:val="000F1162"/>
    <w:rsid w:val="000F3467"/>
    <w:rsid w:val="000F38DE"/>
    <w:rsid w:val="000F5D6C"/>
    <w:rsid w:val="000F62F7"/>
    <w:rsid w:val="000F726D"/>
    <w:rsid w:val="00104020"/>
    <w:rsid w:val="00105CAC"/>
    <w:rsid w:val="00106852"/>
    <w:rsid w:val="00107C54"/>
    <w:rsid w:val="00110F9D"/>
    <w:rsid w:val="00114A67"/>
    <w:rsid w:val="0011618B"/>
    <w:rsid w:val="001220F7"/>
    <w:rsid w:val="00122143"/>
    <w:rsid w:val="001253B6"/>
    <w:rsid w:val="0012704C"/>
    <w:rsid w:val="00127320"/>
    <w:rsid w:val="00127456"/>
    <w:rsid w:val="00127F07"/>
    <w:rsid w:val="001312D8"/>
    <w:rsid w:val="0013137B"/>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FC1"/>
    <w:rsid w:val="00172858"/>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7D1E"/>
    <w:rsid w:val="00210B58"/>
    <w:rsid w:val="00213CB4"/>
    <w:rsid w:val="0021438A"/>
    <w:rsid w:val="00216634"/>
    <w:rsid w:val="00217784"/>
    <w:rsid w:val="00221467"/>
    <w:rsid w:val="00222423"/>
    <w:rsid w:val="00225B28"/>
    <w:rsid w:val="0023136D"/>
    <w:rsid w:val="002313AC"/>
    <w:rsid w:val="00231DE5"/>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241D"/>
    <w:rsid w:val="0026464D"/>
    <w:rsid w:val="00264F04"/>
    <w:rsid w:val="00266BDB"/>
    <w:rsid w:val="00267554"/>
    <w:rsid w:val="0027122D"/>
    <w:rsid w:val="00271283"/>
    <w:rsid w:val="00274AF5"/>
    <w:rsid w:val="00274D97"/>
    <w:rsid w:val="00277866"/>
    <w:rsid w:val="00280D82"/>
    <w:rsid w:val="00282CDD"/>
    <w:rsid w:val="0028338F"/>
    <w:rsid w:val="002853FB"/>
    <w:rsid w:val="00285874"/>
    <w:rsid w:val="00285A73"/>
    <w:rsid w:val="00285C24"/>
    <w:rsid w:val="002915C4"/>
    <w:rsid w:val="00291BC1"/>
    <w:rsid w:val="00293E23"/>
    <w:rsid w:val="002A10AB"/>
    <w:rsid w:val="002A1D1C"/>
    <w:rsid w:val="002A3F2E"/>
    <w:rsid w:val="002A4D64"/>
    <w:rsid w:val="002A6FD2"/>
    <w:rsid w:val="002B60DA"/>
    <w:rsid w:val="002B6554"/>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400C"/>
    <w:rsid w:val="002F4D76"/>
    <w:rsid w:val="002F6D26"/>
    <w:rsid w:val="0030231E"/>
    <w:rsid w:val="003037B3"/>
    <w:rsid w:val="00303A9A"/>
    <w:rsid w:val="003042C4"/>
    <w:rsid w:val="003043A3"/>
    <w:rsid w:val="00304CB4"/>
    <w:rsid w:val="0030761C"/>
    <w:rsid w:val="00310757"/>
    <w:rsid w:val="00312BBF"/>
    <w:rsid w:val="00313F37"/>
    <w:rsid w:val="003141D0"/>
    <w:rsid w:val="003168C1"/>
    <w:rsid w:val="00316B56"/>
    <w:rsid w:val="00321A00"/>
    <w:rsid w:val="00322FBE"/>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54F5"/>
    <w:rsid w:val="00386FC7"/>
    <w:rsid w:val="00390A32"/>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F49E4"/>
    <w:rsid w:val="003F4D2F"/>
    <w:rsid w:val="003F5C7B"/>
    <w:rsid w:val="003F5E32"/>
    <w:rsid w:val="003F6019"/>
    <w:rsid w:val="003F74B1"/>
    <w:rsid w:val="003F75F6"/>
    <w:rsid w:val="00402789"/>
    <w:rsid w:val="00404670"/>
    <w:rsid w:val="00405502"/>
    <w:rsid w:val="00406E59"/>
    <w:rsid w:val="00413035"/>
    <w:rsid w:val="00414CA0"/>
    <w:rsid w:val="00414E19"/>
    <w:rsid w:val="00422F54"/>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51813"/>
    <w:rsid w:val="0055304C"/>
    <w:rsid w:val="00555FFA"/>
    <w:rsid w:val="0055624D"/>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78D4"/>
    <w:rsid w:val="005A077E"/>
    <w:rsid w:val="005A5ABB"/>
    <w:rsid w:val="005A6736"/>
    <w:rsid w:val="005A74AA"/>
    <w:rsid w:val="005A7CB0"/>
    <w:rsid w:val="005B18E2"/>
    <w:rsid w:val="005B2A67"/>
    <w:rsid w:val="005B3DCD"/>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0A40"/>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51D4B"/>
    <w:rsid w:val="00652C22"/>
    <w:rsid w:val="006537BB"/>
    <w:rsid w:val="00655D70"/>
    <w:rsid w:val="0065711B"/>
    <w:rsid w:val="00657CE3"/>
    <w:rsid w:val="006613EB"/>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3A91"/>
    <w:rsid w:val="006E4256"/>
    <w:rsid w:val="006E4BBA"/>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241"/>
    <w:rsid w:val="00783757"/>
    <w:rsid w:val="007838EC"/>
    <w:rsid w:val="00784BDC"/>
    <w:rsid w:val="00784C19"/>
    <w:rsid w:val="00784EC0"/>
    <w:rsid w:val="007904E2"/>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373F"/>
    <w:rsid w:val="008641E3"/>
    <w:rsid w:val="008647A2"/>
    <w:rsid w:val="00866272"/>
    <w:rsid w:val="0086692C"/>
    <w:rsid w:val="00867186"/>
    <w:rsid w:val="00867C29"/>
    <w:rsid w:val="00870AF6"/>
    <w:rsid w:val="00877B94"/>
    <w:rsid w:val="00877E9C"/>
    <w:rsid w:val="00881268"/>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B0E7E"/>
    <w:rsid w:val="008B4B91"/>
    <w:rsid w:val="008B5FE2"/>
    <w:rsid w:val="008B5FF0"/>
    <w:rsid w:val="008B65BD"/>
    <w:rsid w:val="008B7900"/>
    <w:rsid w:val="008C119E"/>
    <w:rsid w:val="008C2BCD"/>
    <w:rsid w:val="008C4A21"/>
    <w:rsid w:val="008C71BF"/>
    <w:rsid w:val="008C7398"/>
    <w:rsid w:val="008C7FE0"/>
    <w:rsid w:val="008D4CC8"/>
    <w:rsid w:val="008D53EA"/>
    <w:rsid w:val="008D5717"/>
    <w:rsid w:val="008E029D"/>
    <w:rsid w:val="008E1A44"/>
    <w:rsid w:val="008E2410"/>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754"/>
    <w:rsid w:val="00931164"/>
    <w:rsid w:val="009336B9"/>
    <w:rsid w:val="009348FF"/>
    <w:rsid w:val="00934F68"/>
    <w:rsid w:val="009355AC"/>
    <w:rsid w:val="009355B6"/>
    <w:rsid w:val="00935933"/>
    <w:rsid w:val="00935F38"/>
    <w:rsid w:val="00936A14"/>
    <w:rsid w:val="00937586"/>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7549"/>
    <w:rsid w:val="00992209"/>
    <w:rsid w:val="009930CD"/>
    <w:rsid w:val="00993E29"/>
    <w:rsid w:val="00996FC5"/>
    <w:rsid w:val="009A0F55"/>
    <w:rsid w:val="009A19EA"/>
    <w:rsid w:val="009A2D24"/>
    <w:rsid w:val="009A456C"/>
    <w:rsid w:val="009A4B24"/>
    <w:rsid w:val="009B00E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E9E"/>
    <w:rsid w:val="00A21029"/>
    <w:rsid w:val="00A260A8"/>
    <w:rsid w:val="00A26BA5"/>
    <w:rsid w:val="00A312E0"/>
    <w:rsid w:val="00A33875"/>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6D42"/>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B99"/>
    <w:rsid w:val="00AD28E8"/>
    <w:rsid w:val="00AD2DFA"/>
    <w:rsid w:val="00AD35A7"/>
    <w:rsid w:val="00AD553E"/>
    <w:rsid w:val="00AD5848"/>
    <w:rsid w:val="00AD5A5E"/>
    <w:rsid w:val="00AD65E2"/>
    <w:rsid w:val="00AE2841"/>
    <w:rsid w:val="00AE400F"/>
    <w:rsid w:val="00AE57E5"/>
    <w:rsid w:val="00AE5ADA"/>
    <w:rsid w:val="00AE7A51"/>
    <w:rsid w:val="00AF4867"/>
    <w:rsid w:val="00AF6145"/>
    <w:rsid w:val="00AF62D4"/>
    <w:rsid w:val="00AF6F1D"/>
    <w:rsid w:val="00AF7A91"/>
    <w:rsid w:val="00B01386"/>
    <w:rsid w:val="00B01BB5"/>
    <w:rsid w:val="00B02CD0"/>
    <w:rsid w:val="00B0324F"/>
    <w:rsid w:val="00B042F0"/>
    <w:rsid w:val="00B04886"/>
    <w:rsid w:val="00B04AF4"/>
    <w:rsid w:val="00B05214"/>
    <w:rsid w:val="00B0736F"/>
    <w:rsid w:val="00B07803"/>
    <w:rsid w:val="00B1297E"/>
    <w:rsid w:val="00B2160A"/>
    <w:rsid w:val="00B30D97"/>
    <w:rsid w:val="00B31738"/>
    <w:rsid w:val="00B3181A"/>
    <w:rsid w:val="00B35A7C"/>
    <w:rsid w:val="00B36372"/>
    <w:rsid w:val="00B44FEE"/>
    <w:rsid w:val="00B450D1"/>
    <w:rsid w:val="00B50F5C"/>
    <w:rsid w:val="00B529F2"/>
    <w:rsid w:val="00B5318F"/>
    <w:rsid w:val="00B53D47"/>
    <w:rsid w:val="00B54A25"/>
    <w:rsid w:val="00B6005B"/>
    <w:rsid w:val="00B618C3"/>
    <w:rsid w:val="00B63652"/>
    <w:rsid w:val="00B668B0"/>
    <w:rsid w:val="00B70F5C"/>
    <w:rsid w:val="00B71873"/>
    <w:rsid w:val="00B7375D"/>
    <w:rsid w:val="00B74775"/>
    <w:rsid w:val="00B75AE5"/>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276E"/>
    <w:rsid w:val="00BB3FEE"/>
    <w:rsid w:val="00BB4AFD"/>
    <w:rsid w:val="00BB5EB0"/>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C5C"/>
    <w:rsid w:val="00CA0613"/>
    <w:rsid w:val="00CA148E"/>
    <w:rsid w:val="00CA300C"/>
    <w:rsid w:val="00CA3A9A"/>
    <w:rsid w:val="00CA6446"/>
    <w:rsid w:val="00CB0960"/>
    <w:rsid w:val="00CB1A92"/>
    <w:rsid w:val="00CB637A"/>
    <w:rsid w:val="00CB6BC1"/>
    <w:rsid w:val="00CB7021"/>
    <w:rsid w:val="00CC63A6"/>
    <w:rsid w:val="00CD1BB4"/>
    <w:rsid w:val="00CD3294"/>
    <w:rsid w:val="00CD39E3"/>
    <w:rsid w:val="00CD4524"/>
    <w:rsid w:val="00CD5562"/>
    <w:rsid w:val="00CD784D"/>
    <w:rsid w:val="00CD7D8F"/>
    <w:rsid w:val="00CD7FE1"/>
    <w:rsid w:val="00CE0405"/>
    <w:rsid w:val="00CE0AFE"/>
    <w:rsid w:val="00CE20B6"/>
    <w:rsid w:val="00CE2D08"/>
    <w:rsid w:val="00CF1753"/>
    <w:rsid w:val="00CF1C79"/>
    <w:rsid w:val="00CF40F8"/>
    <w:rsid w:val="00CF7463"/>
    <w:rsid w:val="00D008DA"/>
    <w:rsid w:val="00D01229"/>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90E33"/>
    <w:rsid w:val="00DA4966"/>
    <w:rsid w:val="00DA4A21"/>
    <w:rsid w:val="00DA66BE"/>
    <w:rsid w:val="00DA77DB"/>
    <w:rsid w:val="00DB5B14"/>
    <w:rsid w:val="00DB72D3"/>
    <w:rsid w:val="00DC23CF"/>
    <w:rsid w:val="00DC2B85"/>
    <w:rsid w:val="00DC35AE"/>
    <w:rsid w:val="00DC6562"/>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5066A"/>
    <w:rsid w:val="00E52581"/>
    <w:rsid w:val="00E529C7"/>
    <w:rsid w:val="00E52CF9"/>
    <w:rsid w:val="00E55970"/>
    <w:rsid w:val="00E60371"/>
    <w:rsid w:val="00E628F6"/>
    <w:rsid w:val="00E63F34"/>
    <w:rsid w:val="00E66BFF"/>
    <w:rsid w:val="00E6715A"/>
    <w:rsid w:val="00E67E94"/>
    <w:rsid w:val="00E75DC9"/>
    <w:rsid w:val="00E81610"/>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n/KeyFiguresList?s=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ystatdb23px.cystat.gov.cy/pxweb/en/8.CYSTAT-DB/8.CYSTAT-DB__Tourism__"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n/SubthemeStatistics?s=51" TargetMode="External"/><Relationship Id="rId5" Type="http://schemas.openxmlformats.org/officeDocument/2006/relationships/settings" Target="settings.xml"/><Relationship Id="rId15" Type="http://schemas.openxmlformats.org/officeDocument/2006/relationships/hyperlink" Target="mailto:lpanagidou@cystat.mof.gov.cy"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ystat.gov.cy/en/MethodologicalDetails?m=2172"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5.png"/><Relationship Id="rId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CD5E3-4D5D-4BA1-BA9B-BBEBAE32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4757</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531</cp:revision>
  <cp:lastPrinted>2025-09-17T07:11:00Z</cp:lastPrinted>
  <dcterms:created xsi:type="dcterms:W3CDTF">2022-06-09T08:02:00Z</dcterms:created>
  <dcterms:modified xsi:type="dcterms:W3CDTF">2025-10-17T07:22:00Z</dcterms:modified>
</cp:coreProperties>
</file>