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2A5E" w14:textId="77777777" w:rsidR="002A10AB" w:rsidRDefault="002A10AB" w:rsidP="002A10AB">
      <w:pPr>
        <w:jc w:val="right"/>
      </w:pPr>
    </w:p>
    <w:p w14:paraId="78EA376C" w14:textId="77777777" w:rsidR="002A10AB" w:rsidRDefault="002A10AB" w:rsidP="00D65191">
      <w:pPr>
        <w:jc w:val="both"/>
      </w:pPr>
    </w:p>
    <w:p w14:paraId="2A6EC9E3" w14:textId="77777777" w:rsidR="002A10AB" w:rsidRDefault="002A10AB" w:rsidP="002A10AB">
      <w:pPr>
        <w:jc w:val="right"/>
      </w:pPr>
    </w:p>
    <w:p w14:paraId="00772FE7" w14:textId="77777777" w:rsidR="002A10AB" w:rsidRDefault="002A10AB" w:rsidP="002A10AB">
      <w:pPr>
        <w:jc w:val="right"/>
      </w:pPr>
    </w:p>
    <w:p w14:paraId="749696B5" w14:textId="38848EFC" w:rsidR="002A10AB" w:rsidRDefault="00AF6F1D" w:rsidP="002A10AB">
      <w:pPr>
        <w:jc w:val="right"/>
        <w:rPr>
          <w:rFonts w:eastAsia="Malgun Gothic"/>
        </w:rPr>
      </w:pPr>
      <w:r w:rsidRPr="00032A4E">
        <w:t>19</w:t>
      </w:r>
      <w:r w:rsidR="002A10AB">
        <w:t xml:space="preserve"> </w:t>
      </w:r>
      <w:r>
        <w:t>September</w:t>
      </w:r>
      <w:r w:rsidR="002A10AB">
        <w:rPr>
          <w:rFonts w:eastAsia="Malgun Gothic"/>
        </w:rPr>
        <w:t>, 2022</w:t>
      </w:r>
    </w:p>
    <w:p w14:paraId="50208800" w14:textId="77777777" w:rsidR="002A10AB" w:rsidRDefault="002A10AB" w:rsidP="002A10AB">
      <w:pPr>
        <w:jc w:val="both"/>
        <w:rPr>
          <w:rFonts w:ascii="Arial" w:hAnsi="Arial" w:cs="Arial"/>
          <w:sz w:val="18"/>
          <w:szCs w:val="18"/>
        </w:rPr>
      </w:pPr>
    </w:p>
    <w:p w14:paraId="0B0E57B9" w14:textId="77777777" w:rsidR="002A10AB" w:rsidRDefault="002A10AB" w:rsidP="002A10AB">
      <w:pPr>
        <w:jc w:val="center"/>
        <w:rPr>
          <w:rFonts w:ascii="Verdana" w:eastAsia="Malgun Gothic" w:hAnsi="Verdana" w:cs="Arial"/>
          <w:b/>
          <w:sz w:val="24"/>
          <w:szCs w:val="24"/>
        </w:rPr>
      </w:pPr>
    </w:p>
    <w:p w14:paraId="40480104" w14:textId="77777777" w:rsidR="002A10AB" w:rsidRDefault="002A10AB" w:rsidP="002A10AB">
      <w:pPr>
        <w:jc w:val="center"/>
        <w:rPr>
          <w:rFonts w:ascii="Verdana" w:eastAsia="Malgun Gothic" w:hAnsi="Verdana" w:cs="Arial"/>
          <w:b/>
          <w:sz w:val="24"/>
          <w:szCs w:val="24"/>
        </w:rPr>
      </w:pPr>
      <w:r>
        <w:rPr>
          <w:rFonts w:ascii="Verdana" w:eastAsia="Malgun Gothic" w:hAnsi="Verdana" w:cs="Arial"/>
          <w:b/>
          <w:sz w:val="24"/>
          <w:szCs w:val="24"/>
        </w:rPr>
        <w:t>PRESS RELEASE</w:t>
      </w:r>
    </w:p>
    <w:p w14:paraId="255BC1C2" w14:textId="77777777" w:rsidR="002A10AB" w:rsidRDefault="002A10AB" w:rsidP="002A10AB">
      <w:pPr>
        <w:rPr>
          <w:rFonts w:ascii="Verdana" w:eastAsia="Malgun Gothic" w:hAnsi="Verdana" w:cs="Arial"/>
        </w:rPr>
      </w:pPr>
    </w:p>
    <w:p w14:paraId="4C24F802" w14:textId="77777777" w:rsidR="002A10AB" w:rsidRDefault="002A10AB" w:rsidP="002A10AB">
      <w:pPr>
        <w:rPr>
          <w:rFonts w:ascii="Verdana" w:eastAsia="Malgun Gothic" w:hAnsi="Verdana" w:cs="Arial"/>
        </w:rPr>
      </w:pPr>
    </w:p>
    <w:p w14:paraId="414B37F9" w14:textId="1FCD8A71" w:rsidR="002A10AB" w:rsidRDefault="002A10AB" w:rsidP="002A10AB">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 xml:space="preserve">TOURIST ARRIVALS: </w:t>
      </w:r>
      <w:r w:rsidR="00AF6F1D">
        <w:rPr>
          <w:rFonts w:ascii="Verdana" w:eastAsia="Malgun Gothic" w:hAnsi="Verdana" w:cs="Arial"/>
          <w:szCs w:val="22"/>
          <w:lang w:val="en-US"/>
        </w:rPr>
        <w:t>AUGUST</w:t>
      </w:r>
      <w:r>
        <w:rPr>
          <w:rFonts w:ascii="Verdana" w:eastAsia="Malgun Gothic" w:hAnsi="Verdana" w:cs="Arial"/>
          <w:szCs w:val="22"/>
          <w:lang w:val="en-US"/>
        </w:rPr>
        <w:t xml:space="preserve"> 2022</w:t>
      </w:r>
    </w:p>
    <w:p w14:paraId="7DAF1DBA" w14:textId="17AF48B7" w:rsidR="002A10AB" w:rsidRDefault="002A10AB" w:rsidP="002A10AB">
      <w:pPr>
        <w:rPr>
          <w:rFonts w:ascii="Verdana" w:eastAsia="Malgun Gothic" w:hAnsi="Verdana" w:cs="Arial"/>
        </w:rPr>
      </w:pPr>
    </w:p>
    <w:p w14:paraId="3A856062" w14:textId="77777777" w:rsidR="0055624D" w:rsidRDefault="0055624D" w:rsidP="002A10AB">
      <w:pPr>
        <w:rPr>
          <w:rFonts w:ascii="Verdana" w:eastAsia="Malgun Gothic" w:hAnsi="Verdana" w:cs="Arial"/>
        </w:rPr>
      </w:pPr>
    </w:p>
    <w:p w14:paraId="43B6FBF1" w14:textId="26282673" w:rsidR="0055624D" w:rsidRPr="00F04C59" w:rsidRDefault="0055624D" w:rsidP="0055624D">
      <w:pPr>
        <w:tabs>
          <w:tab w:val="left" w:pos="1080"/>
          <w:tab w:val="left" w:pos="6840"/>
        </w:tabs>
        <w:jc w:val="center"/>
        <w:rPr>
          <w:rFonts w:ascii="Verdana" w:eastAsia="Malgun Gothic" w:hAnsi="Verdana" w:cs="Arial"/>
          <w:b/>
        </w:rPr>
      </w:pPr>
      <w:r w:rsidRPr="00F04C59">
        <w:rPr>
          <w:rFonts w:ascii="Verdana" w:eastAsia="Malgun Gothic" w:hAnsi="Verdana" w:cs="Arial"/>
          <w:b/>
        </w:rPr>
        <w:t xml:space="preserve">Tourist Arrivals </w:t>
      </w:r>
      <w:bookmarkStart w:id="0" w:name="_Hlk108614630"/>
      <w:r w:rsidR="00032A4E">
        <w:rPr>
          <w:rFonts w:ascii="Verdana" w:eastAsia="Malgun Gothic" w:hAnsi="Verdana" w:cs="Arial"/>
          <w:b/>
        </w:rPr>
        <w:t>40</w:t>
      </w:r>
      <w:r w:rsidR="00D60B79" w:rsidRPr="00D60B79">
        <w:rPr>
          <w:rFonts w:ascii="Verdana" w:eastAsia="Malgun Gothic" w:hAnsi="Verdana" w:cs="Arial"/>
          <w:b/>
        </w:rPr>
        <w:t>,</w:t>
      </w:r>
      <w:bookmarkEnd w:id="0"/>
      <w:r w:rsidR="00032A4E">
        <w:rPr>
          <w:rFonts w:ascii="Verdana" w:eastAsia="Malgun Gothic" w:hAnsi="Verdana" w:cs="Arial"/>
          <w:b/>
        </w:rPr>
        <w:t>2</w:t>
      </w:r>
      <w:r w:rsidRPr="00F04C59">
        <w:rPr>
          <w:rFonts w:ascii="Verdana" w:eastAsia="Malgun Gothic" w:hAnsi="Verdana" w:cs="Arial"/>
          <w:b/>
        </w:rPr>
        <w:t>%</w:t>
      </w:r>
    </w:p>
    <w:p w14:paraId="5DEC154E" w14:textId="77777777" w:rsidR="0055624D" w:rsidRPr="00F04C59" w:rsidRDefault="0055624D" w:rsidP="0055624D">
      <w:pPr>
        <w:tabs>
          <w:tab w:val="left" w:pos="1080"/>
          <w:tab w:val="left" w:pos="6840"/>
        </w:tabs>
        <w:jc w:val="both"/>
        <w:rPr>
          <w:rFonts w:ascii="Arial" w:hAnsi="Arial" w:cs="Arial"/>
          <w:sz w:val="20"/>
          <w:szCs w:val="20"/>
        </w:rPr>
      </w:pPr>
    </w:p>
    <w:p w14:paraId="42145358" w14:textId="77777777" w:rsidR="002A10AB" w:rsidRPr="00F04C59" w:rsidRDefault="002A10AB" w:rsidP="002A10AB">
      <w:pPr>
        <w:tabs>
          <w:tab w:val="left" w:pos="1080"/>
          <w:tab w:val="left" w:pos="6840"/>
        </w:tabs>
        <w:jc w:val="center"/>
        <w:rPr>
          <w:rFonts w:ascii="Verdana" w:eastAsia="Malgun Gothic" w:hAnsi="Verdana" w:cs="Arial"/>
          <w:b/>
          <w:sz w:val="18"/>
          <w:szCs w:val="18"/>
        </w:rPr>
      </w:pPr>
    </w:p>
    <w:p w14:paraId="20CE2AAA" w14:textId="77777777" w:rsidR="002A10AB" w:rsidRPr="00F04C59" w:rsidRDefault="002A10AB" w:rsidP="002A10AB">
      <w:pPr>
        <w:tabs>
          <w:tab w:val="left" w:pos="1080"/>
          <w:tab w:val="left" w:pos="6840"/>
        </w:tabs>
        <w:jc w:val="both"/>
        <w:rPr>
          <w:rFonts w:ascii="Arial" w:hAnsi="Arial" w:cs="Arial"/>
          <w:sz w:val="20"/>
          <w:szCs w:val="20"/>
        </w:rPr>
      </w:pPr>
    </w:p>
    <w:p w14:paraId="2047917A" w14:textId="64842E7B" w:rsidR="002A10AB" w:rsidRPr="00F04C59" w:rsidRDefault="0055624D" w:rsidP="0055624D">
      <w:pPr>
        <w:pStyle w:val="BodyText"/>
        <w:ind w:right="176"/>
        <w:rPr>
          <w:rFonts w:ascii="Verdana" w:eastAsia="Malgun Gothic" w:hAnsi="Verdana"/>
          <w:sz w:val="18"/>
          <w:szCs w:val="18"/>
          <w:lang w:val="en-US"/>
        </w:rPr>
      </w:pPr>
      <w:r w:rsidRPr="00F04C59">
        <w:rPr>
          <w:rFonts w:ascii="Verdana" w:eastAsia="Malgun Gothic" w:hAnsi="Verdana"/>
          <w:sz w:val="18"/>
          <w:szCs w:val="18"/>
          <w:lang w:val="en-US"/>
        </w:rPr>
        <w:t xml:space="preserve">The arrivals of tourists reached </w:t>
      </w:r>
      <w:r w:rsidR="00AF6F1D" w:rsidRPr="00AF6F1D">
        <w:rPr>
          <w:rFonts w:ascii="Verdana" w:eastAsia="Malgun Gothic" w:hAnsi="Verdana"/>
          <w:sz w:val="18"/>
          <w:szCs w:val="18"/>
          <w:lang w:val="en-US"/>
        </w:rPr>
        <w:t>451.133</w:t>
      </w:r>
      <w:r w:rsidRPr="00F04C59">
        <w:rPr>
          <w:rFonts w:ascii="Verdana" w:eastAsia="Malgun Gothic" w:hAnsi="Verdana"/>
          <w:sz w:val="18"/>
          <w:szCs w:val="18"/>
          <w:lang w:val="en-US"/>
        </w:rPr>
        <w:t xml:space="preserve"> in </w:t>
      </w:r>
      <w:r w:rsidR="00AF6F1D">
        <w:rPr>
          <w:rFonts w:ascii="Verdana" w:eastAsia="Malgun Gothic" w:hAnsi="Verdana"/>
          <w:sz w:val="18"/>
          <w:szCs w:val="18"/>
          <w:lang w:val="en-US"/>
        </w:rPr>
        <w:t>August</w:t>
      </w:r>
      <w:r w:rsidRPr="00F04C59">
        <w:rPr>
          <w:rFonts w:ascii="Verdana" w:eastAsia="Malgun Gothic" w:hAnsi="Verdana"/>
          <w:sz w:val="18"/>
          <w:szCs w:val="18"/>
          <w:lang w:val="en-US"/>
        </w:rPr>
        <w:t xml:space="preserve"> 2022 compared to </w:t>
      </w:r>
      <w:r w:rsidR="00AF6F1D" w:rsidRPr="00AF6F1D">
        <w:rPr>
          <w:rFonts w:ascii="Verdana" w:eastAsia="Malgun Gothic" w:hAnsi="Verdana"/>
          <w:sz w:val="18"/>
          <w:szCs w:val="18"/>
          <w:lang w:val="en-US"/>
        </w:rPr>
        <w:t>321.858</w:t>
      </w:r>
      <w:r w:rsidRPr="00F04C59">
        <w:rPr>
          <w:rFonts w:ascii="Verdana" w:eastAsia="Malgun Gothic" w:hAnsi="Verdana"/>
          <w:sz w:val="18"/>
          <w:szCs w:val="18"/>
          <w:lang w:val="en-US"/>
        </w:rPr>
        <w:t xml:space="preserve"> in </w:t>
      </w:r>
      <w:r w:rsidR="00AF6F1D">
        <w:rPr>
          <w:rFonts w:ascii="Verdana" w:eastAsia="Malgun Gothic" w:hAnsi="Verdana"/>
          <w:sz w:val="18"/>
          <w:szCs w:val="18"/>
          <w:lang w:val="en-US"/>
        </w:rPr>
        <w:t>August</w:t>
      </w:r>
      <w:r w:rsidRPr="00F04C59">
        <w:rPr>
          <w:rFonts w:ascii="Verdana" w:eastAsia="Malgun Gothic" w:hAnsi="Verdana"/>
          <w:sz w:val="18"/>
          <w:szCs w:val="18"/>
          <w:lang w:val="en-US"/>
        </w:rPr>
        <w:t xml:space="preserve"> 2021, recording an increase of </w:t>
      </w:r>
      <w:r w:rsidR="00AF6F1D">
        <w:rPr>
          <w:rFonts w:ascii="Verdana" w:eastAsia="Malgun Gothic" w:hAnsi="Verdana"/>
          <w:sz w:val="18"/>
          <w:szCs w:val="18"/>
          <w:lang w:val="en-US"/>
        </w:rPr>
        <w:t>40</w:t>
      </w:r>
      <w:r w:rsidRPr="00F04C59">
        <w:rPr>
          <w:rFonts w:ascii="Verdana" w:eastAsia="Malgun Gothic" w:hAnsi="Verdana"/>
          <w:sz w:val="18"/>
          <w:szCs w:val="18"/>
          <w:lang w:val="en-US"/>
        </w:rPr>
        <w:t>,</w:t>
      </w:r>
      <w:r w:rsidR="00AF6F1D">
        <w:rPr>
          <w:rFonts w:ascii="Verdana" w:eastAsia="Malgun Gothic" w:hAnsi="Verdana"/>
          <w:sz w:val="18"/>
          <w:szCs w:val="18"/>
          <w:lang w:val="en-US"/>
        </w:rPr>
        <w:t>2</w:t>
      </w:r>
      <w:r w:rsidRPr="00F04C59">
        <w:rPr>
          <w:rFonts w:ascii="Verdana" w:eastAsia="Malgun Gothic" w:hAnsi="Verdana"/>
          <w:sz w:val="18"/>
          <w:szCs w:val="18"/>
          <w:lang w:val="en-US"/>
        </w:rPr>
        <w:t xml:space="preserve">%. </w:t>
      </w:r>
    </w:p>
    <w:p w14:paraId="74A4C75D" w14:textId="77777777" w:rsidR="002A10AB" w:rsidRPr="00F04C59" w:rsidRDefault="002A10AB" w:rsidP="002A10AB">
      <w:pPr>
        <w:pStyle w:val="BodyText"/>
        <w:ind w:right="176"/>
        <w:rPr>
          <w:rFonts w:ascii="Verdana" w:eastAsia="Malgun Gothic" w:hAnsi="Verdana"/>
          <w:sz w:val="18"/>
          <w:szCs w:val="18"/>
          <w:lang w:val="en-US"/>
        </w:rPr>
      </w:pPr>
      <w:r w:rsidRPr="00F04C59">
        <w:rPr>
          <w:rFonts w:ascii="Verdana" w:eastAsia="Malgun Gothic" w:hAnsi="Verdana"/>
          <w:sz w:val="18"/>
          <w:szCs w:val="18"/>
          <w:lang w:val="en-US"/>
        </w:rPr>
        <w:t xml:space="preserve"> </w:t>
      </w:r>
    </w:p>
    <w:p w14:paraId="70813703" w14:textId="26D218C8" w:rsidR="002A10AB" w:rsidRDefault="002A10AB" w:rsidP="002A10AB">
      <w:pPr>
        <w:pStyle w:val="BodyText"/>
        <w:ind w:right="176"/>
        <w:rPr>
          <w:rFonts w:ascii="Verdana" w:eastAsia="Malgun Gothic" w:hAnsi="Verdana"/>
          <w:sz w:val="18"/>
          <w:szCs w:val="18"/>
          <w:lang w:val="en-US"/>
        </w:rPr>
      </w:pPr>
      <w:r w:rsidRPr="00F04C59">
        <w:rPr>
          <w:rFonts w:ascii="Verdana" w:eastAsia="Malgun Gothic" w:hAnsi="Verdana"/>
          <w:sz w:val="18"/>
          <w:szCs w:val="18"/>
          <w:lang w:val="en-US"/>
        </w:rPr>
        <w:t xml:space="preserve">For the period of January – </w:t>
      </w:r>
      <w:r w:rsidR="00AF6F1D">
        <w:rPr>
          <w:rFonts w:ascii="Verdana" w:eastAsia="Malgun Gothic" w:hAnsi="Verdana"/>
          <w:sz w:val="18"/>
          <w:szCs w:val="18"/>
          <w:lang w:val="en-US"/>
        </w:rPr>
        <w:t>August</w:t>
      </w:r>
      <w:r w:rsidRPr="00F04C59">
        <w:rPr>
          <w:rFonts w:ascii="Verdana" w:eastAsia="Malgun Gothic" w:hAnsi="Verdana"/>
          <w:sz w:val="18"/>
          <w:szCs w:val="18"/>
          <w:lang w:val="en-US"/>
        </w:rPr>
        <w:t xml:space="preserve"> 2022, arrivals of tourists totaled </w:t>
      </w:r>
      <w:r w:rsidR="00AF6F1D" w:rsidRPr="00AF6F1D">
        <w:rPr>
          <w:rFonts w:ascii="Verdana" w:eastAsia="Malgun Gothic" w:hAnsi="Verdana"/>
          <w:sz w:val="18"/>
          <w:szCs w:val="18"/>
          <w:lang w:val="en-US"/>
        </w:rPr>
        <w:t>2.127.172</w:t>
      </w:r>
      <w:r w:rsidRPr="00F04C59">
        <w:rPr>
          <w:rFonts w:ascii="Verdana" w:eastAsia="Malgun Gothic" w:hAnsi="Verdana"/>
          <w:sz w:val="18"/>
          <w:szCs w:val="18"/>
          <w:lang w:val="en-US"/>
        </w:rPr>
        <w:t xml:space="preserve"> compared to </w:t>
      </w:r>
      <w:r w:rsidR="00AF6F1D" w:rsidRPr="00AF6F1D">
        <w:rPr>
          <w:rFonts w:ascii="Verdana" w:eastAsia="Malgun Gothic" w:hAnsi="Verdana"/>
          <w:sz w:val="18"/>
          <w:szCs w:val="18"/>
          <w:lang w:val="en-US"/>
        </w:rPr>
        <w:t>960.150</w:t>
      </w:r>
      <w:r w:rsidRPr="00F04C59">
        <w:rPr>
          <w:rFonts w:ascii="Verdana" w:eastAsia="Malgun Gothic" w:hAnsi="Verdana"/>
          <w:sz w:val="18"/>
          <w:szCs w:val="18"/>
          <w:lang w:val="en-US"/>
        </w:rPr>
        <w:t xml:space="preserve"> in the corresponding period of 2021, </w:t>
      </w:r>
      <w:r w:rsidR="00AF6F1D" w:rsidRPr="00AF6F1D">
        <w:rPr>
          <w:rFonts w:ascii="Verdana" w:eastAsia="Malgun Gothic" w:hAnsi="Verdana"/>
          <w:sz w:val="18"/>
          <w:szCs w:val="18"/>
          <w:lang w:val="en-US"/>
        </w:rPr>
        <w:t>424.850</w:t>
      </w:r>
      <w:r w:rsidR="00715046" w:rsidRPr="00F04C59">
        <w:rPr>
          <w:rFonts w:ascii="Verdana" w:eastAsia="Malgun Gothic" w:hAnsi="Verdana"/>
          <w:sz w:val="18"/>
          <w:szCs w:val="18"/>
          <w:lang w:val="en-US"/>
        </w:rPr>
        <w:t xml:space="preserve"> </w:t>
      </w:r>
      <w:r w:rsidR="00533C9F" w:rsidRPr="00F04C59">
        <w:rPr>
          <w:rFonts w:ascii="Verdana" w:eastAsia="Malgun Gothic" w:hAnsi="Verdana"/>
          <w:sz w:val="18"/>
          <w:szCs w:val="18"/>
          <w:lang w:val="en-US"/>
        </w:rPr>
        <w:t>in</w:t>
      </w:r>
      <w:r w:rsidRPr="00F04C59">
        <w:rPr>
          <w:rFonts w:ascii="Verdana" w:eastAsia="Malgun Gothic" w:hAnsi="Verdana"/>
          <w:sz w:val="18"/>
          <w:szCs w:val="18"/>
          <w:lang w:val="en-US"/>
        </w:rPr>
        <w:t xml:space="preserve"> the period of January – </w:t>
      </w:r>
      <w:r w:rsidR="00AF6F1D">
        <w:rPr>
          <w:rFonts w:ascii="Verdana" w:eastAsia="Malgun Gothic" w:hAnsi="Verdana"/>
          <w:sz w:val="18"/>
          <w:szCs w:val="18"/>
          <w:lang w:val="en-US"/>
        </w:rPr>
        <w:t>August</w:t>
      </w:r>
      <w:r w:rsidRPr="00F04C59">
        <w:rPr>
          <w:rFonts w:ascii="Verdana" w:eastAsia="Malgun Gothic" w:hAnsi="Verdana"/>
          <w:sz w:val="18"/>
          <w:szCs w:val="18"/>
          <w:lang w:val="en-US"/>
        </w:rPr>
        <w:t xml:space="preserve"> 2020 and </w:t>
      </w:r>
      <w:r w:rsidR="00AF6F1D" w:rsidRPr="00AF6F1D">
        <w:rPr>
          <w:rFonts w:ascii="Verdana" w:eastAsia="Malgun Gothic" w:hAnsi="Verdana"/>
          <w:sz w:val="18"/>
          <w:szCs w:val="18"/>
          <w:lang w:val="en-US"/>
        </w:rPr>
        <w:t>2.735.839</w:t>
      </w:r>
      <w:r w:rsidR="00F04C59" w:rsidRPr="00F04C59">
        <w:rPr>
          <w:rFonts w:ascii="Verdana" w:eastAsia="Malgun Gothic" w:hAnsi="Verdana"/>
          <w:sz w:val="18"/>
          <w:szCs w:val="18"/>
          <w:lang w:val="en-US"/>
        </w:rPr>
        <w:t xml:space="preserve"> </w:t>
      </w:r>
      <w:r w:rsidRPr="00F04C59">
        <w:rPr>
          <w:rFonts w:ascii="Verdana" w:eastAsia="Malgun Gothic" w:hAnsi="Verdana"/>
          <w:sz w:val="18"/>
          <w:szCs w:val="18"/>
          <w:lang w:val="en-US"/>
        </w:rPr>
        <w:t xml:space="preserve">arrivals </w:t>
      </w:r>
      <w:r w:rsidR="00935933" w:rsidRPr="00F04C59">
        <w:rPr>
          <w:rFonts w:ascii="Verdana" w:eastAsia="Malgun Gothic" w:hAnsi="Verdana"/>
          <w:sz w:val="18"/>
          <w:szCs w:val="18"/>
          <w:lang w:val="en-US"/>
        </w:rPr>
        <w:t>in</w:t>
      </w:r>
      <w:r w:rsidRPr="00F04C59">
        <w:rPr>
          <w:rFonts w:ascii="Verdana" w:eastAsia="Malgun Gothic" w:hAnsi="Verdana"/>
          <w:sz w:val="18"/>
          <w:szCs w:val="18"/>
          <w:lang w:val="en-US"/>
        </w:rPr>
        <w:t xml:space="preserve"> the period of January – </w:t>
      </w:r>
      <w:r w:rsidR="00AF6F1D">
        <w:rPr>
          <w:rFonts w:ascii="Verdana" w:eastAsia="Malgun Gothic" w:hAnsi="Verdana"/>
          <w:sz w:val="18"/>
          <w:szCs w:val="18"/>
          <w:lang w:val="en-US"/>
        </w:rPr>
        <w:t>August</w:t>
      </w:r>
      <w:r w:rsidRPr="00F04C59">
        <w:rPr>
          <w:rFonts w:ascii="Verdana" w:eastAsia="Malgun Gothic" w:hAnsi="Verdana"/>
          <w:sz w:val="18"/>
          <w:szCs w:val="18"/>
          <w:lang w:val="en-US"/>
        </w:rPr>
        <w:t xml:space="preserve"> 2019.</w:t>
      </w:r>
    </w:p>
    <w:p w14:paraId="36657ECC" w14:textId="6EBE36BE" w:rsidR="00474E2B" w:rsidRDefault="00474E2B" w:rsidP="002A10AB">
      <w:pPr>
        <w:pStyle w:val="BodyText"/>
        <w:ind w:right="176"/>
        <w:rPr>
          <w:rFonts w:ascii="Verdana" w:eastAsia="Malgun Gothic" w:hAnsi="Verdana"/>
          <w:sz w:val="18"/>
          <w:szCs w:val="18"/>
          <w:lang w:val="en-US"/>
        </w:rPr>
      </w:pPr>
    </w:p>
    <w:p w14:paraId="124700AD" w14:textId="77777777" w:rsidR="00474E2B" w:rsidRDefault="00474E2B" w:rsidP="002A10AB">
      <w:pPr>
        <w:pStyle w:val="BodyText"/>
        <w:ind w:right="176"/>
        <w:rPr>
          <w:rFonts w:ascii="Verdana" w:eastAsia="Malgun Gothic" w:hAnsi="Verdana"/>
          <w:sz w:val="18"/>
          <w:szCs w:val="18"/>
          <w:lang w:val="en-US"/>
        </w:rPr>
      </w:pPr>
    </w:p>
    <w:p w14:paraId="28287497" w14:textId="222F8BB2" w:rsidR="002A10AB" w:rsidRPr="00AF6F1D" w:rsidRDefault="00AF6F1D" w:rsidP="003D746A">
      <w:pPr>
        <w:pStyle w:val="BodyText"/>
        <w:ind w:right="90"/>
        <w:jc w:val="center"/>
        <w:rPr>
          <w:rFonts w:ascii="Verdana" w:eastAsia="Malgun Gothic" w:hAnsi="Verdana"/>
          <w:sz w:val="18"/>
          <w:szCs w:val="18"/>
          <w:lang w:val="en-US"/>
        </w:rPr>
      </w:pPr>
      <w:r>
        <w:rPr>
          <w:noProof/>
        </w:rPr>
        <w:drawing>
          <wp:inline distT="0" distB="0" distL="0" distR="0" wp14:anchorId="150EE044" wp14:editId="76BE57CF">
            <wp:extent cx="5876925" cy="3190875"/>
            <wp:effectExtent l="0" t="0" r="9525" b="9525"/>
            <wp:docPr id="6" name="Chart 6">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8853E2" w14:textId="77777777" w:rsidR="005F0F2C" w:rsidRDefault="005F0F2C" w:rsidP="002A10AB">
      <w:pPr>
        <w:tabs>
          <w:tab w:val="left" w:pos="1080"/>
          <w:tab w:val="left" w:pos="6840"/>
        </w:tabs>
        <w:jc w:val="both"/>
        <w:rPr>
          <w:rFonts w:ascii="Verdana" w:eastAsia="Malgun Gothic" w:hAnsi="Verdana" w:cs="Arial"/>
          <w:sz w:val="18"/>
          <w:szCs w:val="18"/>
        </w:rPr>
      </w:pPr>
    </w:p>
    <w:p w14:paraId="17B80B57" w14:textId="77777777" w:rsidR="005F0F2C" w:rsidRDefault="005F0F2C" w:rsidP="002A10AB">
      <w:pPr>
        <w:tabs>
          <w:tab w:val="left" w:pos="1080"/>
          <w:tab w:val="left" w:pos="6840"/>
        </w:tabs>
        <w:jc w:val="both"/>
        <w:rPr>
          <w:rFonts w:ascii="Verdana" w:eastAsia="Malgun Gothic" w:hAnsi="Verdana" w:cs="Arial"/>
          <w:sz w:val="18"/>
          <w:szCs w:val="18"/>
        </w:rPr>
      </w:pPr>
    </w:p>
    <w:p w14:paraId="7C254BA1" w14:textId="77777777" w:rsidR="005F0F2C" w:rsidRDefault="005F0F2C" w:rsidP="002A10AB">
      <w:pPr>
        <w:tabs>
          <w:tab w:val="left" w:pos="1080"/>
          <w:tab w:val="left" w:pos="6840"/>
        </w:tabs>
        <w:jc w:val="both"/>
        <w:rPr>
          <w:rFonts w:ascii="Verdana" w:eastAsia="Malgun Gothic" w:hAnsi="Verdana" w:cs="Arial"/>
          <w:sz w:val="18"/>
          <w:szCs w:val="18"/>
        </w:rPr>
      </w:pPr>
    </w:p>
    <w:p w14:paraId="72F0A51D" w14:textId="77777777" w:rsidR="005F0F2C" w:rsidRDefault="005F0F2C" w:rsidP="002A10AB">
      <w:pPr>
        <w:tabs>
          <w:tab w:val="left" w:pos="1080"/>
          <w:tab w:val="left" w:pos="6840"/>
        </w:tabs>
        <w:jc w:val="both"/>
        <w:rPr>
          <w:rFonts w:ascii="Verdana" w:eastAsia="Malgun Gothic" w:hAnsi="Verdana" w:cs="Arial"/>
          <w:sz w:val="18"/>
          <w:szCs w:val="18"/>
        </w:rPr>
      </w:pPr>
    </w:p>
    <w:p w14:paraId="0654547A" w14:textId="77777777" w:rsidR="005F0F2C" w:rsidRDefault="005F0F2C" w:rsidP="002A10AB">
      <w:pPr>
        <w:tabs>
          <w:tab w:val="left" w:pos="1080"/>
          <w:tab w:val="left" w:pos="6840"/>
        </w:tabs>
        <w:jc w:val="both"/>
        <w:rPr>
          <w:rFonts w:ascii="Verdana" w:eastAsia="Malgun Gothic" w:hAnsi="Verdana" w:cs="Arial"/>
          <w:sz w:val="18"/>
          <w:szCs w:val="18"/>
        </w:rPr>
      </w:pPr>
    </w:p>
    <w:p w14:paraId="77AE86D6" w14:textId="77777777" w:rsidR="005F0F2C" w:rsidRDefault="005F0F2C" w:rsidP="002A10AB">
      <w:pPr>
        <w:tabs>
          <w:tab w:val="left" w:pos="1080"/>
          <w:tab w:val="left" w:pos="6840"/>
        </w:tabs>
        <w:jc w:val="both"/>
        <w:rPr>
          <w:rFonts w:ascii="Verdana" w:eastAsia="Malgun Gothic" w:hAnsi="Verdana" w:cs="Arial"/>
          <w:sz w:val="18"/>
          <w:szCs w:val="18"/>
        </w:rPr>
      </w:pPr>
    </w:p>
    <w:p w14:paraId="55D0A7D2" w14:textId="77777777" w:rsidR="00AD35A7" w:rsidRDefault="00AD35A7" w:rsidP="005F0F2C">
      <w:pPr>
        <w:pStyle w:val="BodyText"/>
        <w:ind w:right="502"/>
        <w:rPr>
          <w:rFonts w:ascii="Verdana" w:eastAsia="Malgun Gothic" w:hAnsi="Verdana"/>
          <w:b/>
          <w:sz w:val="18"/>
          <w:szCs w:val="18"/>
          <w:u w:val="single"/>
          <w:lang w:val="en-US"/>
        </w:rPr>
      </w:pPr>
    </w:p>
    <w:p w14:paraId="70A9CE38" w14:textId="356098BF" w:rsidR="005F0F2C" w:rsidRPr="00567E4C" w:rsidRDefault="005F0F2C" w:rsidP="005F0F2C">
      <w:pPr>
        <w:pStyle w:val="BodyText"/>
        <w:ind w:right="502"/>
        <w:rPr>
          <w:rFonts w:ascii="Verdana" w:eastAsia="Malgun Gothic" w:hAnsi="Verdana"/>
          <w:b/>
          <w:sz w:val="18"/>
          <w:szCs w:val="18"/>
          <w:u w:val="single"/>
          <w:lang w:val="en-US"/>
        </w:rPr>
      </w:pPr>
      <w:r w:rsidRPr="00567E4C">
        <w:rPr>
          <w:rFonts w:ascii="Verdana" w:eastAsia="Malgun Gothic" w:hAnsi="Verdana"/>
          <w:b/>
          <w:sz w:val="18"/>
          <w:szCs w:val="18"/>
          <w:u w:val="single"/>
          <w:lang w:val="en-US"/>
        </w:rPr>
        <w:t>Analysis of countries</w:t>
      </w:r>
    </w:p>
    <w:p w14:paraId="72EC5C9C" w14:textId="77777777" w:rsidR="005F0F2C" w:rsidRPr="00567E4C" w:rsidRDefault="005F0F2C" w:rsidP="002A10AB">
      <w:pPr>
        <w:tabs>
          <w:tab w:val="left" w:pos="1080"/>
          <w:tab w:val="left" w:pos="6840"/>
        </w:tabs>
        <w:jc w:val="both"/>
        <w:rPr>
          <w:rFonts w:ascii="Verdana" w:eastAsia="Malgun Gothic" w:hAnsi="Verdana" w:cs="Arial"/>
          <w:sz w:val="18"/>
          <w:szCs w:val="18"/>
        </w:rPr>
      </w:pPr>
    </w:p>
    <w:p w14:paraId="330D7A21" w14:textId="732C2E88" w:rsidR="002A10AB" w:rsidRPr="00567E4C" w:rsidRDefault="002A10AB" w:rsidP="002A10AB">
      <w:pPr>
        <w:tabs>
          <w:tab w:val="left" w:pos="1080"/>
          <w:tab w:val="left" w:pos="6840"/>
        </w:tabs>
        <w:jc w:val="both"/>
        <w:rPr>
          <w:rFonts w:ascii="Verdana" w:eastAsia="Malgun Gothic" w:hAnsi="Verdana" w:cs="Arial"/>
          <w:sz w:val="18"/>
          <w:szCs w:val="18"/>
        </w:rPr>
      </w:pPr>
      <w:r w:rsidRPr="00567E4C">
        <w:rPr>
          <w:rFonts w:ascii="Verdana" w:eastAsia="Malgun Gothic" w:hAnsi="Verdana" w:cs="Arial"/>
          <w:sz w:val="18"/>
          <w:szCs w:val="18"/>
        </w:rPr>
        <w:t xml:space="preserve">Arrivals from the United Kingdom were the main source of tourism for </w:t>
      </w:r>
      <w:r w:rsidR="00AF6F1D">
        <w:rPr>
          <w:rFonts w:ascii="Verdana" w:eastAsia="Malgun Gothic" w:hAnsi="Verdana" w:cs="Arial"/>
          <w:sz w:val="18"/>
          <w:szCs w:val="18"/>
        </w:rPr>
        <w:t>August</w:t>
      </w:r>
      <w:r w:rsidRPr="00567E4C">
        <w:rPr>
          <w:rFonts w:ascii="Verdana" w:eastAsia="Malgun Gothic" w:hAnsi="Verdana" w:cs="Arial"/>
          <w:sz w:val="18"/>
          <w:szCs w:val="18"/>
        </w:rPr>
        <w:t xml:space="preserve"> 2022, with a share of </w:t>
      </w:r>
      <w:r w:rsidR="00CE20B6" w:rsidRPr="00254A64">
        <w:rPr>
          <w:rFonts w:ascii="Verdana" w:eastAsia="Malgun Gothic" w:hAnsi="Verdana"/>
          <w:sz w:val="18"/>
          <w:szCs w:val="18"/>
        </w:rPr>
        <w:t>41,2</w:t>
      </w:r>
      <w:r w:rsidRPr="00567E4C">
        <w:rPr>
          <w:rFonts w:ascii="Verdana" w:eastAsia="Malgun Gothic" w:hAnsi="Verdana" w:cs="Arial"/>
          <w:sz w:val="18"/>
          <w:szCs w:val="18"/>
        </w:rPr>
        <w:t>% (</w:t>
      </w:r>
      <w:r w:rsidR="00CE20B6" w:rsidRPr="00254A64">
        <w:rPr>
          <w:rFonts w:ascii="Verdana" w:eastAsia="Malgun Gothic" w:hAnsi="Verdana"/>
          <w:sz w:val="18"/>
          <w:szCs w:val="18"/>
        </w:rPr>
        <w:t>186.002</w:t>
      </w:r>
      <w:r w:rsidRPr="00567E4C">
        <w:rPr>
          <w:rFonts w:ascii="Verdana" w:eastAsia="Malgun Gothic" w:hAnsi="Verdana" w:cs="Arial"/>
          <w:sz w:val="18"/>
          <w:szCs w:val="18"/>
        </w:rPr>
        <w:t xml:space="preserve">) of total arrivals, followed by </w:t>
      </w:r>
      <w:r w:rsidR="00692E7F" w:rsidRPr="00567E4C">
        <w:rPr>
          <w:rFonts w:ascii="Verdana" w:eastAsia="Malgun Gothic" w:hAnsi="Verdana" w:cs="Arial"/>
          <w:sz w:val="18"/>
          <w:szCs w:val="18"/>
        </w:rPr>
        <w:t xml:space="preserve">Israel </w:t>
      </w:r>
      <w:r w:rsidRPr="00567E4C">
        <w:rPr>
          <w:rFonts w:ascii="Verdana" w:eastAsia="Malgun Gothic" w:hAnsi="Verdana" w:cs="Arial"/>
          <w:sz w:val="18"/>
          <w:szCs w:val="18"/>
        </w:rPr>
        <w:t xml:space="preserve">with </w:t>
      </w:r>
      <w:r w:rsidR="00CE20B6" w:rsidRPr="00254A64">
        <w:rPr>
          <w:rFonts w:ascii="Verdana" w:eastAsia="Malgun Gothic" w:hAnsi="Verdana"/>
          <w:sz w:val="18"/>
          <w:szCs w:val="18"/>
        </w:rPr>
        <w:t>9,6</w:t>
      </w:r>
      <w:r w:rsidRPr="00567E4C">
        <w:rPr>
          <w:rFonts w:ascii="Verdana" w:eastAsia="Malgun Gothic" w:hAnsi="Verdana" w:cs="Arial"/>
          <w:sz w:val="18"/>
          <w:szCs w:val="18"/>
        </w:rPr>
        <w:t>% (</w:t>
      </w:r>
      <w:r w:rsidR="00CE20B6" w:rsidRPr="00254A64">
        <w:rPr>
          <w:rFonts w:ascii="Verdana" w:eastAsia="Malgun Gothic" w:hAnsi="Verdana"/>
          <w:sz w:val="18"/>
          <w:szCs w:val="18"/>
        </w:rPr>
        <w:t>43.326</w:t>
      </w:r>
      <w:r w:rsidRPr="00567E4C">
        <w:rPr>
          <w:rFonts w:ascii="Verdana" w:eastAsia="Malgun Gothic" w:hAnsi="Verdana" w:cs="Arial"/>
          <w:sz w:val="18"/>
          <w:szCs w:val="18"/>
        </w:rPr>
        <w:t>)</w:t>
      </w:r>
      <w:r w:rsidR="00877B94" w:rsidRPr="00567E4C">
        <w:rPr>
          <w:rFonts w:ascii="Verdana" w:eastAsia="Malgun Gothic" w:hAnsi="Verdana" w:cs="Arial"/>
          <w:sz w:val="18"/>
          <w:szCs w:val="18"/>
        </w:rPr>
        <w:t xml:space="preserve">, Poland with </w:t>
      </w:r>
      <w:r w:rsidR="00CE20B6">
        <w:rPr>
          <w:rFonts w:ascii="Verdana" w:eastAsia="Malgun Gothic" w:hAnsi="Verdana"/>
          <w:sz w:val="18"/>
          <w:szCs w:val="18"/>
        </w:rPr>
        <w:t>5</w:t>
      </w:r>
      <w:r w:rsidR="00CE20B6" w:rsidRPr="001841B3">
        <w:rPr>
          <w:rFonts w:ascii="Verdana" w:eastAsia="Malgun Gothic" w:hAnsi="Verdana"/>
          <w:sz w:val="18"/>
          <w:szCs w:val="18"/>
        </w:rPr>
        <w:t>,</w:t>
      </w:r>
      <w:r w:rsidR="00CE20B6">
        <w:rPr>
          <w:rFonts w:ascii="Verdana" w:eastAsia="Malgun Gothic" w:hAnsi="Verdana"/>
          <w:sz w:val="18"/>
          <w:szCs w:val="18"/>
        </w:rPr>
        <w:t>2</w:t>
      </w:r>
      <w:r w:rsidR="00877B94" w:rsidRPr="00567E4C">
        <w:rPr>
          <w:rFonts w:ascii="Verdana" w:eastAsia="Malgun Gothic" w:hAnsi="Verdana" w:cs="Arial"/>
          <w:sz w:val="18"/>
          <w:szCs w:val="18"/>
        </w:rPr>
        <w:t>%</w:t>
      </w:r>
      <w:r w:rsidR="00E216A0">
        <w:rPr>
          <w:rFonts w:ascii="Verdana" w:eastAsia="Malgun Gothic" w:hAnsi="Verdana" w:cs="Arial"/>
          <w:sz w:val="18"/>
          <w:szCs w:val="18"/>
        </w:rPr>
        <w:t xml:space="preserve"> </w:t>
      </w:r>
      <w:r w:rsidR="00877B94" w:rsidRPr="00567E4C">
        <w:rPr>
          <w:rFonts w:ascii="Verdana" w:eastAsia="Malgun Gothic" w:hAnsi="Verdana" w:cs="Arial"/>
          <w:sz w:val="18"/>
          <w:szCs w:val="18"/>
        </w:rPr>
        <w:t>(</w:t>
      </w:r>
      <w:r w:rsidR="00CE20B6" w:rsidRPr="00254A64">
        <w:rPr>
          <w:rFonts w:ascii="Verdana" w:eastAsia="Malgun Gothic" w:hAnsi="Verdana"/>
          <w:sz w:val="18"/>
          <w:szCs w:val="18"/>
        </w:rPr>
        <w:t>23.557</w:t>
      </w:r>
      <w:r w:rsidR="00877B94" w:rsidRPr="00567E4C">
        <w:rPr>
          <w:rFonts w:ascii="Verdana" w:eastAsia="Malgun Gothic" w:hAnsi="Verdana" w:cs="Arial"/>
          <w:sz w:val="18"/>
          <w:szCs w:val="18"/>
        </w:rPr>
        <w:t xml:space="preserve">), </w:t>
      </w:r>
      <w:r w:rsidR="00567E4C" w:rsidRPr="00567E4C">
        <w:rPr>
          <w:rFonts w:ascii="Verdana" w:eastAsia="Malgun Gothic" w:hAnsi="Verdana" w:cs="Arial"/>
          <w:sz w:val="18"/>
          <w:szCs w:val="18"/>
        </w:rPr>
        <w:t xml:space="preserve">Germany with </w:t>
      </w:r>
      <w:r w:rsidR="00887073" w:rsidRPr="001841B3">
        <w:rPr>
          <w:rFonts w:ascii="Verdana" w:eastAsia="Malgun Gothic" w:hAnsi="Verdana"/>
          <w:sz w:val="18"/>
          <w:szCs w:val="18"/>
        </w:rPr>
        <w:t>4,</w:t>
      </w:r>
      <w:r w:rsidR="00887073">
        <w:rPr>
          <w:rFonts w:ascii="Verdana" w:eastAsia="Malgun Gothic" w:hAnsi="Verdana"/>
          <w:sz w:val="18"/>
          <w:szCs w:val="18"/>
        </w:rPr>
        <w:t>7</w:t>
      </w:r>
      <w:r w:rsidR="00567E4C" w:rsidRPr="00567E4C">
        <w:rPr>
          <w:rFonts w:ascii="Verdana" w:eastAsia="Malgun Gothic" w:hAnsi="Verdana" w:cs="Arial"/>
          <w:sz w:val="18"/>
          <w:szCs w:val="18"/>
        </w:rPr>
        <w:t>% (</w:t>
      </w:r>
      <w:r w:rsidR="00887073" w:rsidRPr="00254A64">
        <w:rPr>
          <w:rFonts w:ascii="Verdana" w:eastAsia="Malgun Gothic" w:hAnsi="Verdana"/>
          <w:sz w:val="18"/>
          <w:szCs w:val="18"/>
        </w:rPr>
        <w:t>21.306</w:t>
      </w:r>
      <w:r w:rsidR="00877B94">
        <w:rPr>
          <w:rFonts w:ascii="Verdana" w:eastAsia="Malgun Gothic" w:hAnsi="Verdana"/>
          <w:sz w:val="18"/>
          <w:szCs w:val="18"/>
        </w:rPr>
        <w:t>)</w:t>
      </w:r>
      <w:r w:rsidR="00E216A0">
        <w:rPr>
          <w:rFonts w:ascii="Verdana" w:eastAsia="Malgun Gothic" w:hAnsi="Verdana"/>
          <w:sz w:val="18"/>
          <w:szCs w:val="18"/>
        </w:rPr>
        <w:t>,</w:t>
      </w:r>
      <w:r w:rsidR="00877B94">
        <w:rPr>
          <w:rFonts w:ascii="Verdana" w:eastAsia="Malgun Gothic" w:hAnsi="Verdana"/>
          <w:sz w:val="18"/>
          <w:szCs w:val="18"/>
        </w:rPr>
        <w:t xml:space="preserve"> </w:t>
      </w:r>
      <w:r w:rsidR="00DF3EE5" w:rsidRPr="00567E4C">
        <w:rPr>
          <w:rFonts w:ascii="Verdana" w:eastAsia="Malgun Gothic" w:hAnsi="Verdana" w:cs="Arial"/>
          <w:sz w:val="18"/>
          <w:szCs w:val="18"/>
        </w:rPr>
        <w:t>Sweden</w:t>
      </w:r>
      <w:r w:rsidRPr="00567E4C">
        <w:rPr>
          <w:rFonts w:ascii="Verdana" w:eastAsia="Malgun Gothic" w:hAnsi="Verdana" w:cs="Arial"/>
          <w:sz w:val="18"/>
          <w:szCs w:val="18"/>
        </w:rPr>
        <w:t xml:space="preserve"> with </w:t>
      </w:r>
      <w:r w:rsidR="00887073" w:rsidRPr="001841B3">
        <w:rPr>
          <w:rFonts w:ascii="Verdana" w:eastAsia="Malgun Gothic" w:hAnsi="Verdana"/>
          <w:sz w:val="18"/>
          <w:szCs w:val="18"/>
        </w:rPr>
        <w:t>4,</w:t>
      </w:r>
      <w:r w:rsidR="00887073">
        <w:rPr>
          <w:rFonts w:ascii="Verdana" w:eastAsia="Malgun Gothic" w:hAnsi="Verdana"/>
          <w:sz w:val="18"/>
          <w:szCs w:val="18"/>
        </w:rPr>
        <w:t>2</w:t>
      </w:r>
      <w:r w:rsidRPr="00567E4C">
        <w:rPr>
          <w:rFonts w:ascii="Verdana" w:eastAsia="Malgun Gothic" w:hAnsi="Verdana" w:cs="Arial"/>
          <w:sz w:val="18"/>
          <w:szCs w:val="18"/>
        </w:rPr>
        <w:t>% (</w:t>
      </w:r>
      <w:r w:rsidR="00887073" w:rsidRPr="00F90E74">
        <w:rPr>
          <w:rFonts w:ascii="Verdana" w:eastAsia="Malgun Gothic" w:hAnsi="Verdana"/>
          <w:sz w:val="18"/>
          <w:szCs w:val="18"/>
        </w:rPr>
        <w:t>18.759</w:t>
      </w:r>
      <w:r w:rsidRPr="00567E4C">
        <w:rPr>
          <w:rFonts w:ascii="Verdana" w:eastAsia="Malgun Gothic" w:hAnsi="Verdana" w:cs="Arial"/>
          <w:sz w:val="18"/>
          <w:szCs w:val="18"/>
        </w:rPr>
        <w:t>)</w:t>
      </w:r>
      <w:r w:rsidR="00887073">
        <w:rPr>
          <w:rFonts w:ascii="Verdana" w:eastAsia="Malgun Gothic" w:hAnsi="Verdana" w:cs="Arial"/>
          <w:sz w:val="18"/>
          <w:szCs w:val="18"/>
        </w:rPr>
        <w:t xml:space="preserve">, </w:t>
      </w:r>
      <w:r w:rsidR="00DF3EE5" w:rsidRPr="00567E4C">
        <w:rPr>
          <w:rFonts w:ascii="Verdana" w:eastAsia="Malgun Gothic" w:hAnsi="Verdana" w:cs="Arial"/>
          <w:sz w:val="18"/>
          <w:szCs w:val="18"/>
        </w:rPr>
        <w:t xml:space="preserve">Greece </w:t>
      </w:r>
      <w:r w:rsidRPr="00567E4C">
        <w:rPr>
          <w:rFonts w:ascii="Verdana" w:eastAsia="Malgun Gothic" w:hAnsi="Verdana" w:cs="Arial"/>
          <w:sz w:val="18"/>
          <w:szCs w:val="18"/>
        </w:rPr>
        <w:t xml:space="preserve">with </w:t>
      </w:r>
      <w:r w:rsidR="00887073" w:rsidRPr="001841B3">
        <w:rPr>
          <w:rFonts w:ascii="Verdana" w:eastAsia="Malgun Gothic" w:hAnsi="Verdana"/>
          <w:sz w:val="18"/>
          <w:szCs w:val="18"/>
        </w:rPr>
        <w:t>3,</w:t>
      </w:r>
      <w:r w:rsidR="00887073">
        <w:rPr>
          <w:rFonts w:ascii="Verdana" w:eastAsia="Malgun Gothic" w:hAnsi="Verdana"/>
          <w:sz w:val="18"/>
          <w:szCs w:val="18"/>
        </w:rPr>
        <w:t>1</w:t>
      </w:r>
      <w:r w:rsidRPr="00567E4C">
        <w:rPr>
          <w:rFonts w:ascii="Verdana" w:eastAsia="Malgun Gothic" w:hAnsi="Verdana" w:cs="Arial"/>
          <w:sz w:val="18"/>
          <w:szCs w:val="18"/>
        </w:rPr>
        <w:t>% (</w:t>
      </w:r>
      <w:r w:rsidR="00887073" w:rsidRPr="00E91DA9">
        <w:rPr>
          <w:rFonts w:ascii="Verdana" w:eastAsia="Malgun Gothic" w:hAnsi="Verdana"/>
          <w:sz w:val="18"/>
          <w:szCs w:val="18"/>
        </w:rPr>
        <w:t>13.991</w:t>
      </w:r>
      <w:r w:rsidRPr="00567E4C">
        <w:rPr>
          <w:rFonts w:ascii="Verdana" w:eastAsia="Malgun Gothic" w:hAnsi="Verdana" w:cs="Arial"/>
          <w:sz w:val="18"/>
          <w:szCs w:val="18"/>
        </w:rPr>
        <w:t>)</w:t>
      </w:r>
      <w:r w:rsidR="00887073" w:rsidRPr="00887073">
        <w:rPr>
          <w:rFonts w:ascii="Verdana" w:eastAsia="Malgun Gothic" w:hAnsi="Verdana" w:cs="Arial"/>
          <w:sz w:val="18"/>
          <w:szCs w:val="18"/>
        </w:rPr>
        <w:t xml:space="preserve"> </w:t>
      </w:r>
      <w:r w:rsidR="00887073" w:rsidRPr="00567E4C">
        <w:rPr>
          <w:rFonts w:ascii="Verdana" w:eastAsia="Malgun Gothic" w:hAnsi="Verdana" w:cs="Arial"/>
          <w:sz w:val="18"/>
          <w:szCs w:val="18"/>
        </w:rPr>
        <w:t xml:space="preserve">and </w:t>
      </w:r>
      <w:r w:rsidR="00887073">
        <w:rPr>
          <w:rFonts w:ascii="Verdana" w:eastAsia="Malgun Gothic" w:hAnsi="Verdana" w:cs="Arial"/>
          <w:sz w:val="18"/>
          <w:szCs w:val="18"/>
        </w:rPr>
        <w:t>France</w:t>
      </w:r>
      <w:r w:rsidR="00887073" w:rsidRPr="00567E4C">
        <w:rPr>
          <w:rFonts w:ascii="Verdana" w:eastAsia="Malgun Gothic" w:hAnsi="Verdana" w:cs="Arial"/>
          <w:sz w:val="18"/>
          <w:szCs w:val="18"/>
        </w:rPr>
        <w:t xml:space="preserve"> with </w:t>
      </w:r>
      <w:r w:rsidR="00887073" w:rsidRPr="001841B3">
        <w:rPr>
          <w:rFonts w:ascii="Verdana" w:eastAsia="Malgun Gothic" w:hAnsi="Verdana"/>
          <w:sz w:val="18"/>
          <w:szCs w:val="18"/>
        </w:rPr>
        <w:t>3,</w:t>
      </w:r>
      <w:r w:rsidR="00887073">
        <w:rPr>
          <w:rFonts w:ascii="Verdana" w:eastAsia="Malgun Gothic" w:hAnsi="Verdana"/>
          <w:sz w:val="18"/>
          <w:szCs w:val="18"/>
        </w:rPr>
        <w:t>0</w:t>
      </w:r>
      <w:r w:rsidR="00887073" w:rsidRPr="00567E4C">
        <w:rPr>
          <w:rFonts w:ascii="Verdana" w:eastAsia="Malgun Gothic" w:hAnsi="Verdana" w:cs="Arial"/>
          <w:sz w:val="18"/>
          <w:szCs w:val="18"/>
        </w:rPr>
        <w:t>% (</w:t>
      </w:r>
      <w:r w:rsidR="00887073" w:rsidRPr="00E91DA9">
        <w:rPr>
          <w:rFonts w:ascii="Verdana" w:eastAsia="Malgun Gothic" w:hAnsi="Verdana"/>
          <w:sz w:val="18"/>
          <w:szCs w:val="18"/>
        </w:rPr>
        <w:t>13.365</w:t>
      </w:r>
      <w:r w:rsidR="00887073" w:rsidRPr="00567E4C">
        <w:rPr>
          <w:rFonts w:ascii="Verdana" w:eastAsia="Malgun Gothic" w:hAnsi="Verdana" w:cs="Arial"/>
          <w:sz w:val="18"/>
          <w:szCs w:val="18"/>
        </w:rPr>
        <w:t>)</w:t>
      </w:r>
      <w:r w:rsidRPr="00567E4C">
        <w:rPr>
          <w:rFonts w:ascii="Verdana" w:eastAsia="Malgun Gothic" w:hAnsi="Verdana" w:cs="Arial"/>
          <w:sz w:val="18"/>
          <w:szCs w:val="18"/>
        </w:rPr>
        <w:t>.</w:t>
      </w:r>
    </w:p>
    <w:p w14:paraId="1F30C3B4" w14:textId="58CFC4B7" w:rsidR="00692E7F" w:rsidRPr="00567E4C" w:rsidRDefault="00692E7F" w:rsidP="002A10AB">
      <w:pPr>
        <w:tabs>
          <w:tab w:val="left" w:pos="6840"/>
        </w:tabs>
        <w:jc w:val="both"/>
        <w:rPr>
          <w:rFonts w:ascii="Verdana" w:eastAsia="Malgun Gothic" w:hAnsi="Verdana" w:cs="Arial"/>
          <w:sz w:val="18"/>
          <w:szCs w:val="18"/>
        </w:rPr>
      </w:pPr>
    </w:p>
    <w:p w14:paraId="35BA81F7" w14:textId="77777777" w:rsidR="006613EB" w:rsidRPr="00291BC1" w:rsidRDefault="006613EB" w:rsidP="002A10AB">
      <w:pPr>
        <w:tabs>
          <w:tab w:val="left" w:pos="6840"/>
        </w:tabs>
        <w:jc w:val="both"/>
        <w:rPr>
          <w:rFonts w:ascii="Verdana" w:eastAsia="Malgun Gothic" w:hAnsi="Verdana" w:cs="Arial"/>
          <w:sz w:val="18"/>
          <w:szCs w:val="18"/>
          <w:highlight w:val="yellow"/>
        </w:rPr>
      </w:pPr>
    </w:p>
    <w:p w14:paraId="11069E3A" w14:textId="77777777" w:rsidR="00F715F0" w:rsidRPr="00291BC1" w:rsidRDefault="00F715F0" w:rsidP="002A10AB">
      <w:pPr>
        <w:tabs>
          <w:tab w:val="left" w:pos="6840"/>
        </w:tabs>
        <w:jc w:val="both"/>
        <w:rPr>
          <w:rFonts w:ascii="Verdana" w:eastAsia="Malgun Gothic" w:hAnsi="Verdana" w:cs="Arial"/>
          <w:sz w:val="18"/>
          <w:szCs w:val="18"/>
          <w:highlight w:val="yellow"/>
        </w:rPr>
      </w:pPr>
    </w:p>
    <w:p w14:paraId="5BDD6EF9" w14:textId="77777777" w:rsidR="00F715F0" w:rsidRPr="00C068E9" w:rsidRDefault="00F715F0" w:rsidP="00F715F0">
      <w:pPr>
        <w:tabs>
          <w:tab w:val="left" w:pos="1080"/>
          <w:tab w:val="left" w:pos="6840"/>
        </w:tabs>
        <w:jc w:val="both"/>
        <w:rPr>
          <w:rFonts w:ascii="Verdana" w:eastAsia="Malgun Gothic" w:hAnsi="Verdana" w:cs="Arial"/>
          <w:b/>
          <w:sz w:val="18"/>
          <w:szCs w:val="18"/>
          <w:u w:val="single"/>
        </w:rPr>
      </w:pPr>
      <w:r w:rsidRPr="00C068E9">
        <w:rPr>
          <w:rFonts w:ascii="Verdana" w:eastAsia="Malgun Gothic" w:hAnsi="Verdana" w:cs="Arial"/>
          <w:b/>
          <w:sz w:val="18"/>
          <w:szCs w:val="18"/>
          <w:u w:val="single"/>
        </w:rPr>
        <w:t>Purpose of visit</w:t>
      </w:r>
    </w:p>
    <w:p w14:paraId="27132373" w14:textId="2F395936" w:rsidR="002A10AB" w:rsidRPr="00C068E9" w:rsidRDefault="002A10AB" w:rsidP="002A10AB">
      <w:pPr>
        <w:tabs>
          <w:tab w:val="left" w:pos="6840"/>
        </w:tabs>
        <w:jc w:val="both"/>
        <w:rPr>
          <w:rFonts w:ascii="Verdana" w:eastAsia="Malgun Gothic" w:hAnsi="Verdana" w:cs="Arial"/>
          <w:sz w:val="18"/>
          <w:szCs w:val="18"/>
        </w:rPr>
      </w:pPr>
      <w:r w:rsidRPr="00C068E9">
        <w:rPr>
          <w:rFonts w:ascii="Verdana" w:eastAsia="Malgun Gothic" w:hAnsi="Verdana" w:cs="Arial"/>
          <w:sz w:val="18"/>
          <w:szCs w:val="18"/>
        </w:rPr>
        <w:tab/>
      </w:r>
    </w:p>
    <w:p w14:paraId="2443B5FD" w14:textId="390EA601" w:rsidR="002A10AB" w:rsidRPr="00D65191" w:rsidRDefault="002A10AB" w:rsidP="002A10AB">
      <w:pPr>
        <w:ind w:right="176"/>
        <w:jc w:val="both"/>
        <w:rPr>
          <w:rFonts w:ascii="Verdana" w:eastAsia="Malgun Gothic" w:hAnsi="Verdana" w:cs="Arial"/>
          <w:sz w:val="18"/>
          <w:szCs w:val="18"/>
        </w:rPr>
      </w:pPr>
      <w:r w:rsidRPr="00C068E9">
        <w:rPr>
          <w:rFonts w:ascii="Verdana" w:eastAsia="Malgun Gothic" w:hAnsi="Verdana" w:cs="Arial"/>
          <w:sz w:val="18"/>
          <w:szCs w:val="18"/>
        </w:rPr>
        <w:t xml:space="preserve">For a percentage of </w:t>
      </w:r>
      <w:r w:rsidR="0014433C">
        <w:rPr>
          <w:rFonts w:ascii="Verdana" w:eastAsia="Malgun Gothic" w:hAnsi="Verdana" w:cs="Arial"/>
          <w:sz w:val="18"/>
          <w:szCs w:val="18"/>
        </w:rPr>
        <w:t>85</w:t>
      </w:r>
      <w:r w:rsidR="0051222D" w:rsidRPr="00C068E9">
        <w:rPr>
          <w:rFonts w:ascii="Verdana" w:eastAsia="Malgun Gothic" w:hAnsi="Verdana" w:cs="Arial"/>
          <w:sz w:val="18"/>
          <w:szCs w:val="18"/>
        </w:rPr>
        <w:t>,</w:t>
      </w:r>
      <w:r w:rsidR="0014433C">
        <w:rPr>
          <w:rFonts w:ascii="Verdana" w:eastAsia="Malgun Gothic" w:hAnsi="Verdana" w:cs="Arial"/>
          <w:sz w:val="18"/>
          <w:szCs w:val="18"/>
        </w:rPr>
        <w:t>5</w:t>
      </w:r>
      <w:r w:rsidRPr="00C068E9">
        <w:rPr>
          <w:rFonts w:ascii="Verdana" w:eastAsia="Malgun Gothic" w:hAnsi="Verdana" w:cs="Arial"/>
          <w:sz w:val="18"/>
          <w:szCs w:val="18"/>
        </w:rPr>
        <w:t xml:space="preserve">% of tourists, the purpose of their trip in </w:t>
      </w:r>
      <w:r w:rsidR="00AF6F1D">
        <w:rPr>
          <w:rFonts w:ascii="Verdana" w:eastAsia="Malgun Gothic" w:hAnsi="Verdana" w:cs="Arial"/>
          <w:sz w:val="18"/>
          <w:szCs w:val="18"/>
          <w:lang w:val="en-GB"/>
        </w:rPr>
        <w:t>August</w:t>
      </w:r>
      <w:r w:rsidRPr="00C068E9">
        <w:rPr>
          <w:rFonts w:ascii="Verdana" w:eastAsia="Malgun Gothic" w:hAnsi="Verdana" w:cs="Arial"/>
          <w:sz w:val="18"/>
          <w:szCs w:val="18"/>
          <w:lang w:val="en-GB"/>
        </w:rPr>
        <w:t xml:space="preserve"> </w:t>
      </w:r>
      <w:r w:rsidRPr="00C068E9">
        <w:rPr>
          <w:rFonts w:ascii="Verdana" w:eastAsia="Malgun Gothic" w:hAnsi="Verdana" w:cs="Arial"/>
          <w:sz w:val="18"/>
          <w:szCs w:val="18"/>
        </w:rPr>
        <w:t xml:space="preserve">2022 was holidays, for </w:t>
      </w:r>
      <w:r w:rsidR="00C068E9" w:rsidRPr="00C068E9">
        <w:rPr>
          <w:rFonts w:ascii="Verdana" w:eastAsia="Times New Roman" w:hAnsi="Verdana" w:cs="Arial"/>
          <w:sz w:val="18"/>
          <w:szCs w:val="18"/>
        </w:rPr>
        <w:t>12</w:t>
      </w:r>
      <w:r w:rsidR="0051222D" w:rsidRPr="00C068E9">
        <w:rPr>
          <w:rFonts w:ascii="Verdana" w:eastAsia="Times New Roman" w:hAnsi="Verdana" w:cs="Arial"/>
          <w:sz w:val="18"/>
          <w:szCs w:val="18"/>
        </w:rPr>
        <w:t>,</w:t>
      </w:r>
      <w:r w:rsidR="0014433C">
        <w:rPr>
          <w:rFonts w:ascii="Verdana" w:eastAsia="Times New Roman" w:hAnsi="Verdana" w:cs="Arial"/>
          <w:sz w:val="18"/>
          <w:szCs w:val="18"/>
        </w:rPr>
        <w:t>4</w:t>
      </w:r>
      <w:r w:rsidRPr="00C068E9">
        <w:rPr>
          <w:rFonts w:ascii="Verdana" w:eastAsia="Malgun Gothic" w:hAnsi="Verdana" w:cs="Arial"/>
          <w:sz w:val="18"/>
          <w:szCs w:val="18"/>
        </w:rPr>
        <w:t xml:space="preserve">% visit to friends and relatives and for </w:t>
      </w:r>
      <w:r w:rsidR="00C068E9" w:rsidRPr="00C068E9">
        <w:rPr>
          <w:rFonts w:ascii="Verdana" w:eastAsia="Malgun Gothic" w:hAnsi="Verdana" w:cs="Arial"/>
          <w:sz w:val="18"/>
          <w:szCs w:val="18"/>
        </w:rPr>
        <w:t>2</w:t>
      </w:r>
      <w:r w:rsidR="00956FF1" w:rsidRPr="00C068E9">
        <w:rPr>
          <w:rFonts w:ascii="Verdana" w:eastAsia="Malgun Gothic" w:hAnsi="Verdana" w:cs="Arial"/>
          <w:sz w:val="18"/>
          <w:szCs w:val="18"/>
        </w:rPr>
        <w:t>,</w:t>
      </w:r>
      <w:r w:rsidR="0014433C">
        <w:rPr>
          <w:rFonts w:ascii="Verdana" w:eastAsia="Malgun Gothic" w:hAnsi="Verdana" w:cs="Arial"/>
          <w:sz w:val="18"/>
          <w:szCs w:val="18"/>
        </w:rPr>
        <w:t>1</w:t>
      </w:r>
      <w:r w:rsidRPr="00C068E9">
        <w:rPr>
          <w:rFonts w:ascii="Verdana" w:eastAsia="Malgun Gothic" w:hAnsi="Verdana" w:cs="Arial"/>
          <w:sz w:val="18"/>
          <w:szCs w:val="18"/>
        </w:rPr>
        <w:t xml:space="preserve">% business. Respectively, in </w:t>
      </w:r>
      <w:r w:rsidR="00AF6F1D">
        <w:rPr>
          <w:rFonts w:ascii="Verdana" w:eastAsia="Malgun Gothic" w:hAnsi="Verdana" w:cs="Arial"/>
          <w:sz w:val="18"/>
          <w:szCs w:val="18"/>
        </w:rPr>
        <w:t>August</w:t>
      </w:r>
      <w:r w:rsidRPr="00C068E9">
        <w:rPr>
          <w:rFonts w:ascii="Verdana" w:eastAsia="Malgun Gothic" w:hAnsi="Verdana" w:cs="Arial"/>
          <w:sz w:val="18"/>
          <w:szCs w:val="18"/>
        </w:rPr>
        <w:t xml:space="preserve"> 2021, </w:t>
      </w:r>
      <w:r w:rsidR="0014433C">
        <w:rPr>
          <w:rFonts w:ascii="Verdana" w:eastAsia="Times New Roman" w:hAnsi="Verdana" w:cs="Arial"/>
          <w:sz w:val="18"/>
          <w:szCs w:val="18"/>
        </w:rPr>
        <w:t>87</w:t>
      </w:r>
      <w:r w:rsidR="0051222D" w:rsidRPr="00C068E9">
        <w:rPr>
          <w:rFonts w:ascii="Verdana" w:eastAsia="Times New Roman" w:hAnsi="Verdana" w:cs="Arial"/>
          <w:sz w:val="18"/>
          <w:szCs w:val="18"/>
        </w:rPr>
        <w:t>,</w:t>
      </w:r>
      <w:r w:rsidR="0014433C">
        <w:rPr>
          <w:rFonts w:ascii="Verdana" w:eastAsia="Times New Roman" w:hAnsi="Verdana" w:cs="Arial"/>
          <w:sz w:val="18"/>
          <w:szCs w:val="18"/>
        </w:rPr>
        <w:t>7</w:t>
      </w:r>
      <w:r w:rsidRPr="00C068E9">
        <w:rPr>
          <w:rFonts w:ascii="Verdana" w:eastAsia="Malgun Gothic" w:hAnsi="Verdana" w:cs="Arial"/>
          <w:sz w:val="18"/>
          <w:szCs w:val="18"/>
        </w:rPr>
        <w:t xml:space="preserve">% of tourists visited Cyprus for holidays, </w:t>
      </w:r>
      <w:r w:rsidR="0014433C">
        <w:rPr>
          <w:rFonts w:ascii="Verdana" w:eastAsia="Malgun Gothic" w:hAnsi="Verdana" w:cs="Arial"/>
          <w:sz w:val="18"/>
          <w:szCs w:val="18"/>
        </w:rPr>
        <w:t>9</w:t>
      </w:r>
      <w:r w:rsidR="0051222D" w:rsidRPr="00C068E9">
        <w:rPr>
          <w:rFonts w:ascii="Verdana" w:eastAsia="Malgun Gothic" w:hAnsi="Verdana" w:cs="Arial"/>
          <w:sz w:val="18"/>
          <w:szCs w:val="18"/>
        </w:rPr>
        <w:t>,</w:t>
      </w:r>
      <w:r w:rsidR="0014433C">
        <w:rPr>
          <w:rFonts w:ascii="Verdana" w:eastAsia="Malgun Gothic" w:hAnsi="Verdana" w:cs="Arial"/>
          <w:sz w:val="18"/>
          <w:szCs w:val="18"/>
        </w:rPr>
        <w:t>9</w:t>
      </w:r>
      <w:r w:rsidRPr="00C068E9">
        <w:rPr>
          <w:rFonts w:ascii="Verdana" w:eastAsia="Malgun Gothic" w:hAnsi="Verdana" w:cs="Arial"/>
          <w:sz w:val="18"/>
          <w:szCs w:val="18"/>
        </w:rPr>
        <w:t xml:space="preserve">% visited friends or relatives and </w:t>
      </w:r>
      <w:r w:rsidR="0014433C">
        <w:rPr>
          <w:rFonts w:ascii="Verdana" w:eastAsia="Malgun Gothic" w:hAnsi="Verdana" w:cs="Arial"/>
          <w:sz w:val="18"/>
          <w:szCs w:val="18"/>
        </w:rPr>
        <w:t>2</w:t>
      </w:r>
      <w:r w:rsidR="0051222D" w:rsidRPr="00C068E9">
        <w:rPr>
          <w:rFonts w:ascii="Verdana" w:eastAsia="Malgun Gothic" w:hAnsi="Verdana" w:cs="Arial"/>
          <w:sz w:val="18"/>
          <w:szCs w:val="18"/>
        </w:rPr>
        <w:t>,</w:t>
      </w:r>
      <w:r w:rsidR="0014433C">
        <w:rPr>
          <w:rFonts w:ascii="Verdana" w:eastAsia="Malgun Gothic" w:hAnsi="Verdana" w:cs="Arial"/>
          <w:sz w:val="18"/>
          <w:szCs w:val="18"/>
        </w:rPr>
        <w:t>3</w:t>
      </w:r>
      <w:r w:rsidRPr="00C068E9">
        <w:rPr>
          <w:rFonts w:ascii="Verdana" w:eastAsia="Malgun Gothic" w:hAnsi="Verdana" w:cs="Arial"/>
          <w:sz w:val="18"/>
          <w:szCs w:val="18"/>
        </w:rPr>
        <w:t>% visited Cyprus for business reasons.</w:t>
      </w:r>
    </w:p>
    <w:p w14:paraId="54A98220" w14:textId="77777777" w:rsidR="002A10AB" w:rsidRPr="00D65191" w:rsidRDefault="002A10AB" w:rsidP="002A10AB">
      <w:pPr>
        <w:tabs>
          <w:tab w:val="left" w:pos="1080"/>
          <w:tab w:val="left" w:pos="6840"/>
        </w:tabs>
        <w:ind w:right="176"/>
        <w:jc w:val="both"/>
        <w:rPr>
          <w:rFonts w:ascii="Verdana" w:eastAsia="Malgun Gothic" w:hAnsi="Verdana" w:cs="Arial"/>
          <w:sz w:val="18"/>
          <w:szCs w:val="18"/>
        </w:rPr>
      </w:pPr>
    </w:p>
    <w:p w14:paraId="05F1EFF4" w14:textId="77777777" w:rsidR="002A10AB" w:rsidRPr="00D65191" w:rsidRDefault="002A10AB" w:rsidP="002A10AB">
      <w:pPr>
        <w:tabs>
          <w:tab w:val="left" w:pos="1080"/>
          <w:tab w:val="left" w:pos="6840"/>
        </w:tabs>
        <w:jc w:val="both"/>
        <w:rPr>
          <w:rFonts w:ascii="Verdana" w:eastAsia="Malgun Gothic" w:hAnsi="Verdana" w:cs="Arial"/>
          <w:sz w:val="18"/>
          <w:szCs w:val="18"/>
          <w:u w:val="single"/>
        </w:rPr>
      </w:pPr>
    </w:p>
    <w:p w14:paraId="2D8F0D74" w14:textId="77777777" w:rsidR="002A10AB" w:rsidRPr="00D65191" w:rsidRDefault="002A10AB" w:rsidP="002A10AB">
      <w:pPr>
        <w:tabs>
          <w:tab w:val="left" w:pos="1080"/>
          <w:tab w:val="left" w:pos="6840"/>
        </w:tabs>
        <w:jc w:val="both"/>
        <w:rPr>
          <w:rFonts w:ascii="Verdana" w:eastAsia="Malgun Gothic" w:hAnsi="Verdana" w:cs="Arial"/>
          <w:sz w:val="18"/>
          <w:szCs w:val="18"/>
          <w:u w:val="single"/>
        </w:rPr>
      </w:pPr>
    </w:p>
    <w:tbl>
      <w:tblPr>
        <w:tblW w:w="5449" w:type="pct"/>
        <w:tblInd w:w="-522" w:type="dxa"/>
        <w:tblBorders>
          <w:top w:val="single" w:sz="4" w:space="0" w:color="366092"/>
          <w:bottom w:val="single" w:sz="4" w:space="0" w:color="366092"/>
          <w:insideV w:val="single" w:sz="4" w:space="0" w:color="366092"/>
        </w:tblBorders>
        <w:tblLayout w:type="fixed"/>
        <w:tblLook w:val="04A0" w:firstRow="1" w:lastRow="0" w:firstColumn="1" w:lastColumn="0" w:noHBand="0" w:noVBand="1"/>
      </w:tblPr>
      <w:tblGrid>
        <w:gridCol w:w="4749"/>
        <w:gridCol w:w="395"/>
        <w:gridCol w:w="1544"/>
        <w:gridCol w:w="1803"/>
        <w:gridCol w:w="1958"/>
      </w:tblGrid>
      <w:tr w:rsidR="00FB3AF2" w:rsidRPr="003E0CE2" w14:paraId="5CF90C6A" w14:textId="77777777" w:rsidTr="00424235">
        <w:trPr>
          <w:trHeight w:val="389"/>
        </w:trPr>
        <w:tc>
          <w:tcPr>
            <w:tcW w:w="5000" w:type="pct"/>
            <w:gridSpan w:val="5"/>
            <w:tcBorders>
              <w:top w:val="nil"/>
              <w:bottom w:val="single" w:sz="4" w:space="0" w:color="366092"/>
            </w:tcBorders>
            <w:shd w:val="clear" w:color="FFFFFF" w:fill="FFFFFF"/>
            <w:vAlign w:val="center"/>
            <w:hideMark/>
          </w:tcPr>
          <w:p w14:paraId="44D93CAA" w14:textId="2B03E6D8" w:rsidR="00FB3AF2" w:rsidRPr="004F677C" w:rsidRDefault="00FB3AF2" w:rsidP="00424235">
            <w:pP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Table</w:t>
            </w:r>
            <w:r w:rsidRPr="004F677C">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1</w:t>
            </w:r>
          </w:p>
        </w:tc>
      </w:tr>
      <w:tr w:rsidR="00FB3AF2" w:rsidRPr="003C5240" w14:paraId="32852DAE" w14:textId="77777777" w:rsidTr="00424235">
        <w:trPr>
          <w:trHeight w:val="278"/>
        </w:trPr>
        <w:tc>
          <w:tcPr>
            <w:tcW w:w="2461" w:type="pct"/>
            <w:gridSpan w:val="2"/>
            <w:vMerge w:val="restart"/>
            <w:tcBorders>
              <w:top w:val="single" w:sz="4" w:space="0" w:color="366092"/>
              <w:right w:val="nil"/>
            </w:tcBorders>
            <w:vAlign w:val="center"/>
            <w:hideMark/>
          </w:tcPr>
          <w:p w14:paraId="595E235C" w14:textId="51894842" w:rsidR="00FB3AF2" w:rsidRDefault="00AB108F" w:rsidP="00424235">
            <w:pP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Purpose of visit</w:t>
            </w:r>
          </w:p>
        </w:tc>
        <w:tc>
          <w:tcPr>
            <w:tcW w:w="2539" w:type="pct"/>
            <w:gridSpan w:val="3"/>
            <w:tcBorders>
              <w:top w:val="single" w:sz="4" w:space="0" w:color="366092"/>
              <w:left w:val="nil"/>
              <w:bottom w:val="single" w:sz="4" w:space="0" w:color="366092"/>
            </w:tcBorders>
            <w:vAlign w:val="center"/>
            <w:hideMark/>
          </w:tcPr>
          <w:p w14:paraId="0B7F6CFF" w14:textId="443D566A" w:rsidR="00FB3AF2" w:rsidRDefault="00AB108F" w:rsidP="00424235">
            <w:pPr>
              <w:jc w:val="center"/>
              <w:rPr>
                <w:rFonts w:ascii="Verdana" w:eastAsia="Times New Roman" w:hAnsi="Verdana" w:cs="Arial"/>
                <w:b/>
                <w:bCs/>
                <w:color w:val="365F91"/>
                <w:sz w:val="18"/>
                <w:szCs w:val="18"/>
                <w:lang w:val="el-GR"/>
              </w:rPr>
            </w:pPr>
            <w:r>
              <w:rPr>
                <w:rFonts w:ascii="Verdana" w:eastAsia="Times New Roman" w:hAnsi="Verdana" w:cs="Arial"/>
                <w:b/>
                <w:bCs/>
                <w:color w:val="366092"/>
                <w:sz w:val="18"/>
                <w:szCs w:val="18"/>
              </w:rPr>
              <w:t>Percentage</w:t>
            </w:r>
            <w:r w:rsidRPr="00245D28">
              <w:rPr>
                <w:rFonts w:ascii="Verdana" w:eastAsia="Times New Roman" w:hAnsi="Verdana" w:cs="Arial"/>
                <w:b/>
                <w:bCs/>
                <w:color w:val="366092"/>
                <w:sz w:val="18"/>
                <w:szCs w:val="18"/>
              </w:rPr>
              <w:t xml:space="preserve"> (%)</w:t>
            </w:r>
            <w:r>
              <w:rPr>
                <w:rFonts w:ascii="Verdana" w:eastAsia="Times New Roman" w:hAnsi="Verdana" w:cs="Arial"/>
                <w:b/>
                <w:bCs/>
                <w:color w:val="366092"/>
                <w:sz w:val="18"/>
                <w:szCs w:val="18"/>
                <w:lang w:val="el-GR"/>
              </w:rPr>
              <w:t xml:space="preserve"> </w:t>
            </w:r>
          </w:p>
        </w:tc>
      </w:tr>
      <w:tr w:rsidR="00FB3AF2" w:rsidRPr="003C5240" w14:paraId="3FABEF67" w14:textId="77777777" w:rsidTr="00424235">
        <w:trPr>
          <w:trHeight w:val="615"/>
        </w:trPr>
        <w:tc>
          <w:tcPr>
            <w:tcW w:w="2461" w:type="pct"/>
            <w:gridSpan w:val="2"/>
            <w:vMerge/>
            <w:tcBorders>
              <w:bottom w:val="single" w:sz="4" w:space="0" w:color="366092"/>
              <w:right w:val="nil"/>
            </w:tcBorders>
            <w:vAlign w:val="center"/>
            <w:hideMark/>
          </w:tcPr>
          <w:p w14:paraId="3A364B25" w14:textId="77777777" w:rsidR="00FB3AF2" w:rsidRPr="00680E32" w:rsidRDefault="00FB3AF2" w:rsidP="00424235">
            <w:pPr>
              <w:rPr>
                <w:rFonts w:ascii="Verdana" w:eastAsia="Times New Roman" w:hAnsi="Verdana" w:cs="Arial"/>
                <w:b/>
                <w:bCs/>
                <w:color w:val="365F91"/>
                <w:sz w:val="18"/>
                <w:szCs w:val="18"/>
                <w:lang w:val="el-GR"/>
              </w:rPr>
            </w:pPr>
          </w:p>
        </w:tc>
        <w:tc>
          <w:tcPr>
            <w:tcW w:w="739" w:type="pct"/>
            <w:tcBorders>
              <w:top w:val="single" w:sz="4" w:space="0" w:color="366092"/>
              <w:left w:val="nil"/>
              <w:bottom w:val="single" w:sz="4" w:space="0" w:color="366092"/>
              <w:right w:val="nil"/>
            </w:tcBorders>
            <w:vAlign w:val="center"/>
            <w:hideMark/>
          </w:tcPr>
          <w:p w14:paraId="4FEDA99A" w14:textId="70ADF1C0" w:rsidR="00FB3AF2" w:rsidRPr="004F677C" w:rsidRDefault="00AF6F1D" w:rsidP="00424235">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Aug</w:t>
            </w:r>
            <w:r w:rsidR="00FB3AF2">
              <w:rPr>
                <w:rFonts w:ascii="Verdana" w:eastAsia="Times New Roman" w:hAnsi="Verdana" w:cs="Arial"/>
                <w:b/>
                <w:bCs/>
                <w:color w:val="365F91"/>
                <w:sz w:val="18"/>
                <w:szCs w:val="18"/>
                <w:lang w:val="el-GR"/>
              </w:rPr>
              <w:t xml:space="preserve"> 20</w:t>
            </w:r>
          </w:p>
        </w:tc>
        <w:tc>
          <w:tcPr>
            <w:tcW w:w="863" w:type="pct"/>
            <w:tcBorders>
              <w:top w:val="single" w:sz="4" w:space="0" w:color="366092"/>
              <w:left w:val="nil"/>
              <w:bottom w:val="single" w:sz="4" w:space="0" w:color="366092"/>
              <w:right w:val="nil"/>
            </w:tcBorders>
            <w:shd w:val="clear" w:color="FFFFFF" w:fill="FFFFFF"/>
            <w:vAlign w:val="center"/>
            <w:hideMark/>
          </w:tcPr>
          <w:p w14:paraId="6B9046A5" w14:textId="5C204DDB" w:rsidR="00FB3AF2" w:rsidRPr="004F677C" w:rsidRDefault="00AF6F1D" w:rsidP="00424235">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Aug</w:t>
            </w:r>
            <w:r w:rsidR="00FB3AF2">
              <w:rPr>
                <w:rFonts w:ascii="Verdana" w:eastAsia="Times New Roman" w:hAnsi="Verdana" w:cs="Arial"/>
                <w:b/>
                <w:bCs/>
                <w:color w:val="365F91"/>
                <w:sz w:val="18"/>
                <w:szCs w:val="18"/>
                <w:lang w:val="el-GR"/>
              </w:rPr>
              <w:t xml:space="preserve"> 21</w:t>
            </w:r>
          </w:p>
        </w:tc>
        <w:tc>
          <w:tcPr>
            <w:tcW w:w="937" w:type="pct"/>
            <w:tcBorders>
              <w:top w:val="single" w:sz="4" w:space="0" w:color="366092"/>
              <w:left w:val="nil"/>
              <w:bottom w:val="single" w:sz="4" w:space="0" w:color="366092"/>
            </w:tcBorders>
            <w:shd w:val="clear" w:color="FFFFFF" w:fill="FFFFFF"/>
            <w:vAlign w:val="center"/>
          </w:tcPr>
          <w:p w14:paraId="18F30FA5" w14:textId="5E57B52E" w:rsidR="00FB3AF2" w:rsidRPr="004F677C" w:rsidRDefault="00AF6F1D" w:rsidP="00424235">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Aug</w:t>
            </w:r>
            <w:r w:rsidR="00FB3AF2">
              <w:rPr>
                <w:rFonts w:ascii="Verdana" w:eastAsia="Times New Roman" w:hAnsi="Verdana" w:cs="Arial"/>
                <w:b/>
                <w:bCs/>
                <w:color w:val="365F91"/>
                <w:sz w:val="18"/>
                <w:szCs w:val="18"/>
                <w:lang w:val="el-GR"/>
              </w:rPr>
              <w:t xml:space="preserve"> 22</w:t>
            </w:r>
          </w:p>
        </w:tc>
      </w:tr>
      <w:tr w:rsidR="0014433C" w:rsidRPr="00693ACA" w14:paraId="4BE7916D" w14:textId="77777777" w:rsidTr="00424235">
        <w:trPr>
          <w:trHeight w:val="375"/>
        </w:trPr>
        <w:tc>
          <w:tcPr>
            <w:tcW w:w="2272" w:type="pct"/>
            <w:tcBorders>
              <w:right w:val="nil"/>
            </w:tcBorders>
            <w:shd w:val="clear" w:color="FFFFFF" w:fill="FFFFFF"/>
            <w:vAlign w:val="center"/>
            <w:hideMark/>
          </w:tcPr>
          <w:p w14:paraId="420C20AE" w14:textId="7265559A" w:rsidR="0014433C" w:rsidRPr="004F677C" w:rsidRDefault="0014433C" w:rsidP="0014433C">
            <w:pPr>
              <w:ind w:left="162"/>
              <w:rPr>
                <w:rFonts w:ascii="Verdana" w:eastAsia="Times New Roman" w:hAnsi="Verdana" w:cs="Arial"/>
                <w:color w:val="365F91"/>
                <w:sz w:val="18"/>
                <w:szCs w:val="18"/>
                <w:lang w:val="el-GR"/>
              </w:rPr>
            </w:pPr>
            <w:r>
              <w:rPr>
                <w:rFonts w:ascii="Verdana" w:eastAsia="Times New Roman" w:hAnsi="Verdana" w:cs="Arial"/>
                <w:color w:val="365F91"/>
                <w:sz w:val="18"/>
                <w:szCs w:val="18"/>
              </w:rPr>
              <w:t>Holidays</w:t>
            </w:r>
          </w:p>
        </w:tc>
        <w:tc>
          <w:tcPr>
            <w:tcW w:w="928" w:type="pct"/>
            <w:gridSpan w:val="2"/>
            <w:tcBorders>
              <w:left w:val="nil"/>
              <w:right w:val="nil"/>
            </w:tcBorders>
            <w:shd w:val="clear" w:color="FFFFFF" w:fill="FFFFFF"/>
            <w:vAlign w:val="center"/>
          </w:tcPr>
          <w:p w14:paraId="664E7A04" w14:textId="4888D93B" w:rsidR="0014433C" w:rsidRPr="007931B7" w:rsidRDefault="0014433C" w:rsidP="0014433C">
            <w:pPr>
              <w:ind w:right="431" w:firstLineChars="100" w:firstLine="180"/>
              <w:jc w:val="right"/>
              <w:rPr>
                <w:rFonts w:ascii="Verdana" w:eastAsia="Times New Roman" w:hAnsi="Verdana" w:cs="Arial"/>
                <w:color w:val="365F91"/>
                <w:sz w:val="18"/>
                <w:szCs w:val="18"/>
                <w:highlight w:val="yellow"/>
                <w:lang w:val="el-GR"/>
              </w:rPr>
            </w:pPr>
            <w:r>
              <w:rPr>
                <w:rFonts w:ascii="Verdana" w:eastAsia="Times New Roman" w:hAnsi="Verdana" w:cs="Arial"/>
                <w:color w:val="365F91"/>
                <w:sz w:val="18"/>
                <w:szCs w:val="18"/>
                <w:lang w:val="el-GR"/>
              </w:rPr>
              <w:t>78,0</w:t>
            </w:r>
          </w:p>
        </w:tc>
        <w:tc>
          <w:tcPr>
            <w:tcW w:w="863" w:type="pct"/>
            <w:tcBorders>
              <w:left w:val="nil"/>
              <w:right w:val="nil"/>
            </w:tcBorders>
            <w:shd w:val="clear" w:color="FFFFFF" w:fill="FFFFFF"/>
            <w:noWrap/>
            <w:vAlign w:val="center"/>
          </w:tcPr>
          <w:p w14:paraId="6BABDE3E" w14:textId="0A81B8A7" w:rsidR="0014433C" w:rsidRPr="007F2378" w:rsidRDefault="0014433C" w:rsidP="0014433C">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87,7</w:t>
            </w:r>
          </w:p>
        </w:tc>
        <w:tc>
          <w:tcPr>
            <w:tcW w:w="937" w:type="pct"/>
            <w:tcBorders>
              <w:top w:val="nil"/>
              <w:left w:val="nil"/>
              <w:bottom w:val="nil"/>
              <w:right w:val="nil"/>
            </w:tcBorders>
            <w:shd w:val="clear" w:color="000000" w:fill="FFFFFF"/>
            <w:vAlign w:val="center"/>
          </w:tcPr>
          <w:p w14:paraId="3B79D4DA" w14:textId="5D53CFC7" w:rsidR="0014433C" w:rsidRPr="006149D2" w:rsidRDefault="0014433C" w:rsidP="0014433C">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lang w:val="el-GR"/>
              </w:rPr>
              <w:t>85,5</w:t>
            </w:r>
          </w:p>
        </w:tc>
      </w:tr>
      <w:tr w:rsidR="0014433C" w:rsidRPr="00693ACA" w14:paraId="4533B3DC" w14:textId="77777777" w:rsidTr="00424235">
        <w:trPr>
          <w:trHeight w:val="375"/>
        </w:trPr>
        <w:tc>
          <w:tcPr>
            <w:tcW w:w="2272" w:type="pct"/>
            <w:tcBorders>
              <w:right w:val="nil"/>
            </w:tcBorders>
            <w:shd w:val="clear" w:color="FFFFFF" w:fill="FFFFFF"/>
            <w:noWrap/>
            <w:vAlign w:val="center"/>
            <w:hideMark/>
          </w:tcPr>
          <w:p w14:paraId="0DC2E176" w14:textId="2261A5BC" w:rsidR="0014433C" w:rsidRPr="004F677C" w:rsidRDefault="0014433C" w:rsidP="0014433C">
            <w:pPr>
              <w:ind w:left="162"/>
              <w:rPr>
                <w:rFonts w:ascii="Verdana" w:eastAsia="Times New Roman" w:hAnsi="Verdana" w:cs="Arial"/>
                <w:color w:val="365F91"/>
                <w:sz w:val="18"/>
                <w:szCs w:val="18"/>
                <w:lang w:val="el-GR"/>
              </w:rPr>
            </w:pPr>
            <w:r>
              <w:rPr>
                <w:rFonts w:ascii="Verdana" w:eastAsia="Times New Roman" w:hAnsi="Verdana" w:cs="Arial"/>
                <w:color w:val="365F91"/>
                <w:sz w:val="18"/>
                <w:szCs w:val="18"/>
              </w:rPr>
              <w:t>Visiting friends &amp; relatives</w:t>
            </w:r>
          </w:p>
        </w:tc>
        <w:tc>
          <w:tcPr>
            <w:tcW w:w="928" w:type="pct"/>
            <w:gridSpan w:val="2"/>
            <w:tcBorders>
              <w:left w:val="nil"/>
              <w:right w:val="nil"/>
            </w:tcBorders>
            <w:shd w:val="clear" w:color="FFFFFF" w:fill="FFFFFF"/>
            <w:noWrap/>
            <w:vAlign w:val="center"/>
          </w:tcPr>
          <w:p w14:paraId="08501DB3" w14:textId="67CC00BC" w:rsidR="0014433C" w:rsidRPr="007931B7" w:rsidRDefault="0014433C" w:rsidP="0014433C">
            <w:pPr>
              <w:ind w:right="431" w:firstLineChars="100" w:firstLine="180"/>
              <w:jc w:val="right"/>
              <w:rPr>
                <w:rFonts w:ascii="Verdana" w:eastAsia="Times New Roman" w:hAnsi="Verdana" w:cs="Arial"/>
                <w:color w:val="365F91"/>
                <w:sz w:val="18"/>
                <w:szCs w:val="18"/>
                <w:highlight w:val="yellow"/>
                <w:lang w:val="el-GR"/>
              </w:rPr>
            </w:pPr>
            <w:r>
              <w:rPr>
                <w:rFonts w:ascii="Verdana" w:eastAsia="Times New Roman" w:hAnsi="Verdana" w:cs="Arial"/>
                <w:color w:val="365F91"/>
                <w:sz w:val="18"/>
                <w:szCs w:val="18"/>
              </w:rPr>
              <w:t>17</w:t>
            </w:r>
            <w:r>
              <w:rPr>
                <w:rFonts w:ascii="Verdana" w:eastAsia="Times New Roman" w:hAnsi="Verdana" w:cs="Arial"/>
                <w:color w:val="365F91"/>
                <w:sz w:val="18"/>
                <w:szCs w:val="18"/>
                <w:lang w:val="el-GR"/>
              </w:rPr>
              <w:t>,</w:t>
            </w:r>
            <w:r>
              <w:rPr>
                <w:rFonts w:ascii="Verdana" w:eastAsia="Times New Roman" w:hAnsi="Verdana" w:cs="Arial"/>
                <w:color w:val="365F91"/>
                <w:sz w:val="18"/>
                <w:szCs w:val="18"/>
              </w:rPr>
              <w:t>9</w:t>
            </w:r>
          </w:p>
        </w:tc>
        <w:tc>
          <w:tcPr>
            <w:tcW w:w="863" w:type="pct"/>
            <w:tcBorders>
              <w:left w:val="nil"/>
              <w:right w:val="nil"/>
            </w:tcBorders>
            <w:shd w:val="clear" w:color="FFFFFF" w:fill="FFFFFF"/>
            <w:noWrap/>
            <w:vAlign w:val="center"/>
          </w:tcPr>
          <w:p w14:paraId="0490077D" w14:textId="2F8CCA66" w:rsidR="0014433C" w:rsidRPr="007F2378" w:rsidRDefault="0014433C" w:rsidP="0014433C">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9,9</w:t>
            </w:r>
          </w:p>
        </w:tc>
        <w:tc>
          <w:tcPr>
            <w:tcW w:w="937" w:type="pct"/>
            <w:tcBorders>
              <w:top w:val="nil"/>
              <w:left w:val="nil"/>
              <w:bottom w:val="nil"/>
              <w:right w:val="nil"/>
            </w:tcBorders>
            <w:shd w:val="clear" w:color="000000" w:fill="FFFFFF"/>
            <w:vAlign w:val="center"/>
          </w:tcPr>
          <w:p w14:paraId="247C0760" w14:textId="1D00A3CC" w:rsidR="0014433C" w:rsidRPr="006149D2" w:rsidRDefault="0014433C" w:rsidP="0014433C">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lang w:val="el-GR"/>
              </w:rPr>
              <w:t>12,4</w:t>
            </w:r>
          </w:p>
        </w:tc>
      </w:tr>
      <w:tr w:rsidR="0014433C" w:rsidRPr="00693ACA" w14:paraId="387CFB37" w14:textId="77777777" w:rsidTr="00424235">
        <w:trPr>
          <w:trHeight w:val="375"/>
        </w:trPr>
        <w:tc>
          <w:tcPr>
            <w:tcW w:w="2272" w:type="pct"/>
            <w:tcBorders>
              <w:right w:val="nil"/>
            </w:tcBorders>
            <w:shd w:val="clear" w:color="FFFFFF" w:fill="FFFFFF"/>
            <w:vAlign w:val="center"/>
            <w:hideMark/>
          </w:tcPr>
          <w:p w14:paraId="6B87CB6C" w14:textId="1195DE57" w:rsidR="0014433C" w:rsidRPr="004F677C" w:rsidRDefault="0014433C" w:rsidP="0014433C">
            <w:pPr>
              <w:ind w:left="162"/>
              <w:rPr>
                <w:rFonts w:ascii="Verdana" w:eastAsia="Times New Roman" w:hAnsi="Verdana" w:cs="Arial"/>
                <w:color w:val="365F91"/>
                <w:sz w:val="18"/>
                <w:szCs w:val="18"/>
                <w:lang w:val="el-GR"/>
              </w:rPr>
            </w:pPr>
            <w:r>
              <w:rPr>
                <w:rFonts w:ascii="Verdana" w:eastAsia="Times New Roman" w:hAnsi="Verdana" w:cs="Arial"/>
                <w:color w:val="365F91"/>
                <w:sz w:val="18"/>
                <w:szCs w:val="18"/>
              </w:rPr>
              <w:t>Business</w:t>
            </w:r>
          </w:p>
        </w:tc>
        <w:tc>
          <w:tcPr>
            <w:tcW w:w="928" w:type="pct"/>
            <w:gridSpan w:val="2"/>
            <w:tcBorders>
              <w:left w:val="nil"/>
              <w:right w:val="nil"/>
            </w:tcBorders>
            <w:shd w:val="clear" w:color="FFFFFF" w:fill="FFFFFF"/>
            <w:vAlign w:val="center"/>
          </w:tcPr>
          <w:p w14:paraId="5393D988" w14:textId="452367CC" w:rsidR="0014433C" w:rsidRPr="007931B7" w:rsidRDefault="0014433C" w:rsidP="0014433C">
            <w:pPr>
              <w:ind w:right="431" w:firstLineChars="100" w:firstLine="180"/>
              <w:jc w:val="right"/>
              <w:rPr>
                <w:rFonts w:ascii="Verdana" w:eastAsia="Times New Roman" w:hAnsi="Verdana" w:cs="Arial"/>
                <w:color w:val="365F91"/>
                <w:sz w:val="18"/>
                <w:szCs w:val="18"/>
                <w:highlight w:val="yellow"/>
                <w:lang w:val="el-GR"/>
              </w:rPr>
            </w:pPr>
            <w:r>
              <w:rPr>
                <w:rFonts w:ascii="Verdana" w:eastAsia="Times New Roman" w:hAnsi="Verdana" w:cs="Arial"/>
                <w:color w:val="365F91"/>
                <w:sz w:val="18"/>
                <w:szCs w:val="18"/>
              </w:rPr>
              <w:t>4</w:t>
            </w:r>
            <w:r>
              <w:rPr>
                <w:rFonts w:ascii="Verdana" w:eastAsia="Times New Roman" w:hAnsi="Verdana" w:cs="Arial"/>
                <w:color w:val="365F91"/>
                <w:sz w:val="18"/>
                <w:szCs w:val="18"/>
                <w:lang w:val="el-GR"/>
              </w:rPr>
              <w:t>,</w:t>
            </w:r>
            <w:r>
              <w:rPr>
                <w:rFonts w:ascii="Verdana" w:eastAsia="Times New Roman" w:hAnsi="Verdana" w:cs="Arial"/>
                <w:color w:val="365F91"/>
                <w:sz w:val="18"/>
                <w:szCs w:val="18"/>
              </w:rPr>
              <w:t>1</w:t>
            </w:r>
          </w:p>
        </w:tc>
        <w:tc>
          <w:tcPr>
            <w:tcW w:w="863" w:type="pct"/>
            <w:tcBorders>
              <w:left w:val="nil"/>
              <w:right w:val="nil"/>
            </w:tcBorders>
            <w:shd w:val="clear" w:color="FFFFFF" w:fill="FFFFFF"/>
            <w:noWrap/>
            <w:vAlign w:val="center"/>
          </w:tcPr>
          <w:p w14:paraId="6A0D1470" w14:textId="2F9C065E" w:rsidR="0014433C" w:rsidRPr="007F2378" w:rsidRDefault="0014433C" w:rsidP="0014433C">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2,3</w:t>
            </w:r>
          </w:p>
        </w:tc>
        <w:tc>
          <w:tcPr>
            <w:tcW w:w="937" w:type="pct"/>
            <w:tcBorders>
              <w:top w:val="nil"/>
              <w:left w:val="nil"/>
              <w:bottom w:val="nil"/>
              <w:right w:val="nil"/>
            </w:tcBorders>
            <w:shd w:val="clear" w:color="000000" w:fill="FFFFFF"/>
            <w:vAlign w:val="center"/>
          </w:tcPr>
          <w:p w14:paraId="12D60B52" w14:textId="7B64F29E" w:rsidR="0014433C" w:rsidRPr="006149D2" w:rsidRDefault="0014433C" w:rsidP="0014433C">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lang w:val="el-GR"/>
              </w:rPr>
              <w:t>2,1</w:t>
            </w:r>
          </w:p>
        </w:tc>
      </w:tr>
      <w:tr w:rsidR="00FB3AF2" w:rsidRPr="00E83793" w14:paraId="791707CB" w14:textId="77777777" w:rsidTr="00424235">
        <w:trPr>
          <w:trHeight w:val="440"/>
        </w:trPr>
        <w:tc>
          <w:tcPr>
            <w:tcW w:w="5000" w:type="pct"/>
            <w:gridSpan w:val="5"/>
            <w:tcBorders>
              <w:top w:val="single" w:sz="4" w:space="0" w:color="366092"/>
              <w:bottom w:val="nil"/>
            </w:tcBorders>
            <w:shd w:val="clear" w:color="FFFFFF" w:fill="FFFFFF"/>
            <w:noWrap/>
            <w:vAlign w:val="center"/>
            <w:hideMark/>
          </w:tcPr>
          <w:p w14:paraId="2DBE5030" w14:textId="77777777" w:rsidR="00FB3AF2" w:rsidRPr="0021308B" w:rsidRDefault="00FB3AF2" w:rsidP="00424235">
            <w:pPr>
              <w:rPr>
                <w:rFonts w:ascii="Verdana" w:eastAsia="Times New Roman" w:hAnsi="Verdana" w:cs="Arial"/>
                <w:bCs/>
                <w:i/>
                <w:color w:val="365F91"/>
                <w:sz w:val="16"/>
                <w:szCs w:val="16"/>
                <w:lang w:val="el-GR"/>
              </w:rPr>
            </w:pPr>
          </w:p>
        </w:tc>
      </w:tr>
    </w:tbl>
    <w:p w14:paraId="4FB85608" w14:textId="77777777" w:rsidR="002A10AB" w:rsidRPr="00D65191" w:rsidRDefault="002A10AB" w:rsidP="002A10AB">
      <w:pPr>
        <w:tabs>
          <w:tab w:val="left" w:pos="1080"/>
          <w:tab w:val="left" w:pos="6840"/>
        </w:tabs>
        <w:jc w:val="both"/>
        <w:rPr>
          <w:rFonts w:ascii="Verdana" w:eastAsia="Malgun Gothic" w:hAnsi="Verdana" w:cs="Arial"/>
          <w:sz w:val="18"/>
          <w:szCs w:val="18"/>
          <w:u w:val="single"/>
        </w:rPr>
      </w:pPr>
    </w:p>
    <w:p w14:paraId="6DC942CD" w14:textId="77777777" w:rsidR="002A10AB" w:rsidRPr="00D65191" w:rsidRDefault="002A10AB" w:rsidP="002A10AB">
      <w:pPr>
        <w:tabs>
          <w:tab w:val="left" w:pos="1080"/>
          <w:tab w:val="left" w:pos="6840"/>
        </w:tabs>
        <w:rPr>
          <w:rFonts w:ascii="Verdana" w:eastAsia="Malgun Gothic" w:hAnsi="Verdana" w:cs="Arial"/>
          <w:sz w:val="18"/>
          <w:szCs w:val="18"/>
          <w:u w:val="single"/>
        </w:rPr>
      </w:pPr>
    </w:p>
    <w:p w14:paraId="5D14A0C4" w14:textId="06ACD41B" w:rsidR="002A10AB" w:rsidRPr="00D65191" w:rsidRDefault="002A10AB" w:rsidP="002A10AB">
      <w:pPr>
        <w:tabs>
          <w:tab w:val="left" w:pos="1080"/>
          <w:tab w:val="left" w:pos="6840"/>
        </w:tabs>
        <w:jc w:val="center"/>
        <w:rPr>
          <w:rFonts w:ascii="Verdana" w:eastAsia="Malgun Gothic" w:hAnsi="Verdana" w:cs="Arial"/>
          <w:b/>
          <w:sz w:val="18"/>
          <w:szCs w:val="18"/>
          <w:u w:val="single"/>
        </w:rPr>
      </w:pPr>
    </w:p>
    <w:p w14:paraId="2F51D6C4" w14:textId="71A8F790"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7A2E51C2" w14:textId="5E0388D2"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48A4B82E" w14:textId="77777777"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7B68676D" w14:textId="1E0F73BC" w:rsidR="002A10AB" w:rsidRDefault="002A10AB" w:rsidP="002A10AB">
      <w:pPr>
        <w:tabs>
          <w:tab w:val="left" w:pos="1080"/>
          <w:tab w:val="left" w:pos="6840"/>
        </w:tabs>
        <w:jc w:val="center"/>
        <w:rPr>
          <w:rFonts w:ascii="Verdana" w:eastAsia="Malgun Gothic" w:hAnsi="Verdana" w:cs="Arial"/>
          <w:b/>
          <w:sz w:val="18"/>
          <w:szCs w:val="18"/>
          <w:u w:val="single"/>
        </w:rPr>
      </w:pPr>
    </w:p>
    <w:p w14:paraId="51D7BBAD" w14:textId="77777777"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6F54B3D6" w14:textId="16D0B226" w:rsidR="002A10AB" w:rsidRDefault="002A10AB" w:rsidP="002A10AB">
      <w:pPr>
        <w:tabs>
          <w:tab w:val="left" w:pos="1080"/>
          <w:tab w:val="left" w:pos="6840"/>
        </w:tabs>
        <w:jc w:val="center"/>
        <w:rPr>
          <w:rFonts w:ascii="Verdana" w:eastAsia="Malgun Gothic" w:hAnsi="Verdana" w:cs="Arial"/>
          <w:b/>
          <w:sz w:val="18"/>
          <w:szCs w:val="18"/>
          <w:u w:val="single"/>
        </w:rPr>
      </w:pPr>
    </w:p>
    <w:p w14:paraId="5F4F08D6" w14:textId="7612D9F2" w:rsidR="00F715F0" w:rsidRDefault="00F715F0" w:rsidP="002A10AB">
      <w:pPr>
        <w:tabs>
          <w:tab w:val="left" w:pos="1080"/>
          <w:tab w:val="left" w:pos="6840"/>
        </w:tabs>
        <w:jc w:val="center"/>
        <w:rPr>
          <w:rFonts w:ascii="Verdana" w:eastAsia="Malgun Gothic" w:hAnsi="Verdana" w:cs="Arial"/>
          <w:b/>
          <w:sz w:val="18"/>
          <w:szCs w:val="18"/>
          <w:u w:val="single"/>
        </w:rPr>
      </w:pPr>
    </w:p>
    <w:p w14:paraId="4C4021CF" w14:textId="535DD6A4" w:rsidR="00F715F0" w:rsidRDefault="00F715F0" w:rsidP="002A10AB">
      <w:pPr>
        <w:tabs>
          <w:tab w:val="left" w:pos="1080"/>
          <w:tab w:val="left" w:pos="6840"/>
        </w:tabs>
        <w:jc w:val="center"/>
        <w:rPr>
          <w:rFonts w:ascii="Verdana" w:eastAsia="Malgun Gothic" w:hAnsi="Verdana" w:cs="Arial"/>
          <w:b/>
          <w:sz w:val="18"/>
          <w:szCs w:val="18"/>
          <w:u w:val="single"/>
        </w:rPr>
      </w:pPr>
    </w:p>
    <w:p w14:paraId="5200469E" w14:textId="6772DCA5" w:rsidR="00F715F0" w:rsidRDefault="00F715F0" w:rsidP="002A10AB">
      <w:pPr>
        <w:tabs>
          <w:tab w:val="left" w:pos="1080"/>
          <w:tab w:val="left" w:pos="6840"/>
        </w:tabs>
        <w:jc w:val="center"/>
        <w:rPr>
          <w:rFonts w:ascii="Verdana" w:eastAsia="Malgun Gothic" w:hAnsi="Verdana" w:cs="Arial"/>
          <w:b/>
          <w:sz w:val="18"/>
          <w:szCs w:val="18"/>
          <w:u w:val="single"/>
        </w:rPr>
      </w:pPr>
    </w:p>
    <w:p w14:paraId="3C87930A" w14:textId="3820AC18" w:rsidR="00567974" w:rsidRDefault="00567974" w:rsidP="002A10AB">
      <w:pPr>
        <w:tabs>
          <w:tab w:val="left" w:pos="1080"/>
          <w:tab w:val="left" w:pos="6840"/>
        </w:tabs>
        <w:jc w:val="center"/>
        <w:rPr>
          <w:rFonts w:ascii="Verdana" w:eastAsia="Malgun Gothic" w:hAnsi="Verdana" w:cs="Arial"/>
          <w:b/>
          <w:sz w:val="18"/>
          <w:szCs w:val="18"/>
          <w:u w:val="single"/>
        </w:rPr>
      </w:pPr>
    </w:p>
    <w:p w14:paraId="5876D6CE" w14:textId="621B7E9E" w:rsidR="00567974" w:rsidRDefault="00567974" w:rsidP="002A10AB">
      <w:pPr>
        <w:tabs>
          <w:tab w:val="left" w:pos="1080"/>
          <w:tab w:val="left" w:pos="6840"/>
        </w:tabs>
        <w:jc w:val="center"/>
        <w:rPr>
          <w:rFonts w:ascii="Verdana" w:eastAsia="Malgun Gothic" w:hAnsi="Verdana" w:cs="Arial"/>
          <w:b/>
          <w:sz w:val="18"/>
          <w:szCs w:val="18"/>
          <w:u w:val="single"/>
        </w:rPr>
      </w:pPr>
    </w:p>
    <w:p w14:paraId="53D54ECF" w14:textId="393D4C1E" w:rsidR="00567974" w:rsidRDefault="00567974" w:rsidP="002A10AB">
      <w:pPr>
        <w:tabs>
          <w:tab w:val="left" w:pos="1080"/>
          <w:tab w:val="left" w:pos="6840"/>
        </w:tabs>
        <w:jc w:val="center"/>
        <w:rPr>
          <w:rFonts w:ascii="Verdana" w:eastAsia="Malgun Gothic" w:hAnsi="Verdana" w:cs="Arial"/>
          <w:b/>
          <w:sz w:val="18"/>
          <w:szCs w:val="18"/>
          <w:u w:val="single"/>
        </w:rPr>
      </w:pPr>
    </w:p>
    <w:p w14:paraId="7F9DEA78" w14:textId="6838FA0C" w:rsidR="00567974" w:rsidRDefault="00567974" w:rsidP="002A10AB">
      <w:pPr>
        <w:tabs>
          <w:tab w:val="left" w:pos="1080"/>
          <w:tab w:val="left" w:pos="6840"/>
        </w:tabs>
        <w:jc w:val="center"/>
        <w:rPr>
          <w:rFonts w:ascii="Verdana" w:eastAsia="Malgun Gothic" w:hAnsi="Verdana" w:cs="Arial"/>
          <w:b/>
          <w:sz w:val="18"/>
          <w:szCs w:val="18"/>
          <w:u w:val="single"/>
        </w:rPr>
      </w:pPr>
    </w:p>
    <w:p w14:paraId="6CDD9352" w14:textId="0B699F63" w:rsidR="00567974" w:rsidRDefault="00567974" w:rsidP="002A10AB">
      <w:pPr>
        <w:tabs>
          <w:tab w:val="left" w:pos="1080"/>
          <w:tab w:val="left" w:pos="6840"/>
        </w:tabs>
        <w:jc w:val="center"/>
        <w:rPr>
          <w:rFonts w:ascii="Verdana" w:eastAsia="Malgun Gothic" w:hAnsi="Verdana" w:cs="Arial"/>
          <w:b/>
          <w:sz w:val="18"/>
          <w:szCs w:val="18"/>
          <w:u w:val="single"/>
        </w:rPr>
      </w:pPr>
    </w:p>
    <w:p w14:paraId="6E145056" w14:textId="1C5AD600" w:rsidR="00567974" w:rsidRDefault="00567974" w:rsidP="002A10AB">
      <w:pPr>
        <w:tabs>
          <w:tab w:val="left" w:pos="1080"/>
          <w:tab w:val="left" w:pos="6840"/>
        </w:tabs>
        <w:jc w:val="center"/>
        <w:rPr>
          <w:rFonts w:ascii="Verdana" w:eastAsia="Malgun Gothic" w:hAnsi="Verdana" w:cs="Arial"/>
          <w:b/>
          <w:sz w:val="18"/>
          <w:szCs w:val="18"/>
          <w:u w:val="single"/>
        </w:rPr>
      </w:pPr>
    </w:p>
    <w:p w14:paraId="63D0810F" w14:textId="50F40C17" w:rsidR="00567974" w:rsidRDefault="00567974" w:rsidP="002A10AB">
      <w:pPr>
        <w:tabs>
          <w:tab w:val="left" w:pos="1080"/>
          <w:tab w:val="left" w:pos="6840"/>
        </w:tabs>
        <w:jc w:val="center"/>
        <w:rPr>
          <w:rFonts w:ascii="Verdana" w:eastAsia="Malgun Gothic" w:hAnsi="Verdana" w:cs="Arial"/>
          <w:b/>
          <w:sz w:val="18"/>
          <w:szCs w:val="18"/>
          <w:u w:val="single"/>
        </w:rPr>
      </w:pPr>
    </w:p>
    <w:p w14:paraId="3D80C0EC" w14:textId="0F75ED29" w:rsidR="00567974" w:rsidRDefault="00567974" w:rsidP="002A10AB">
      <w:pPr>
        <w:tabs>
          <w:tab w:val="left" w:pos="1080"/>
          <w:tab w:val="left" w:pos="6840"/>
        </w:tabs>
        <w:jc w:val="center"/>
        <w:rPr>
          <w:rFonts w:ascii="Verdana" w:eastAsia="Malgun Gothic" w:hAnsi="Verdana" w:cs="Arial"/>
          <w:b/>
          <w:sz w:val="18"/>
          <w:szCs w:val="18"/>
          <w:u w:val="single"/>
        </w:rPr>
      </w:pPr>
    </w:p>
    <w:p w14:paraId="3A18060D" w14:textId="46ACF77D" w:rsidR="00567974" w:rsidRDefault="00567974" w:rsidP="002A10AB">
      <w:pPr>
        <w:tabs>
          <w:tab w:val="left" w:pos="1080"/>
          <w:tab w:val="left" w:pos="6840"/>
        </w:tabs>
        <w:jc w:val="center"/>
        <w:rPr>
          <w:rFonts w:ascii="Verdana" w:eastAsia="Malgun Gothic" w:hAnsi="Verdana" w:cs="Arial"/>
          <w:b/>
          <w:sz w:val="18"/>
          <w:szCs w:val="18"/>
          <w:u w:val="single"/>
        </w:rPr>
      </w:pPr>
    </w:p>
    <w:p w14:paraId="749F5D49" w14:textId="20CAA26C" w:rsidR="00567974" w:rsidRDefault="00567974" w:rsidP="002A10AB">
      <w:pPr>
        <w:tabs>
          <w:tab w:val="left" w:pos="1080"/>
          <w:tab w:val="left" w:pos="6840"/>
        </w:tabs>
        <w:jc w:val="center"/>
        <w:rPr>
          <w:rFonts w:ascii="Verdana" w:eastAsia="Malgun Gothic" w:hAnsi="Verdana" w:cs="Arial"/>
          <w:b/>
          <w:sz w:val="18"/>
          <w:szCs w:val="18"/>
          <w:u w:val="single"/>
        </w:rPr>
      </w:pPr>
    </w:p>
    <w:p w14:paraId="18C5C81A" w14:textId="769A5021" w:rsidR="00567974" w:rsidRDefault="00567974" w:rsidP="002A10AB">
      <w:pPr>
        <w:tabs>
          <w:tab w:val="left" w:pos="1080"/>
          <w:tab w:val="left" w:pos="6840"/>
        </w:tabs>
        <w:jc w:val="center"/>
        <w:rPr>
          <w:rFonts w:ascii="Verdana" w:eastAsia="Malgun Gothic" w:hAnsi="Verdana" w:cs="Arial"/>
          <w:b/>
          <w:sz w:val="18"/>
          <w:szCs w:val="18"/>
          <w:u w:val="single"/>
        </w:rPr>
      </w:pPr>
    </w:p>
    <w:p w14:paraId="1900F528" w14:textId="54C9BA0D" w:rsidR="00567974" w:rsidRDefault="00567974" w:rsidP="002A10AB">
      <w:pPr>
        <w:tabs>
          <w:tab w:val="left" w:pos="1080"/>
          <w:tab w:val="left" w:pos="6840"/>
        </w:tabs>
        <w:jc w:val="center"/>
        <w:rPr>
          <w:rFonts w:ascii="Verdana" w:eastAsia="Malgun Gothic" w:hAnsi="Verdana" w:cs="Arial"/>
          <w:b/>
          <w:sz w:val="18"/>
          <w:szCs w:val="18"/>
          <w:u w:val="single"/>
        </w:rPr>
      </w:pPr>
    </w:p>
    <w:p w14:paraId="59F3593E" w14:textId="67B3752A" w:rsidR="00567974" w:rsidRDefault="00567974" w:rsidP="002A10AB">
      <w:pPr>
        <w:tabs>
          <w:tab w:val="left" w:pos="1080"/>
          <w:tab w:val="left" w:pos="6840"/>
        </w:tabs>
        <w:jc w:val="center"/>
        <w:rPr>
          <w:rFonts w:ascii="Verdana" w:eastAsia="Malgun Gothic" w:hAnsi="Verdana" w:cs="Arial"/>
          <w:b/>
          <w:sz w:val="18"/>
          <w:szCs w:val="18"/>
          <w:u w:val="single"/>
        </w:rPr>
      </w:pPr>
    </w:p>
    <w:p w14:paraId="6AA2BDB2" w14:textId="00545605" w:rsidR="00567974" w:rsidRDefault="00567974" w:rsidP="002A10AB">
      <w:pPr>
        <w:tabs>
          <w:tab w:val="left" w:pos="1080"/>
          <w:tab w:val="left" w:pos="6840"/>
        </w:tabs>
        <w:jc w:val="center"/>
        <w:rPr>
          <w:rFonts w:ascii="Verdana" w:eastAsia="Malgun Gothic" w:hAnsi="Verdana" w:cs="Arial"/>
          <w:b/>
          <w:sz w:val="18"/>
          <w:szCs w:val="18"/>
          <w:u w:val="single"/>
        </w:rPr>
      </w:pPr>
    </w:p>
    <w:p w14:paraId="3E74B710" w14:textId="1E9FB1F7" w:rsidR="00567974" w:rsidRDefault="00567974" w:rsidP="002A10AB">
      <w:pPr>
        <w:tabs>
          <w:tab w:val="left" w:pos="1080"/>
          <w:tab w:val="left" w:pos="6840"/>
        </w:tabs>
        <w:jc w:val="center"/>
        <w:rPr>
          <w:rFonts w:ascii="Verdana" w:eastAsia="Malgun Gothic" w:hAnsi="Verdana" w:cs="Arial"/>
          <w:b/>
          <w:sz w:val="18"/>
          <w:szCs w:val="18"/>
          <w:u w:val="single"/>
        </w:rPr>
      </w:pPr>
    </w:p>
    <w:p w14:paraId="6F7B07BA" w14:textId="5DE450D9" w:rsidR="00567974" w:rsidRDefault="00567974" w:rsidP="002A10AB">
      <w:pPr>
        <w:tabs>
          <w:tab w:val="left" w:pos="1080"/>
          <w:tab w:val="left" w:pos="6840"/>
        </w:tabs>
        <w:jc w:val="center"/>
        <w:rPr>
          <w:rFonts w:ascii="Verdana" w:eastAsia="Malgun Gothic" w:hAnsi="Verdana" w:cs="Arial"/>
          <w:b/>
          <w:sz w:val="18"/>
          <w:szCs w:val="18"/>
          <w:u w:val="single"/>
        </w:rPr>
      </w:pPr>
    </w:p>
    <w:p w14:paraId="1AFE6C6D" w14:textId="2D92520A" w:rsidR="00567974" w:rsidRDefault="00567974" w:rsidP="002A10AB">
      <w:pPr>
        <w:tabs>
          <w:tab w:val="left" w:pos="1080"/>
          <w:tab w:val="left" w:pos="6840"/>
        </w:tabs>
        <w:jc w:val="center"/>
        <w:rPr>
          <w:rFonts w:ascii="Verdana" w:eastAsia="Malgun Gothic" w:hAnsi="Verdana" w:cs="Arial"/>
          <w:b/>
          <w:sz w:val="18"/>
          <w:szCs w:val="18"/>
          <w:u w:val="single"/>
        </w:rPr>
      </w:pPr>
    </w:p>
    <w:p w14:paraId="61620533" w14:textId="086E5EE1" w:rsidR="00567974" w:rsidRDefault="00567974" w:rsidP="002A10AB">
      <w:pPr>
        <w:tabs>
          <w:tab w:val="left" w:pos="1080"/>
          <w:tab w:val="left" w:pos="6840"/>
        </w:tabs>
        <w:jc w:val="center"/>
        <w:rPr>
          <w:rFonts w:ascii="Verdana" w:eastAsia="Malgun Gothic" w:hAnsi="Verdana" w:cs="Arial"/>
          <w:b/>
          <w:sz w:val="18"/>
          <w:szCs w:val="18"/>
          <w:u w:val="single"/>
        </w:rPr>
      </w:pPr>
    </w:p>
    <w:p w14:paraId="0D3AA00E" w14:textId="1D1AE30C" w:rsidR="00567974" w:rsidRDefault="00567974" w:rsidP="002A10AB">
      <w:pPr>
        <w:tabs>
          <w:tab w:val="left" w:pos="1080"/>
          <w:tab w:val="left" w:pos="6840"/>
        </w:tabs>
        <w:jc w:val="center"/>
        <w:rPr>
          <w:rFonts w:ascii="Verdana" w:eastAsia="Malgun Gothic" w:hAnsi="Verdana" w:cs="Arial"/>
          <w:b/>
          <w:sz w:val="18"/>
          <w:szCs w:val="18"/>
          <w:u w:val="single"/>
        </w:rPr>
      </w:pPr>
    </w:p>
    <w:p w14:paraId="2B851269" w14:textId="2B2011D3" w:rsidR="00567974" w:rsidRDefault="00567974" w:rsidP="002A10AB">
      <w:pPr>
        <w:tabs>
          <w:tab w:val="left" w:pos="1080"/>
          <w:tab w:val="left" w:pos="6840"/>
        </w:tabs>
        <w:jc w:val="center"/>
        <w:rPr>
          <w:rFonts w:ascii="Verdana" w:eastAsia="Malgun Gothic" w:hAnsi="Verdana" w:cs="Arial"/>
          <w:b/>
          <w:sz w:val="18"/>
          <w:szCs w:val="18"/>
          <w:u w:val="single"/>
        </w:rPr>
      </w:pPr>
    </w:p>
    <w:p w14:paraId="085890AA" w14:textId="48B28866" w:rsidR="00567974" w:rsidRDefault="00567974" w:rsidP="002A10AB">
      <w:pPr>
        <w:tabs>
          <w:tab w:val="left" w:pos="1080"/>
          <w:tab w:val="left" w:pos="6840"/>
        </w:tabs>
        <w:jc w:val="center"/>
        <w:rPr>
          <w:rFonts w:ascii="Verdana" w:eastAsia="Malgun Gothic" w:hAnsi="Verdana" w:cs="Arial"/>
          <w:b/>
          <w:sz w:val="18"/>
          <w:szCs w:val="18"/>
          <w:u w:val="single"/>
        </w:rPr>
      </w:pPr>
    </w:p>
    <w:p w14:paraId="04278534" w14:textId="7B2DCEB0" w:rsidR="00567974" w:rsidRDefault="00567974" w:rsidP="002A10AB">
      <w:pPr>
        <w:tabs>
          <w:tab w:val="left" w:pos="1080"/>
          <w:tab w:val="left" w:pos="6840"/>
        </w:tabs>
        <w:jc w:val="center"/>
        <w:rPr>
          <w:rFonts w:ascii="Verdana" w:eastAsia="Malgun Gothic" w:hAnsi="Verdana" w:cs="Arial"/>
          <w:b/>
          <w:sz w:val="18"/>
          <w:szCs w:val="18"/>
          <w:u w:val="single"/>
        </w:rPr>
      </w:pPr>
    </w:p>
    <w:p w14:paraId="275F3BFC" w14:textId="0B8D0ABE" w:rsidR="00567974" w:rsidRDefault="00567974" w:rsidP="002A10AB">
      <w:pPr>
        <w:tabs>
          <w:tab w:val="left" w:pos="1080"/>
          <w:tab w:val="left" w:pos="6840"/>
        </w:tabs>
        <w:jc w:val="center"/>
        <w:rPr>
          <w:rFonts w:ascii="Verdana" w:eastAsia="Malgun Gothic" w:hAnsi="Verdana" w:cs="Arial"/>
          <w:b/>
          <w:sz w:val="18"/>
          <w:szCs w:val="18"/>
          <w:u w:val="single"/>
        </w:rPr>
      </w:pPr>
    </w:p>
    <w:p w14:paraId="5666CA51" w14:textId="77777777" w:rsidR="002C26AD" w:rsidRPr="00D65191" w:rsidRDefault="002C26AD" w:rsidP="002A10AB">
      <w:pPr>
        <w:tabs>
          <w:tab w:val="left" w:pos="1080"/>
          <w:tab w:val="left" w:pos="6840"/>
        </w:tabs>
        <w:jc w:val="center"/>
        <w:rPr>
          <w:rFonts w:ascii="Verdana" w:eastAsia="Malgun Gothic" w:hAnsi="Verdana" w:cs="Arial"/>
          <w:b/>
          <w:sz w:val="18"/>
          <w:szCs w:val="18"/>
          <w:u w:val="single"/>
        </w:rPr>
      </w:pPr>
    </w:p>
    <w:p w14:paraId="1F8400AC" w14:textId="77777777" w:rsidR="002A10AB" w:rsidRDefault="002A10AB" w:rsidP="002A10AB">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NOTES</w:t>
      </w:r>
    </w:p>
    <w:p w14:paraId="261A7790" w14:textId="77777777" w:rsidR="002A10AB" w:rsidRDefault="002A10AB" w:rsidP="002A10AB">
      <w:pPr>
        <w:tabs>
          <w:tab w:val="left" w:pos="1080"/>
          <w:tab w:val="left" w:pos="6840"/>
        </w:tabs>
        <w:jc w:val="both"/>
        <w:rPr>
          <w:rFonts w:ascii="Verdana" w:eastAsia="Malgun Gothic" w:hAnsi="Verdana" w:cs="Arial"/>
          <w:sz w:val="20"/>
          <w:szCs w:val="20"/>
        </w:rPr>
      </w:pPr>
    </w:p>
    <w:p w14:paraId="6069A82D" w14:textId="77777777" w:rsidR="002A10AB" w:rsidRDefault="002A10AB" w:rsidP="002A10AB">
      <w:pPr>
        <w:tabs>
          <w:tab w:val="left" w:pos="1080"/>
          <w:tab w:val="left" w:pos="6840"/>
        </w:tabs>
        <w:jc w:val="both"/>
        <w:rPr>
          <w:rFonts w:ascii="Verdana" w:eastAsia="Malgun Gothic" w:hAnsi="Verdana" w:cs="Arial"/>
          <w:b/>
          <w:sz w:val="20"/>
          <w:szCs w:val="20"/>
          <w:u w:val="single"/>
        </w:rPr>
      </w:pPr>
    </w:p>
    <w:p w14:paraId="5065B085" w14:textId="77777777" w:rsidR="002A10AB" w:rsidRDefault="002A10AB" w:rsidP="002A10AB">
      <w:pPr>
        <w:tabs>
          <w:tab w:val="left" w:pos="945"/>
        </w:tabs>
        <w:jc w:val="both"/>
        <w:rPr>
          <w:rFonts w:ascii="Verdana" w:eastAsia="Malgun Gothic" w:hAnsi="Verdana" w:cs="Arial"/>
          <w:sz w:val="18"/>
          <w:szCs w:val="18"/>
        </w:rPr>
      </w:pPr>
    </w:p>
    <w:p w14:paraId="6831C6EA" w14:textId="77777777" w:rsidR="002A10AB" w:rsidRDefault="002A10AB" w:rsidP="002A10AB">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58A8EEBA" w14:textId="77777777" w:rsidR="002A10AB" w:rsidRDefault="002A10AB" w:rsidP="002A10AB">
      <w:pPr>
        <w:jc w:val="both"/>
        <w:rPr>
          <w:b/>
          <w:i/>
        </w:rPr>
      </w:pPr>
    </w:p>
    <w:p w14:paraId="63DB28BD" w14:textId="77777777" w:rsidR="002A10AB" w:rsidRDefault="002A10AB" w:rsidP="002A10AB">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9B6CC53" w14:textId="77777777" w:rsidR="002A10AB" w:rsidRDefault="002A10AB" w:rsidP="002A10AB">
      <w:pPr>
        <w:ind w:right="176"/>
        <w:jc w:val="both"/>
        <w:rPr>
          <w:rFonts w:ascii="Verdana" w:hAnsi="Verdana"/>
          <w:b/>
          <w:i/>
          <w:sz w:val="18"/>
          <w:szCs w:val="18"/>
        </w:rPr>
      </w:pPr>
    </w:p>
    <w:p w14:paraId="24C97B0C" w14:textId="77777777" w:rsidR="002A10AB" w:rsidRDefault="002A10AB" w:rsidP="002A10AB">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0824E9A" w14:textId="77777777" w:rsidR="002A10AB" w:rsidRDefault="002A10AB" w:rsidP="002A10AB">
      <w:pPr>
        <w:jc w:val="both"/>
        <w:rPr>
          <w:rFonts w:ascii="Verdana" w:hAnsi="Verdana"/>
          <w:sz w:val="18"/>
          <w:szCs w:val="18"/>
        </w:rPr>
      </w:pPr>
    </w:p>
    <w:p w14:paraId="020E6295" w14:textId="77777777" w:rsidR="002A10AB" w:rsidRDefault="002A10AB" w:rsidP="002A10AB">
      <w:pPr>
        <w:tabs>
          <w:tab w:val="left" w:pos="945"/>
        </w:tabs>
        <w:jc w:val="both"/>
        <w:rPr>
          <w:rFonts w:ascii="Verdana" w:eastAsia="Malgun Gothic" w:hAnsi="Verdana" w:cs="Arial"/>
          <w:sz w:val="18"/>
          <w:szCs w:val="18"/>
        </w:rPr>
      </w:pPr>
    </w:p>
    <w:p w14:paraId="7CE8B289" w14:textId="77777777" w:rsidR="002A10AB" w:rsidRDefault="002A10AB" w:rsidP="002A10AB">
      <w:pPr>
        <w:tabs>
          <w:tab w:val="left" w:pos="945"/>
        </w:tabs>
        <w:jc w:val="both"/>
        <w:rPr>
          <w:rFonts w:ascii="Verdana" w:eastAsia="Malgun Gothic" w:hAnsi="Verdana" w:cs="Arial"/>
          <w:sz w:val="18"/>
          <w:szCs w:val="18"/>
        </w:rPr>
      </w:pPr>
    </w:p>
    <w:p w14:paraId="06162BC2" w14:textId="77777777" w:rsidR="002A10AB" w:rsidRDefault="002A10AB" w:rsidP="002A10AB">
      <w:pPr>
        <w:jc w:val="both"/>
        <w:rPr>
          <w:rFonts w:ascii="Verdana" w:hAnsi="Verdana"/>
          <w:b/>
          <w:sz w:val="18"/>
          <w:szCs w:val="18"/>
          <w:u w:val="single"/>
        </w:rPr>
      </w:pPr>
      <w:r>
        <w:rPr>
          <w:rFonts w:ascii="Verdana" w:hAnsi="Verdana"/>
          <w:b/>
          <w:sz w:val="18"/>
          <w:szCs w:val="18"/>
          <w:u w:val="single"/>
        </w:rPr>
        <w:t>Source of data and coverage</w:t>
      </w:r>
    </w:p>
    <w:p w14:paraId="7CEE1661" w14:textId="77777777" w:rsidR="00197A90" w:rsidRDefault="00197A90" w:rsidP="002A10AB">
      <w:pPr>
        <w:ind w:right="176"/>
        <w:jc w:val="both"/>
        <w:rPr>
          <w:rFonts w:ascii="Verdana" w:hAnsi="Verdana"/>
          <w:sz w:val="18"/>
          <w:szCs w:val="18"/>
        </w:rPr>
      </w:pPr>
    </w:p>
    <w:p w14:paraId="459D4548" w14:textId="06D15280" w:rsidR="00197A90" w:rsidRDefault="00197A90" w:rsidP="00197A90">
      <w:pPr>
        <w:ind w:right="176"/>
        <w:jc w:val="both"/>
        <w:rPr>
          <w:rFonts w:ascii="Verdana" w:hAnsi="Verdana"/>
          <w:sz w:val="18"/>
          <w:szCs w:val="18"/>
        </w:rPr>
      </w:pPr>
      <w:r>
        <w:rPr>
          <w:rFonts w:ascii="Verdana" w:hAnsi="Verdana"/>
          <w:sz w:val="18"/>
          <w:szCs w:val="18"/>
        </w:rPr>
        <w:t xml:space="preserve">The data are obtained from the Passengers Survey which is </w:t>
      </w:r>
      <w:r w:rsidRPr="00197A90">
        <w:rPr>
          <w:rFonts w:ascii="Verdana" w:hAnsi="Verdana"/>
          <w:sz w:val="18"/>
          <w:szCs w:val="18"/>
        </w:rPr>
        <w:t xml:space="preserve">carried out at the points of arrival in Larnaca and </w:t>
      </w:r>
      <w:proofErr w:type="spellStart"/>
      <w:r w:rsidRPr="00197A90">
        <w:rPr>
          <w:rFonts w:ascii="Verdana" w:hAnsi="Verdana"/>
          <w:sz w:val="18"/>
          <w:szCs w:val="18"/>
        </w:rPr>
        <w:t>Paphos</w:t>
      </w:r>
      <w:proofErr w:type="spellEnd"/>
      <w:r w:rsidRPr="00197A90">
        <w:rPr>
          <w:rFonts w:ascii="Verdana" w:hAnsi="Verdana"/>
          <w:sz w:val="18"/>
          <w:szCs w:val="18"/>
        </w:rPr>
        <w:t xml:space="preserve"> airports. Additionally, data are also collected from administrative sources, such as the monthly arrivals from ports.</w:t>
      </w:r>
    </w:p>
    <w:p w14:paraId="42DB22F5" w14:textId="1C9A5D77" w:rsidR="002A10AB" w:rsidRDefault="002A10AB" w:rsidP="00BD087F">
      <w:pPr>
        <w:ind w:right="176"/>
        <w:jc w:val="both"/>
        <w:rPr>
          <w:rFonts w:ascii="Verdana" w:hAnsi="Verdana"/>
          <w:sz w:val="18"/>
          <w:szCs w:val="18"/>
        </w:rPr>
      </w:pPr>
      <w:r>
        <w:rPr>
          <w:rFonts w:ascii="Verdana" w:hAnsi="Verdana"/>
          <w:sz w:val="18"/>
          <w:szCs w:val="18"/>
        </w:rPr>
        <w:t xml:space="preserve">    </w:t>
      </w:r>
    </w:p>
    <w:p w14:paraId="6BD8F4CE" w14:textId="77777777" w:rsidR="002A10AB" w:rsidRDefault="002A10AB" w:rsidP="002A10AB">
      <w:pPr>
        <w:ind w:right="176"/>
        <w:jc w:val="both"/>
        <w:rPr>
          <w:rFonts w:ascii="Verdana" w:hAnsi="Verdana"/>
          <w:sz w:val="18"/>
          <w:szCs w:val="18"/>
        </w:rPr>
      </w:pPr>
      <w:r>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Default="002A10AB" w:rsidP="002A10AB">
      <w:pPr>
        <w:ind w:right="176"/>
        <w:jc w:val="both"/>
        <w:rPr>
          <w:rFonts w:ascii="Verdana" w:hAnsi="Verdana"/>
          <w:sz w:val="18"/>
          <w:szCs w:val="18"/>
        </w:rPr>
      </w:pPr>
    </w:p>
    <w:p w14:paraId="4F931CBB" w14:textId="77777777" w:rsidR="002A10AB" w:rsidRDefault="002A10AB" w:rsidP="002A10AB">
      <w:pPr>
        <w:ind w:right="176"/>
        <w:jc w:val="both"/>
        <w:rPr>
          <w:rFonts w:ascii="Verdana" w:hAnsi="Verdana"/>
          <w:sz w:val="18"/>
          <w:szCs w:val="18"/>
        </w:rPr>
      </w:pPr>
      <w:r>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Default="002A10AB" w:rsidP="002A10AB">
      <w:pPr>
        <w:tabs>
          <w:tab w:val="left" w:pos="360"/>
          <w:tab w:val="left" w:pos="6840"/>
        </w:tabs>
        <w:ind w:right="-79"/>
        <w:jc w:val="both"/>
        <w:rPr>
          <w:rFonts w:ascii="Verdana" w:eastAsia="Malgun Gothic" w:hAnsi="Verdana" w:cs="Arial"/>
          <w:b/>
          <w:i/>
          <w:sz w:val="20"/>
          <w:szCs w:val="20"/>
        </w:rPr>
      </w:pPr>
    </w:p>
    <w:p w14:paraId="10BE7375" w14:textId="77777777" w:rsidR="002A10AB" w:rsidRDefault="002A10AB" w:rsidP="002A10AB">
      <w:pPr>
        <w:tabs>
          <w:tab w:val="left" w:pos="360"/>
          <w:tab w:val="left" w:pos="6840"/>
        </w:tabs>
        <w:ind w:right="-79"/>
        <w:jc w:val="both"/>
        <w:rPr>
          <w:rFonts w:ascii="Verdana" w:eastAsia="Malgun Gothic" w:hAnsi="Verdana" w:cs="Arial"/>
          <w:b/>
          <w:i/>
          <w:sz w:val="20"/>
          <w:szCs w:val="20"/>
        </w:rPr>
      </w:pPr>
    </w:p>
    <w:p w14:paraId="75600A2B" w14:textId="77777777" w:rsidR="002A10AB" w:rsidRDefault="002A10AB" w:rsidP="002A10AB">
      <w:pPr>
        <w:rPr>
          <w:rFonts w:ascii="Verdana" w:hAnsi="Verdana"/>
          <w:b/>
          <w:i/>
          <w:sz w:val="18"/>
          <w:szCs w:val="18"/>
          <w:lang w:val="en-GB"/>
        </w:rPr>
      </w:pPr>
      <w:r>
        <w:rPr>
          <w:rFonts w:ascii="Verdana" w:hAnsi="Verdana"/>
          <w:b/>
          <w:i/>
          <w:sz w:val="18"/>
          <w:szCs w:val="18"/>
          <w:lang w:val="en-GB"/>
        </w:rPr>
        <w:t xml:space="preserve">For more information: </w:t>
      </w:r>
    </w:p>
    <w:p w14:paraId="00731C72" w14:textId="77777777" w:rsidR="002A10AB" w:rsidRDefault="002A10AB" w:rsidP="002A10AB">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5B16E89A" w14:textId="77777777" w:rsidR="002A10AB" w:rsidRDefault="00000000" w:rsidP="002A10AB">
      <w:pPr>
        <w:rPr>
          <w:rFonts w:ascii="Verdana" w:hAnsi="Verdana"/>
          <w:sz w:val="18"/>
          <w:szCs w:val="18"/>
        </w:rPr>
      </w:pPr>
      <w:hyperlink r:id="rId10" w:history="1">
        <w:r w:rsidR="002A10AB">
          <w:rPr>
            <w:rStyle w:val="Hyperlink"/>
            <w:rFonts w:ascii="Verdana" w:hAnsi="Verdana"/>
            <w:sz w:val="18"/>
            <w:szCs w:val="18"/>
          </w:rPr>
          <w:t>CYSTAT-DB</w:t>
        </w:r>
      </w:hyperlink>
      <w:r w:rsidR="002A10AB">
        <w:rPr>
          <w:rFonts w:ascii="Verdana" w:hAnsi="Verdana"/>
          <w:sz w:val="18"/>
          <w:szCs w:val="18"/>
        </w:rPr>
        <w:t xml:space="preserve"> (Online Database) </w:t>
      </w:r>
    </w:p>
    <w:p w14:paraId="18E635B7" w14:textId="3CF29AFF" w:rsidR="002A10AB" w:rsidRDefault="00000000" w:rsidP="002A10AB">
      <w:pPr>
        <w:ind w:right="-79"/>
        <w:jc w:val="both"/>
        <w:rPr>
          <w:rFonts w:ascii="Verdana" w:hAnsi="Verdana"/>
          <w:sz w:val="18"/>
          <w:szCs w:val="18"/>
        </w:rPr>
      </w:pPr>
      <w:hyperlink r:id="rId11" w:history="1">
        <w:r w:rsidR="002A10AB">
          <w:rPr>
            <w:rStyle w:val="Hyperlink"/>
            <w:rFonts w:ascii="Verdana" w:hAnsi="Verdana"/>
            <w:sz w:val="18"/>
            <w:szCs w:val="18"/>
          </w:rPr>
          <w:t>Predefined Tables</w:t>
        </w:r>
      </w:hyperlink>
      <w:r w:rsidR="002A10AB">
        <w:rPr>
          <w:rFonts w:ascii="Verdana" w:hAnsi="Verdana"/>
          <w:sz w:val="18"/>
          <w:szCs w:val="18"/>
        </w:rPr>
        <w:t xml:space="preserve"> (Excel)</w:t>
      </w:r>
    </w:p>
    <w:p w14:paraId="4230EDA5" w14:textId="599E1385" w:rsidR="00F12DF4" w:rsidRDefault="00000000" w:rsidP="002A10AB">
      <w:pPr>
        <w:ind w:right="-79"/>
        <w:jc w:val="both"/>
        <w:rPr>
          <w:rFonts w:ascii="Verdana" w:eastAsia="Malgun Gothic" w:hAnsi="Verdana" w:cs="Arial"/>
          <w:sz w:val="18"/>
          <w:szCs w:val="18"/>
        </w:rPr>
      </w:pPr>
      <w:hyperlink r:id="rId12" w:history="1">
        <w:r w:rsidR="00F12DF4" w:rsidRPr="00F12DF4">
          <w:rPr>
            <w:rStyle w:val="Hyperlink"/>
            <w:rFonts w:ascii="Verdana" w:hAnsi="Verdana"/>
            <w:sz w:val="18"/>
            <w:szCs w:val="18"/>
          </w:rPr>
          <w:t>Methodological Information</w:t>
        </w:r>
      </w:hyperlink>
    </w:p>
    <w:p w14:paraId="52A75D49" w14:textId="77777777" w:rsidR="002A10AB" w:rsidRDefault="002A10AB" w:rsidP="002A10AB">
      <w:pPr>
        <w:ind w:right="-79"/>
        <w:jc w:val="both"/>
        <w:rPr>
          <w:rFonts w:ascii="Verdana" w:eastAsia="Malgun Gothic" w:hAnsi="Verdana" w:cs="Arial"/>
          <w:sz w:val="18"/>
          <w:szCs w:val="18"/>
        </w:rPr>
      </w:pPr>
    </w:p>
    <w:p w14:paraId="79B28F02" w14:textId="77777777" w:rsidR="002A10AB" w:rsidRPr="002A10AB" w:rsidRDefault="002A10AB" w:rsidP="002A10AB">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52254998" w14:textId="77777777" w:rsidR="002A10AB" w:rsidRPr="002A10AB" w:rsidRDefault="002A10AB" w:rsidP="002A10AB">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14:paraId="7B852E72" w14:textId="77777777" w:rsidR="002A10AB" w:rsidRPr="002A10AB" w:rsidRDefault="002A10AB" w:rsidP="002A10AB">
      <w:pPr>
        <w:jc w:val="both"/>
        <w:rPr>
          <w:rFonts w:ascii="Verdana" w:eastAsia="Malgun Gothic" w:hAnsi="Verdana" w:cs="Arial"/>
          <w:sz w:val="18"/>
          <w:szCs w:val="18"/>
          <w:lang w:val="pt-PT"/>
        </w:rPr>
      </w:pPr>
    </w:p>
    <w:p w14:paraId="77EE8272" w14:textId="77777777" w:rsidR="007437AB" w:rsidRPr="002A10AB" w:rsidRDefault="007437AB" w:rsidP="006F1E66">
      <w:pPr>
        <w:jc w:val="both"/>
        <w:rPr>
          <w:rFonts w:ascii="Verdana" w:hAnsi="Verdana" w:cs="Arial"/>
          <w:sz w:val="18"/>
          <w:szCs w:val="18"/>
          <w:lang w:val="pt-PT"/>
        </w:rPr>
      </w:pPr>
    </w:p>
    <w:p w14:paraId="663F5B87" w14:textId="5FFBC9C2" w:rsidR="00972CA0" w:rsidRPr="002A10AB" w:rsidRDefault="00463214" w:rsidP="00C26329">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27A72E99" w14:textId="77777777" w:rsidR="00972CA0" w:rsidRPr="002A10AB" w:rsidRDefault="00972CA0" w:rsidP="00072754">
      <w:pPr>
        <w:jc w:val="both"/>
        <w:rPr>
          <w:rFonts w:ascii="Verdana" w:eastAsia="Malgun Gothic" w:hAnsi="Verdana" w:cs="Arial"/>
          <w:sz w:val="18"/>
          <w:szCs w:val="18"/>
          <w:lang w:val="pt-PT"/>
        </w:rPr>
      </w:pPr>
    </w:p>
    <w:p w14:paraId="53B37447" w14:textId="77777777" w:rsidR="00972CA0" w:rsidRPr="002A10AB" w:rsidRDefault="00972CA0" w:rsidP="00072754">
      <w:pPr>
        <w:jc w:val="both"/>
        <w:rPr>
          <w:rFonts w:ascii="Verdana" w:eastAsia="Malgun Gothic" w:hAnsi="Verdana" w:cs="Arial"/>
          <w:sz w:val="18"/>
          <w:szCs w:val="18"/>
          <w:lang w:val="pt-PT"/>
        </w:rPr>
      </w:pPr>
    </w:p>
    <w:p w14:paraId="2680B9B0" w14:textId="77777777" w:rsidR="00972CA0" w:rsidRPr="002A10AB" w:rsidRDefault="00972CA0" w:rsidP="00072754">
      <w:pPr>
        <w:jc w:val="both"/>
        <w:rPr>
          <w:rFonts w:ascii="Verdana" w:eastAsia="Malgun Gothic" w:hAnsi="Verdana" w:cs="Arial"/>
          <w:sz w:val="18"/>
          <w:szCs w:val="18"/>
          <w:lang w:val="pt-PT"/>
        </w:rPr>
      </w:pPr>
    </w:p>
    <w:p w14:paraId="33604C03" w14:textId="77777777" w:rsidR="00972CA0" w:rsidRPr="002A10AB" w:rsidRDefault="00972CA0" w:rsidP="00072754">
      <w:pPr>
        <w:jc w:val="both"/>
        <w:rPr>
          <w:rFonts w:ascii="Verdana" w:eastAsia="Malgun Gothic" w:hAnsi="Verdana" w:cs="Arial"/>
          <w:sz w:val="18"/>
          <w:szCs w:val="18"/>
          <w:lang w:val="pt-PT"/>
        </w:rPr>
      </w:pPr>
    </w:p>
    <w:p w14:paraId="1050D5FA" w14:textId="77777777" w:rsidR="00972CA0" w:rsidRPr="002A10AB" w:rsidRDefault="00972CA0" w:rsidP="00072754">
      <w:pPr>
        <w:jc w:val="both"/>
        <w:rPr>
          <w:rFonts w:ascii="Verdana" w:eastAsia="Malgun Gothic" w:hAnsi="Verdana" w:cs="Arial"/>
          <w:sz w:val="18"/>
          <w:szCs w:val="18"/>
          <w:lang w:val="pt-PT"/>
        </w:rPr>
      </w:pPr>
    </w:p>
    <w:p w14:paraId="082D84DB" w14:textId="77777777" w:rsidR="00972CA0" w:rsidRPr="002A10AB" w:rsidRDefault="00972CA0" w:rsidP="00072754">
      <w:pPr>
        <w:jc w:val="both"/>
        <w:rPr>
          <w:rFonts w:ascii="Verdana" w:eastAsia="Malgun Gothic" w:hAnsi="Verdana" w:cs="Arial"/>
          <w:sz w:val="18"/>
          <w:szCs w:val="18"/>
          <w:lang w:val="pt-PT"/>
        </w:rPr>
      </w:pPr>
    </w:p>
    <w:p w14:paraId="554E7F67" w14:textId="77777777" w:rsidR="00972CA0" w:rsidRPr="002A10AB" w:rsidRDefault="00972CA0" w:rsidP="00072754">
      <w:pPr>
        <w:jc w:val="both"/>
        <w:rPr>
          <w:rFonts w:ascii="Verdana" w:eastAsia="Malgun Gothic" w:hAnsi="Verdana" w:cs="Arial"/>
          <w:sz w:val="18"/>
          <w:szCs w:val="18"/>
          <w:lang w:val="pt-PT"/>
        </w:rPr>
      </w:pPr>
    </w:p>
    <w:p w14:paraId="3F7A74F3" w14:textId="77777777" w:rsidR="00972CA0" w:rsidRPr="002A10AB" w:rsidRDefault="00972CA0" w:rsidP="00072754">
      <w:pPr>
        <w:jc w:val="both"/>
        <w:rPr>
          <w:rFonts w:ascii="Verdana" w:eastAsia="Malgun Gothic" w:hAnsi="Verdana" w:cs="Arial"/>
          <w:sz w:val="18"/>
          <w:szCs w:val="18"/>
          <w:lang w:val="pt-PT"/>
        </w:rPr>
      </w:pPr>
    </w:p>
    <w:p w14:paraId="57E562A5" w14:textId="77777777" w:rsidR="00972CA0" w:rsidRPr="002A10AB" w:rsidRDefault="00972CA0" w:rsidP="00072754">
      <w:pPr>
        <w:jc w:val="both"/>
        <w:rPr>
          <w:rFonts w:ascii="Verdana" w:eastAsia="Malgun Gothic" w:hAnsi="Verdana" w:cs="Arial"/>
          <w:sz w:val="18"/>
          <w:szCs w:val="18"/>
          <w:lang w:val="pt-PT"/>
        </w:rPr>
      </w:pPr>
    </w:p>
    <w:p w14:paraId="16064204" w14:textId="77777777" w:rsidR="00972CA0" w:rsidRPr="002A10AB" w:rsidRDefault="00972CA0" w:rsidP="00072754">
      <w:pPr>
        <w:jc w:val="both"/>
        <w:rPr>
          <w:rFonts w:ascii="Verdana" w:eastAsia="Malgun Gothic" w:hAnsi="Verdana" w:cs="Arial"/>
          <w:sz w:val="18"/>
          <w:szCs w:val="18"/>
          <w:lang w:val="pt-PT"/>
        </w:rPr>
      </w:pPr>
    </w:p>
    <w:p w14:paraId="091F406A" w14:textId="77777777" w:rsidR="00972CA0" w:rsidRPr="002A10AB" w:rsidRDefault="00972CA0" w:rsidP="00072754">
      <w:pPr>
        <w:jc w:val="both"/>
        <w:rPr>
          <w:rFonts w:ascii="Verdana" w:eastAsia="Malgun Gothic" w:hAnsi="Verdana" w:cs="Arial"/>
          <w:sz w:val="18"/>
          <w:szCs w:val="18"/>
          <w:lang w:val="pt-PT"/>
        </w:rPr>
      </w:pPr>
    </w:p>
    <w:p w14:paraId="0EF6D563" w14:textId="77777777" w:rsidR="00972CA0" w:rsidRPr="002A10AB" w:rsidRDefault="00972CA0" w:rsidP="00072754">
      <w:pPr>
        <w:jc w:val="both"/>
        <w:rPr>
          <w:rFonts w:ascii="Verdana" w:eastAsia="Malgun Gothic" w:hAnsi="Verdana" w:cs="Arial"/>
          <w:sz w:val="18"/>
          <w:szCs w:val="18"/>
          <w:lang w:val="pt-PT"/>
        </w:rPr>
      </w:pPr>
    </w:p>
    <w:p w14:paraId="2E64F741" w14:textId="77777777" w:rsidR="00972CA0" w:rsidRPr="002A10AB" w:rsidRDefault="00972CA0" w:rsidP="00072754">
      <w:pPr>
        <w:jc w:val="both"/>
        <w:rPr>
          <w:rFonts w:ascii="Verdana" w:eastAsia="Malgun Gothic" w:hAnsi="Verdana" w:cs="Arial"/>
          <w:sz w:val="18"/>
          <w:szCs w:val="18"/>
          <w:lang w:val="pt-PT"/>
        </w:rPr>
      </w:pPr>
    </w:p>
    <w:p w14:paraId="726E4C9B" w14:textId="77777777" w:rsidR="00691191" w:rsidRPr="002A10AB" w:rsidRDefault="00691191" w:rsidP="00072754">
      <w:pPr>
        <w:jc w:val="both"/>
        <w:rPr>
          <w:rFonts w:ascii="Verdana" w:eastAsia="Malgun Gothic" w:hAnsi="Verdana" w:cs="Arial"/>
          <w:sz w:val="18"/>
          <w:szCs w:val="18"/>
          <w:lang w:val="pt-PT"/>
        </w:rPr>
      </w:pPr>
    </w:p>
    <w:p w14:paraId="0C7DC7E7" w14:textId="77777777" w:rsidR="00691191" w:rsidRPr="002A10AB" w:rsidRDefault="00691191" w:rsidP="00072754">
      <w:pPr>
        <w:jc w:val="both"/>
        <w:rPr>
          <w:rFonts w:ascii="Verdana" w:eastAsia="Malgun Gothic" w:hAnsi="Verdana" w:cs="Arial"/>
          <w:sz w:val="18"/>
          <w:szCs w:val="18"/>
          <w:lang w:val="pt-PT"/>
        </w:rPr>
      </w:pPr>
    </w:p>
    <w:p w14:paraId="506AAA7B" w14:textId="77777777" w:rsidR="00691191" w:rsidRPr="002A10AB"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938ED">
      <w:headerReference w:type="even" r:id="rId14"/>
      <w:headerReference w:type="default" r:id="rId15"/>
      <w:footerReference w:type="even"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C01C" w14:textId="77777777" w:rsidR="00095F8C" w:rsidRDefault="00095F8C" w:rsidP="00FB398F">
      <w:r>
        <w:separator/>
      </w:r>
    </w:p>
  </w:endnote>
  <w:endnote w:type="continuationSeparator" w:id="0">
    <w:p w14:paraId="7BFECEBA" w14:textId="77777777" w:rsidR="00095F8C" w:rsidRDefault="00095F8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2A10AB" w:rsidRDefault="00122143" w:rsidP="0060256A">
    <w:pPr>
      <w:pStyle w:val="Footer"/>
      <w:tabs>
        <w:tab w:val="left" w:pos="4500"/>
      </w:tabs>
      <w:jc w:val="center"/>
      <w:rPr>
        <w:rFonts w:ascii="Arial" w:hAnsi="Arial" w:cs="Arial"/>
        <w:i/>
        <w:iCs/>
        <w:sz w:val="16"/>
        <w:szCs w:val="16"/>
        <w:lang w:val="pt-PT"/>
      </w:rPr>
    </w:pPr>
    <w:r w:rsidRPr="002A10AB">
      <w:rPr>
        <w:rFonts w:ascii="Arial" w:hAnsi="Arial" w:cs="Arial"/>
        <w:i/>
        <w:iCs/>
        <w:sz w:val="16"/>
        <w:szCs w:val="16"/>
        <w:lang w:val="pt-PT"/>
      </w:rPr>
      <w:t xml:space="preserve">Tel.:  22 602129, </w:t>
    </w:r>
    <w:r w:rsidR="0060256A" w:rsidRPr="002A10AB">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5B46" w14:textId="77777777" w:rsidR="00095F8C" w:rsidRDefault="00095F8C" w:rsidP="00FB398F">
      <w:r>
        <w:separator/>
      </w:r>
    </w:p>
  </w:footnote>
  <w:footnote w:type="continuationSeparator" w:id="0">
    <w:p w14:paraId="0007F88E" w14:textId="77777777" w:rsidR="00095F8C" w:rsidRDefault="00095F8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2A4E"/>
    <w:rsid w:val="0003603D"/>
    <w:rsid w:val="00036FA9"/>
    <w:rsid w:val="00045088"/>
    <w:rsid w:val="00045A06"/>
    <w:rsid w:val="00050391"/>
    <w:rsid w:val="00052F9E"/>
    <w:rsid w:val="00055291"/>
    <w:rsid w:val="000563D3"/>
    <w:rsid w:val="00057E44"/>
    <w:rsid w:val="00061299"/>
    <w:rsid w:val="00070576"/>
    <w:rsid w:val="00071DDF"/>
    <w:rsid w:val="00072754"/>
    <w:rsid w:val="000752BB"/>
    <w:rsid w:val="00081ADF"/>
    <w:rsid w:val="00084A02"/>
    <w:rsid w:val="00084BF7"/>
    <w:rsid w:val="000870E9"/>
    <w:rsid w:val="000932CF"/>
    <w:rsid w:val="00095F8C"/>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D6C"/>
    <w:rsid w:val="00106852"/>
    <w:rsid w:val="00110F9D"/>
    <w:rsid w:val="00114A67"/>
    <w:rsid w:val="00122143"/>
    <w:rsid w:val="001253B6"/>
    <w:rsid w:val="00127320"/>
    <w:rsid w:val="00127456"/>
    <w:rsid w:val="001312D8"/>
    <w:rsid w:val="0013137B"/>
    <w:rsid w:val="0014433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97A90"/>
    <w:rsid w:val="001A2018"/>
    <w:rsid w:val="001A3DD4"/>
    <w:rsid w:val="001B2C39"/>
    <w:rsid w:val="001B35FD"/>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22423"/>
    <w:rsid w:val="00225B28"/>
    <w:rsid w:val="002313AC"/>
    <w:rsid w:val="00231DE5"/>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91BC1"/>
    <w:rsid w:val="002A10AB"/>
    <w:rsid w:val="002A1D1C"/>
    <w:rsid w:val="002A4D64"/>
    <w:rsid w:val="002B6554"/>
    <w:rsid w:val="002C26AD"/>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50654"/>
    <w:rsid w:val="003522BB"/>
    <w:rsid w:val="00352F6C"/>
    <w:rsid w:val="003556EA"/>
    <w:rsid w:val="0035796D"/>
    <w:rsid w:val="00364377"/>
    <w:rsid w:val="00377ABB"/>
    <w:rsid w:val="00382B55"/>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D746A"/>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56FA"/>
    <w:rsid w:val="00471D77"/>
    <w:rsid w:val="00474E2B"/>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22D"/>
    <w:rsid w:val="00512F9C"/>
    <w:rsid w:val="00527CDB"/>
    <w:rsid w:val="005317FB"/>
    <w:rsid w:val="00533C9F"/>
    <w:rsid w:val="005341C9"/>
    <w:rsid w:val="005369CA"/>
    <w:rsid w:val="00536DE9"/>
    <w:rsid w:val="00540668"/>
    <w:rsid w:val="00541E08"/>
    <w:rsid w:val="0055624D"/>
    <w:rsid w:val="0055789A"/>
    <w:rsid w:val="005652D1"/>
    <w:rsid w:val="005660A0"/>
    <w:rsid w:val="00566A4F"/>
    <w:rsid w:val="00567974"/>
    <w:rsid w:val="00567D64"/>
    <w:rsid w:val="00567E4C"/>
    <w:rsid w:val="00572BC2"/>
    <w:rsid w:val="005938ED"/>
    <w:rsid w:val="0059478C"/>
    <w:rsid w:val="005978D4"/>
    <w:rsid w:val="005B2A67"/>
    <w:rsid w:val="005B3DCD"/>
    <w:rsid w:val="005B4ABF"/>
    <w:rsid w:val="005B4AD4"/>
    <w:rsid w:val="005B5CC7"/>
    <w:rsid w:val="005C2798"/>
    <w:rsid w:val="005C36C3"/>
    <w:rsid w:val="005C56EE"/>
    <w:rsid w:val="005C5D4B"/>
    <w:rsid w:val="005D1714"/>
    <w:rsid w:val="005D2D39"/>
    <w:rsid w:val="005D7638"/>
    <w:rsid w:val="005F0F2C"/>
    <w:rsid w:val="005F12F5"/>
    <w:rsid w:val="005F24E9"/>
    <w:rsid w:val="005F4B4F"/>
    <w:rsid w:val="005F7C7D"/>
    <w:rsid w:val="0060256A"/>
    <w:rsid w:val="006044B7"/>
    <w:rsid w:val="006071CE"/>
    <w:rsid w:val="006075B5"/>
    <w:rsid w:val="0061018C"/>
    <w:rsid w:val="0061094E"/>
    <w:rsid w:val="00613440"/>
    <w:rsid w:val="00613BE3"/>
    <w:rsid w:val="0062327B"/>
    <w:rsid w:val="00632777"/>
    <w:rsid w:val="00633750"/>
    <w:rsid w:val="006339F8"/>
    <w:rsid w:val="00634491"/>
    <w:rsid w:val="0063679C"/>
    <w:rsid w:val="00637055"/>
    <w:rsid w:val="00641D59"/>
    <w:rsid w:val="00644507"/>
    <w:rsid w:val="00646880"/>
    <w:rsid w:val="00647D2A"/>
    <w:rsid w:val="006537BB"/>
    <w:rsid w:val="0065711B"/>
    <w:rsid w:val="006613EB"/>
    <w:rsid w:val="00671785"/>
    <w:rsid w:val="00672BA9"/>
    <w:rsid w:val="00673005"/>
    <w:rsid w:val="006804BE"/>
    <w:rsid w:val="00683783"/>
    <w:rsid w:val="006844A3"/>
    <w:rsid w:val="0069008E"/>
    <w:rsid w:val="0069087E"/>
    <w:rsid w:val="00691191"/>
    <w:rsid w:val="006925C4"/>
    <w:rsid w:val="00692E7F"/>
    <w:rsid w:val="0069309C"/>
    <w:rsid w:val="006A02B7"/>
    <w:rsid w:val="006B46D5"/>
    <w:rsid w:val="006B46F4"/>
    <w:rsid w:val="006B7229"/>
    <w:rsid w:val="006C7AF3"/>
    <w:rsid w:val="006D112A"/>
    <w:rsid w:val="006D6548"/>
    <w:rsid w:val="006E0E20"/>
    <w:rsid w:val="006E4256"/>
    <w:rsid w:val="006E4BBA"/>
    <w:rsid w:val="006E5F43"/>
    <w:rsid w:val="006E60A6"/>
    <w:rsid w:val="006F0932"/>
    <w:rsid w:val="006F0F69"/>
    <w:rsid w:val="006F116B"/>
    <w:rsid w:val="006F117F"/>
    <w:rsid w:val="006F13DF"/>
    <w:rsid w:val="006F1E66"/>
    <w:rsid w:val="00702F26"/>
    <w:rsid w:val="0070313E"/>
    <w:rsid w:val="00703799"/>
    <w:rsid w:val="00705C5C"/>
    <w:rsid w:val="00711475"/>
    <w:rsid w:val="00715046"/>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E041B"/>
    <w:rsid w:val="007E199A"/>
    <w:rsid w:val="007E2415"/>
    <w:rsid w:val="007E39F3"/>
    <w:rsid w:val="007E68F4"/>
    <w:rsid w:val="007F31BA"/>
    <w:rsid w:val="007F4078"/>
    <w:rsid w:val="0080014B"/>
    <w:rsid w:val="00801793"/>
    <w:rsid w:val="00803642"/>
    <w:rsid w:val="00803C3F"/>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77B94"/>
    <w:rsid w:val="00881268"/>
    <w:rsid w:val="0088394A"/>
    <w:rsid w:val="008860BD"/>
    <w:rsid w:val="00887073"/>
    <w:rsid w:val="00887399"/>
    <w:rsid w:val="0088779E"/>
    <w:rsid w:val="008912AF"/>
    <w:rsid w:val="00892114"/>
    <w:rsid w:val="00892CB9"/>
    <w:rsid w:val="008935CB"/>
    <w:rsid w:val="008B0E7E"/>
    <w:rsid w:val="008B5FF0"/>
    <w:rsid w:val="008B65BD"/>
    <w:rsid w:val="008B7900"/>
    <w:rsid w:val="008C4A21"/>
    <w:rsid w:val="008C71BF"/>
    <w:rsid w:val="008C7FE0"/>
    <w:rsid w:val="008D5717"/>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933"/>
    <w:rsid w:val="00935F38"/>
    <w:rsid w:val="00937586"/>
    <w:rsid w:val="00947889"/>
    <w:rsid w:val="00956FF1"/>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33875"/>
    <w:rsid w:val="00A360A1"/>
    <w:rsid w:val="00A402B3"/>
    <w:rsid w:val="00A544B7"/>
    <w:rsid w:val="00A618CF"/>
    <w:rsid w:val="00A62770"/>
    <w:rsid w:val="00A62EEB"/>
    <w:rsid w:val="00A660FF"/>
    <w:rsid w:val="00A6625A"/>
    <w:rsid w:val="00A73395"/>
    <w:rsid w:val="00A82B4C"/>
    <w:rsid w:val="00A83EBB"/>
    <w:rsid w:val="00A846F0"/>
    <w:rsid w:val="00A93A4C"/>
    <w:rsid w:val="00A94D5D"/>
    <w:rsid w:val="00AA1D9B"/>
    <w:rsid w:val="00AA2543"/>
    <w:rsid w:val="00AA3804"/>
    <w:rsid w:val="00AA55C2"/>
    <w:rsid w:val="00AB0ACA"/>
    <w:rsid w:val="00AB108F"/>
    <w:rsid w:val="00AB1D41"/>
    <w:rsid w:val="00AC5E9A"/>
    <w:rsid w:val="00AC704B"/>
    <w:rsid w:val="00AD35A7"/>
    <w:rsid w:val="00AD553E"/>
    <w:rsid w:val="00AD5848"/>
    <w:rsid w:val="00AE5ADA"/>
    <w:rsid w:val="00AF6145"/>
    <w:rsid w:val="00AF6F1D"/>
    <w:rsid w:val="00B01386"/>
    <w:rsid w:val="00B01BB5"/>
    <w:rsid w:val="00B042F0"/>
    <w:rsid w:val="00B04AF4"/>
    <w:rsid w:val="00B05214"/>
    <w:rsid w:val="00B0736F"/>
    <w:rsid w:val="00B30D97"/>
    <w:rsid w:val="00B31738"/>
    <w:rsid w:val="00B3181A"/>
    <w:rsid w:val="00B35A7C"/>
    <w:rsid w:val="00B450D1"/>
    <w:rsid w:val="00B53D47"/>
    <w:rsid w:val="00B54A25"/>
    <w:rsid w:val="00B618C3"/>
    <w:rsid w:val="00B63652"/>
    <w:rsid w:val="00B668B0"/>
    <w:rsid w:val="00B70F5C"/>
    <w:rsid w:val="00B71873"/>
    <w:rsid w:val="00B7375D"/>
    <w:rsid w:val="00B75AE5"/>
    <w:rsid w:val="00B800C0"/>
    <w:rsid w:val="00B8132B"/>
    <w:rsid w:val="00B84C5A"/>
    <w:rsid w:val="00B858F5"/>
    <w:rsid w:val="00B85ADA"/>
    <w:rsid w:val="00B873E7"/>
    <w:rsid w:val="00B93668"/>
    <w:rsid w:val="00BA68C6"/>
    <w:rsid w:val="00BB12F1"/>
    <w:rsid w:val="00BB276E"/>
    <w:rsid w:val="00BB3FEE"/>
    <w:rsid w:val="00BB5EB0"/>
    <w:rsid w:val="00BB7A27"/>
    <w:rsid w:val="00BC245A"/>
    <w:rsid w:val="00BC340C"/>
    <w:rsid w:val="00BD087F"/>
    <w:rsid w:val="00BD16FA"/>
    <w:rsid w:val="00BD41C3"/>
    <w:rsid w:val="00BD488B"/>
    <w:rsid w:val="00BD7CCC"/>
    <w:rsid w:val="00BE002A"/>
    <w:rsid w:val="00BE1BC9"/>
    <w:rsid w:val="00BE5CDA"/>
    <w:rsid w:val="00BE608F"/>
    <w:rsid w:val="00BF23BB"/>
    <w:rsid w:val="00BF33DD"/>
    <w:rsid w:val="00BF5755"/>
    <w:rsid w:val="00BF684B"/>
    <w:rsid w:val="00C016F3"/>
    <w:rsid w:val="00C068E9"/>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B88"/>
    <w:rsid w:val="00C70FD1"/>
    <w:rsid w:val="00C733AA"/>
    <w:rsid w:val="00C83027"/>
    <w:rsid w:val="00C84B8A"/>
    <w:rsid w:val="00C85E65"/>
    <w:rsid w:val="00C87CA1"/>
    <w:rsid w:val="00C911B4"/>
    <w:rsid w:val="00C91B3B"/>
    <w:rsid w:val="00C94262"/>
    <w:rsid w:val="00C976E1"/>
    <w:rsid w:val="00CA148E"/>
    <w:rsid w:val="00CA300C"/>
    <w:rsid w:val="00CA3A9A"/>
    <w:rsid w:val="00CB6BC1"/>
    <w:rsid w:val="00CB7021"/>
    <w:rsid w:val="00CD3294"/>
    <w:rsid w:val="00CD4524"/>
    <w:rsid w:val="00CD784D"/>
    <w:rsid w:val="00CE20B6"/>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60B79"/>
    <w:rsid w:val="00D65191"/>
    <w:rsid w:val="00D843F4"/>
    <w:rsid w:val="00DC23CF"/>
    <w:rsid w:val="00DC6562"/>
    <w:rsid w:val="00DD5F69"/>
    <w:rsid w:val="00DE130D"/>
    <w:rsid w:val="00DE24CF"/>
    <w:rsid w:val="00DE407C"/>
    <w:rsid w:val="00DE7C7D"/>
    <w:rsid w:val="00DF2992"/>
    <w:rsid w:val="00DF2D0C"/>
    <w:rsid w:val="00DF3EE5"/>
    <w:rsid w:val="00E01B9D"/>
    <w:rsid w:val="00E04F5E"/>
    <w:rsid w:val="00E0522E"/>
    <w:rsid w:val="00E120F4"/>
    <w:rsid w:val="00E155F9"/>
    <w:rsid w:val="00E156BA"/>
    <w:rsid w:val="00E17172"/>
    <w:rsid w:val="00E216A0"/>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319D"/>
    <w:rsid w:val="00ED721A"/>
    <w:rsid w:val="00EE393D"/>
    <w:rsid w:val="00EF01CF"/>
    <w:rsid w:val="00EF6A66"/>
    <w:rsid w:val="00EF7AF9"/>
    <w:rsid w:val="00F01495"/>
    <w:rsid w:val="00F01EE6"/>
    <w:rsid w:val="00F04C59"/>
    <w:rsid w:val="00F10138"/>
    <w:rsid w:val="00F12DF4"/>
    <w:rsid w:val="00F13F92"/>
    <w:rsid w:val="00F16447"/>
    <w:rsid w:val="00F22ECA"/>
    <w:rsid w:val="00F240E8"/>
    <w:rsid w:val="00F244FA"/>
    <w:rsid w:val="00F3363A"/>
    <w:rsid w:val="00F366A2"/>
    <w:rsid w:val="00F44F43"/>
    <w:rsid w:val="00F450E1"/>
    <w:rsid w:val="00F50DF4"/>
    <w:rsid w:val="00F57AFE"/>
    <w:rsid w:val="00F6278E"/>
    <w:rsid w:val="00F63C41"/>
    <w:rsid w:val="00F63E96"/>
    <w:rsid w:val="00F701E3"/>
    <w:rsid w:val="00F715F0"/>
    <w:rsid w:val="00F71F8C"/>
    <w:rsid w:val="00F80362"/>
    <w:rsid w:val="00F8143B"/>
    <w:rsid w:val="00F836DD"/>
    <w:rsid w:val="00F86AD4"/>
    <w:rsid w:val="00F92EE4"/>
    <w:rsid w:val="00FA0113"/>
    <w:rsid w:val="00FA12B2"/>
    <w:rsid w:val="00FA7610"/>
    <w:rsid w:val="00FB02BD"/>
    <w:rsid w:val="00FB326D"/>
    <w:rsid w:val="00FB398F"/>
    <w:rsid w:val="00FB3AF2"/>
    <w:rsid w:val="00FB4EF8"/>
    <w:rsid w:val="00FB6692"/>
    <w:rsid w:val="00FB78DD"/>
    <w:rsid w:val="00FC125E"/>
    <w:rsid w:val="00FC3EF3"/>
    <w:rsid w:val="00FD2049"/>
    <w:rsid w:val="00FD2140"/>
    <w:rsid w:val="00FD5BDE"/>
    <w:rsid w:val="00FD68EC"/>
    <w:rsid w:val="00FE0476"/>
    <w:rsid w:val="00FE24A5"/>
    <w:rsid w:val="00FE31E5"/>
    <w:rsid w:val="00FE4D8B"/>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lpanagid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Tourism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Internet\PRESS%20RELEASE\2022\Aug%202022\PRESS%20RELE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Verdana" pitchFamily="34" charset="0"/>
                <a:ea typeface="Verdana" pitchFamily="34" charset="0"/>
                <a:cs typeface="Verdana" pitchFamily="34" charset="0"/>
              </a:defRPr>
            </a:pPr>
            <a:r>
              <a:rPr lang="en-US" sz="1200">
                <a:latin typeface="Verdana" pitchFamily="34" charset="0"/>
                <a:ea typeface="Verdana" pitchFamily="34" charset="0"/>
                <a:cs typeface="Verdana" pitchFamily="34" charset="0"/>
              </a:rPr>
              <a:t>Tourist arrivals</a:t>
            </a:r>
            <a:r>
              <a:rPr lang="el-GR" sz="1200">
                <a:latin typeface="Verdana" pitchFamily="34" charset="0"/>
                <a:ea typeface="Verdana" pitchFamily="34" charset="0"/>
                <a:cs typeface="Verdana" pitchFamily="34" charset="0"/>
              </a:rPr>
              <a:t>, 20</a:t>
            </a:r>
            <a:r>
              <a:rPr lang="en-US" sz="1200">
                <a:latin typeface="Verdana" pitchFamily="34" charset="0"/>
                <a:ea typeface="Verdana" pitchFamily="34" charset="0"/>
                <a:cs typeface="Verdana" pitchFamily="34" charset="0"/>
              </a:rPr>
              <a:t>21</a:t>
            </a:r>
            <a:r>
              <a:rPr lang="el-GR" sz="1200">
                <a:latin typeface="Verdana" pitchFamily="34" charset="0"/>
                <a:ea typeface="Verdana" pitchFamily="34" charset="0"/>
                <a:cs typeface="Verdana" pitchFamily="34" charset="0"/>
              </a:rPr>
              <a:t> &amp; 20</a:t>
            </a:r>
            <a:r>
              <a:rPr lang="en-US" sz="1200">
                <a:latin typeface="Verdana" pitchFamily="34" charset="0"/>
                <a:ea typeface="Verdana" pitchFamily="34" charset="0"/>
                <a:cs typeface="Verdana" pitchFamily="34" charset="0"/>
              </a:rPr>
              <a:t>22</a:t>
            </a:r>
            <a:endParaRPr lang="el-GR" sz="1200">
              <a:latin typeface="Verdana" pitchFamily="34" charset="0"/>
              <a:ea typeface="Verdana" pitchFamily="34" charset="0"/>
              <a:cs typeface="Verdana" pitchFamily="34" charset="0"/>
            </a:endParaRPr>
          </a:p>
        </c:rich>
      </c:tx>
      <c:overlay val="0"/>
    </c:title>
    <c:autoTitleDeleted val="0"/>
    <c:plotArea>
      <c:layout>
        <c:manualLayout>
          <c:layoutTarget val="inner"/>
          <c:xMode val="edge"/>
          <c:yMode val="edge"/>
          <c:x val="0.119893822024273"/>
          <c:y val="0.16513549868766425"/>
          <c:w val="0.7347144978028477"/>
          <c:h val="0.64479053551142063"/>
        </c:manualLayout>
      </c:layout>
      <c:barChart>
        <c:barDir val="col"/>
        <c:grouping val="clustered"/>
        <c:varyColors val="0"/>
        <c:ser>
          <c:idx val="0"/>
          <c:order val="0"/>
          <c:tx>
            <c:strRef>
              <c:f>'Tourist arrivals, 2020 &amp; 2021'!$C$33</c:f>
              <c:strCache>
                <c:ptCount val="1"/>
                <c:pt idx="0">
                  <c:v>2021</c:v>
                </c:pt>
              </c:strCache>
            </c:strRef>
          </c:tx>
          <c:invertIfNegative val="0"/>
          <c:cat>
            <c:strRef>
              <c:f>'Tourist arrivals, 2020 &amp; 2021'!$B$34:$B$45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'Tourist arrivals, 2020 &amp; 2021'!$C$34:$C$45</c:f>
              <c:numCache>
                <c:formatCode>#,##0_i</c:formatCode>
                <c:ptCount val="12"/>
                <c:pt idx="0">
                  <c:v>3889</c:v>
                </c:pt>
                <c:pt idx="1">
                  <c:v>5047</c:v>
                </c:pt>
                <c:pt idx="2">
                  <c:v>8811</c:v>
                </c:pt>
                <c:pt idx="3">
                  <c:v>38226</c:v>
                </c:pt>
                <c:pt idx="4">
                  <c:v>100852</c:v>
                </c:pt>
                <c:pt idx="5">
                  <c:v>184159</c:v>
                </c:pt>
                <c:pt idx="6">
                  <c:v>297308</c:v>
                </c:pt>
                <c:pt idx="7">
                  <c:v>321858</c:v>
                </c:pt>
                <c:pt idx="8">
                  <c:v>339242</c:v>
                </c:pt>
                <c:pt idx="9">
                  <c:v>391638</c:v>
                </c:pt>
                <c:pt idx="10">
                  <c:v>148973</c:v>
                </c:pt>
                <c:pt idx="11">
                  <c:v>96928</c:v>
                </c:pt>
              </c:numCache>
            </c:numRef>
          </c:val>
          <c:extLst>
            <c:ext xmlns:c16="http://schemas.microsoft.com/office/drawing/2014/chart" uri="{C3380CC4-5D6E-409C-BE32-E72D297353CC}">
              <c16:uniqueId val="{00000000-316E-4E02-9609-EA555A8A89EA}"/>
            </c:ext>
          </c:extLst>
        </c:ser>
        <c:ser>
          <c:idx val="1"/>
          <c:order val="1"/>
          <c:tx>
            <c:strRef>
              <c:f>'Tourist arrivals, 2020 &amp; 2021'!$D$33</c:f>
              <c:strCache>
                <c:ptCount val="1"/>
                <c:pt idx="0">
                  <c:v>2022</c:v>
                </c:pt>
              </c:strCache>
            </c:strRef>
          </c:tx>
          <c:invertIfNegative val="0"/>
          <c:cat>
            <c:strRef>
              <c:f>'Tourist arrivals, 2020 &amp; 2021'!$B$34:$B$45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'Tourist arrivals, 2020 &amp; 2021'!$D$34:$D$45</c:f>
              <c:numCache>
                <c:formatCode>#,##0_i</c:formatCode>
                <c:ptCount val="12"/>
                <c:pt idx="0">
                  <c:v>43944</c:v>
                </c:pt>
                <c:pt idx="1">
                  <c:v>71921</c:v>
                </c:pt>
                <c:pt idx="2">
                  <c:v>128840</c:v>
                </c:pt>
                <c:pt idx="3">
                  <c:v>289335</c:v>
                </c:pt>
                <c:pt idx="4">
                  <c:v>315018</c:v>
                </c:pt>
                <c:pt idx="5">
                  <c:v>372324</c:v>
                </c:pt>
                <c:pt idx="6">
                  <c:v>454657</c:v>
                </c:pt>
                <c:pt idx="7">
                  <c:v>451133</c:v>
                </c:pt>
              </c:numCache>
            </c:numRef>
          </c:val>
          <c:extLst>
            <c:ext xmlns:c16="http://schemas.microsoft.com/office/drawing/2014/chart" uri="{C3380CC4-5D6E-409C-BE32-E72D297353CC}">
              <c16:uniqueId val="{00000001-316E-4E02-9609-EA555A8A89EA}"/>
            </c:ext>
          </c:extLst>
        </c:ser>
        <c:dLbls>
          <c:showLegendKey val="0"/>
          <c:showVal val="0"/>
          <c:showCatName val="0"/>
          <c:showSerName val="0"/>
          <c:showPercent val="0"/>
          <c:showBubbleSize val="0"/>
        </c:dLbls>
        <c:gapWidth val="150"/>
        <c:axId val="82484224"/>
        <c:axId val="82502400"/>
      </c:barChart>
      <c:catAx>
        <c:axId val="82484224"/>
        <c:scaling>
          <c:orientation val="minMax"/>
        </c:scaling>
        <c:delete val="0"/>
        <c:axPos val="b"/>
        <c:numFmt formatCode="General" sourceLinked="1"/>
        <c:majorTickMark val="none"/>
        <c:minorTickMark val="none"/>
        <c:tickLblPos val="nextTo"/>
        <c:txPr>
          <a:bodyPr/>
          <a:lstStyle/>
          <a:p>
            <a:pPr>
              <a:defRPr sz="800">
                <a:latin typeface="Verdana" pitchFamily="34" charset="0"/>
                <a:ea typeface="Verdana" pitchFamily="34" charset="0"/>
                <a:cs typeface="Verdana" pitchFamily="34" charset="0"/>
              </a:defRPr>
            </a:pPr>
            <a:endParaRPr lang="en-CY"/>
          </a:p>
        </c:txPr>
        <c:crossAx val="82502400"/>
        <c:crosses val="autoZero"/>
        <c:auto val="1"/>
        <c:lblAlgn val="ctr"/>
        <c:lblOffset val="100"/>
        <c:noMultiLvlLbl val="0"/>
      </c:catAx>
      <c:valAx>
        <c:axId val="82502400"/>
        <c:scaling>
          <c:orientation val="minMax"/>
          <c:max val="500000"/>
          <c:min val="0"/>
        </c:scaling>
        <c:delete val="0"/>
        <c:axPos val="l"/>
        <c:majorGridlines/>
        <c:numFmt formatCode="#,##0_i" sourceLinked="1"/>
        <c:majorTickMark val="none"/>
        <c:minorTickMark val="none"/>
        <c:tickLblPos val="nextTo"/>
        <c:txPr>
          <a:bodyPr/>
          <a:lstStyle/>
          <a:p>
            <a:pPr>
              <a:defRPr sz="900">
                <a:latin typeface="Verdana" pitchFamily="34" charset="0"/>
                <a:ea typeface="Verdana" pitchFamily="34" charset="0"/>
                <a:cs typeface="Verdana" pitchFamily="34" charset="0"/>
              </a:defRPr>
            </a:pPr>
            <a:endParaRPr lang="en-CY"/>
          </a:p>
        </c:txPr>
        <c:crossAx val="82484224"/>
        <c:crosses val="autoZero"/>
        <c:crossBetween val="between"/>
        <c:majorUnit val="50000"/>
        <c:minorUnit val="10000"/>
      </c:valAx>
    </c:plotArea>
    <c:legend>
      <c:legendPos val="r"/>
      <c:overlay val="0"/>
      <c:txPr>
        <a:bodyPr/>
        <a:lstStyle/>
        <a:p>
          <a:pPr>
            <a:defRPr>
              <a:latin typeface="Verdana" pitchFamily="34" charset="0"/>
              <a:ea typeface="Verdana" pitchFamily="34" charset="0"/>
              <a:cs typeface="Verdana" pitchFamily="34" charset="0"/>
            </a:defRPr>
          </a:pPr>
          <a:endParaRPr lang="en-CY"/>
        </a:p>
      </c:txPr>
    </c:legend>
    <c:plotVisOnly val="1"/>
    <c:dispBlanksAs val="gap"/>
    <c:showDLblsOverMax val="0"/>
  </c:chart>
  <c:spPr>
    <a:ln>
      <a:solidFill>
        <a:schemeClr val="accent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0.33388</cdr:x>
      <cdr:y>0.89254</cdr:y>
    </cdr:from>
    <cdr:to>
      <cdr:x>0.6175</cdr:x>
      <cdr:y>0.97313</cdr:y>
    </cdr:to>
    <cdr:sp macro="" textlink="">
      <cdr:nvSpPr>
        <cdr:cNvPr id="2" name="TextBox 1"/>
        <cdr:cNvSpPr txBox="1"/>
      </cdr:nvSpPr>
      <cdr:spPr>
        <a:xfrm xmlns:a="http://schemas.openxmlformats.org/drawingml/2006/main">
          <a:off x="1962174" y="2847985"/>
          <a:ext cx="1666852" cy="2571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latin typeface="Verdana" pitchFamily="34" charset="0"/>
              <a:ea typeface="Verdana" pitchFamily="34" charset="0"/>
              <a:cs typeface="Verdana" pitchFamily="34" charset="0"/>
            </a:rPr>
            <a:t>Month of arrival</a:t>
          </a:r>
        </a:p>
      </cdr:txBody>
    </cdr:sp>
  </cdr:relSizeAnchor>
  <cdr:relSizeAnchor xmlns:cdr="http://schemas.openxmlformats.org/drawingml/2006/chartDrawing">
    <cdr:from>
      <cdr:x>0.27553</cdr:x>
      <cdr:y>0.66269</cdr:y>
    </cdr:from>
    <cdr:to>
      <cdr:x>0.32091</cdr:x>
      <cdr:y>0.73433</cdr:y>
    </cdr:to>
    <cdr:sp macro="" textlink="">
      <cdr:nvSpPr>
        <cdr:cNvPr id="3" name="TextBox 2"/>
        <cdr:cNvSpPr txBox="1"/>
      </cdr:nvSpPr>
      <cdr:spPr>
        <a:xfrm xmlns:a="http://schemas.openxmlformats.org/drawingml/2006/main">
          <a:off x="1619250" y="2114550"/>
          <a:ext cx="2667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l-GR"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51</cp:revision>
  <cp:lastPrinted>2022-08-11T10:46:00Z</cp:lastPrinted>
  <dcterms:created xsi:type="dcterms:W3CDTF">2022-06-09T08:02:00Z</dcterms:created>
  <dcterms:modified xsi:type="dcterms:W3CDTF">2022-09-19T07:15:00Z</dcterms:modified>
</cp:coreProperties>
</file>