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2CD0" w14:textId="77777777" w:rsidR="00223E27" w:rsidRDefault="00223E27" w:rsidP="00223E27">
      <w:pPr>
        <w:tabs>
          <w:tab w:val="left" w:pos="1080"/>
          <w:tab w:val="left" w:pos="7088"/>
        </w:tabs>
        <w:jc w:val="right"/>
        <w:rPr>
          <w:rFonts w:ascii="Verdana" w:hAnsi="Verdana" w:cs="Arial"/>
          <w:sz w:val="18"/>
          <w:szCs w:val="18"/>
          <w:lang w:val="el-GR"/>
        </w:rPr>
      </w:pPr>
    </w:p>
    <w:p w14:paraId="3AEA0586" w14:textId="0802F3B0" w:rsidR="00223E27" w:rsidRPr="00D679FE" w:rsidRDefault="00535CAB" w:rsidP="00223E27">
      <w:pPr>
        <w:tabs>
          <w:tab w:val="left" w:pos="1080"/>
          <w:tab w:val="left" w:pos="7088"/>
        </w:tabs>
        <w:jc w:val="right"/>
        <w:rPr>
          <w:rFonts w:ascii="Verdana" w:eastAsia="Malgun Gothic" w:hAnsi="Verdana" w:cs="Arial"/>
          <w:sz w:val="18"/>
          <w:szCs w:val="18"/>
          <w:lang w:val="el-GR"/>
        </w:rPr>
      </w:pPr>
      <w:r>
        <w:rPr>
          <w:rFonts w:ascii="Verdana" w:hAnsi="Verdana" w:cs="Arial"/>
          <w:sz w:val="18"/>
          <w:szCs w:val="18"/>
          <w:lang w:val="el-GR"/>
        </w:rPr>
        <w:t>18</w:t>
      </w:r>
      <w:r w:rsidR="00223E27">
        <w:rPr>
          <w:rFonts w:ascii="Verdana" w:hAnsi="Verdana" w:cs="Arial"/>
          <w:sz w:val="18"/>
          <w:szCs w:val="18"/>
          <w:lang w:val="el-GR"/>
        </w:rPr>
        <w:t xml:space="preserve"> </w:t>
      </w:r>
      <w:r>
        <w:rPr>
          <w:rFonts w:ascii="Verdana" w:hAnsi="Verdana" w:cs="Arial"/>
          <w:sz w:val="18"/>
          <w:szCs w:val="18"/>
          <w:lang w:val="el-GR"/>
        </w:rPr>
        <w:t>Απριλίου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w:t>
      </w:r>
      <w:r w:rsidR="0023632B">
        <w:rPr>
          <w:rFonts w:ascii="Verdana" w:eastAsia="Malgun Gothic" w:hAnsi="Verdana" w:cs="Arial"/>
          <w:sz w:val="18"/>
          <w:szCs w:val="18"/>
          <w:lang w:val="el-GR"/>
        </w:rPr>
        <w:t>3</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A01455D" w14:textId="77777777" w:rsidR="00223E27" w:rsidRPr="005C36C3" w:rsidRDefault="00223E27" w:rsidP="00223E27">
      <w:pPr>
        <w:rPr>
          <w:rFonts w:ascii="Verdana" w:eastAsia="Malgun Gothic" w:hAnsi="Verdana" w:cs="Arial"/>
          <w:lang w:val="el-GR"/>
        </w:rPr>
      </w:pPr>
    </w:p>
    <w:p w14:paraId="4DCEE38A" w14:textId="58BA0661" w:rsidR="00223E27" w:rsidRDefault="00223E27" w:rsidP="00FB730F">
      <w:pPr>
        <w:pStyle w:val="Heading6"/>
        <w:jc w:val="left"/>
        <w:rPr>
          <w:rFonts w:ascii="Verdana" w:eastAsia="Malgun Gothic" w:hAnsi="Verdana" w:cs="Arial"/>
          <w:szCs w:val="22"/>
        </w:rPr>
      </w:pPr>
      <w:r w:rsidRPr="00E30064">
        <w:rPr>
          <w:rFonts w:ascii="Verdana" w:eastAsia="Malgun Gothic" w:hAnsi="Verdana" w:cs="Arial"/>
          <w:b w:val="0"/>
          <w:szCs w:val="22"/>
        </w:rPr>
        <w:t>ΑΦΙΞΕΙΣ ΤΟΥΡΙΣΤΩΝ</w:t>
      </w:r>
      <w:r w:rsidR="002049FA">
        <w:rPr>
          <w:rFonts w:ascii="Verdana" w:eastAsia="Malgun Gothic" w:hAnsi="Verdana" w:cs="Arial"/>
          <w:b w:val="0"/>
          <w:szCs w:val="22"/>
        </w:rPr>
        <w:t xml:space="preserve"> ΚΑΙ ΕΠΙΣΤΡΟΦΕΣ ΚΑΤΟΙΚΩΝ ΚΥΠΡΟΥ ΑΠΟ ΤΑΞΙΔΙΑ ΣΤΟ </w:t>
      </w:r>
      <w:r w:rsidR="002049FA" w:rsidRPr="005C5C74">
        <w:rPr>
          <w:rFonts w:ascii="Verdana" w:eastAsia="Malgun Gothic" w:hAnsi="Verdana" w:cs="Arial"/>
          <w:b w:val="0"/>
          <w:szCs w:val="22"/>
        </w:rPr>
        <w:t>ΕΞΩΤΕΡΙΚΟ</w:t>
      </w:r>
      <w:r w:rsidR="005C5C74" w:rsidRPr="005C5C74">
        <w:rPr>
          <w:rFonts w:ascii="Verdana" w:eastAsia="Malgun Gothic" w:hAnsi="Verdana" w:cs="Arial"/>
          <w:b w:val="0"/>
          <w:szCs w:val="22"/>
        </w:rPr>
        <w:t>:</w:t>
      </w:r>
      <w:r w:rsidR="00AE50F8" w:rsidRPr="005C5C74">
        <w:rPr>
          <w:rFonts w:ascii="Verdana" w:eastAsia="Malgun Gothic" w:hAnsi="Verdana" w:cs="Arial"/>
          <w:b w:val="0"/>
          <w:szCs w:val="22"/>
        </w:rPr>
        <w:t xml:space="preserve"> </w:t>
      </w:r>
      <w:r w:rsidR="00535CAB">
        <w:rPr>
          <w:rFonts w:ascii="Verdana" w:eastAsia="Malgun Gothic" w:hAnsi="Verdana" w:cs="Arial"/>
          <w:bCs w:val="0"/>
          <w:szCs w:val="22"/>
        </w:rPr>
        <w:t>ΜΑΡΤΙΟΣ</w:t>
      </w:r>
      <w:r w:rsidRPr="005C5C74">
        <w:rPr>
          <w:rFonts w:ascii="Verdana" w:eastAsia="Malgun Gothic" w:hAnsi="Verdana" w:cs="Arial"/>
          <w:bCs w:val="0"/>
          <w:szCs w:val="22"/>
        </w:rPr>
        <w:t xml:space="preserve"> 202</w:t>
      </w:r>
      <w:r w:rsidR="00E93554" w:rsidRPr="005C5C74">
        <w:rPr>
          <w:rFonts w:ascii="Verdana" w:eastAsia="Malgun Gothic" w:hAnsi="Verdana" w:cs="Arial"/>
          <w:bCs w:val="0"/>
          <w:szCs w:val="22"/>
        </w:rPr>
        <w:t>3</w:t>
      </w:r>
    </w:p>
    <w:p w14:paraId="1E02E925" w14:textId="77777777" w:rsidR="00AB0BC6" w:rsidRPr="00AB0BC6" w:rsidRDefault="00AB0BC6" w:rsidP="00AB0BC6">
      <w:pPr>
        <w:rPr>
          <w:lang w:val="el-GR"/>
        </w:rPr>
      </w:pPr>
    </w:p>
    <w:p w14:paraId="4255EF69" w14:textId="42A74FC8" w:rsidR="00B155F1" w:rsidRDefault="00AB0BC6" w:rsidP="00B155F1">
      <w:pPr>
        <w:tabs>
          <w:tab w:val="left" w:pos="1080"/>
          <w:tab w:val="left" w:pos="6840"/>
        </w:tabs>
        <w:jc w:val="center"/>
        <w:rPr>
          <w:rFonts w:ascii="Verdana" w:eastAsia="Malgun Gothic" w:hAnsi="Verdana" w:cs="Arial"/>
          <w:b/>
          <w:lang w:val="el-GR"/>
        </w:rPr>
      </w:pPr>
      <w:r w:rsidRPr="00995B96">
        <w:rPr>
          <w:rFonts w:ascii="Verdana" w:eastAsia="Malgun Gothic" w:hAnsi="Verdana" w:cs="Arial"/>
          <w:b/>
          <w:lang w:val="el-GR"/>
        </w:rPr>
        <w:t xml:space="preserve">Αφίξεις Τουριστών </w:t>
      </w:r>
      <w:r w:rsidR="00FB730F">
        <w:rPr>
          <w:rFonts w:ascii="Verdana" w:eastAsia="Malgun Gothic" w:hAnsi="Verdana" w:cs="Arial"/>
          <w:b/>
          <w:lang w:val="el-GR"/>
        </w:rPr>
        <w:t>+</w:t>
      </w:r>
      <w:r w:rsidR="00535CAB">
        <w:rPr>
          <w:rFonts w:ascii="Verdana" w:eastAsia="Malgun Gothic" w:hAnsi="Verdana" w:cs="Arial"/>
          <w:b/>
          <w:lang w:val="el-GR"/>
        </w:rPr>
        <w:t>43</w:t>
      </w:r>
      <w:r w:rsidR="00E93554" w:rsidRPr="00995B96">
        <w:rPr>
          <w:rFonts w:ascii="Verdana" w:eastAsia="Malgun Gothic" w:hAnsi="Verdana" w:cs="Arial"/>
          <w:b/>
          <w:lang w:val="el-GR"/>
        </w:rPr>
        <w:t>,</w:t>
      </w:r>
      <w:r w:rsidR="00535CAB">
        <w:rPr>
          <w:rFonts w:ascii="Verdana" w:eastAsia="Malgun Gothic" w:hAnsi="Verdana" w:cs="Arial"/>
          <w:b/>
          <w:lang w:val="el-GR"/>
        </w:rPr>
        <w:t>0</w:t>
      </w:r>
      <w:r w:rsidRPr="00995B96">
        <w:rPr>
          <w:rFonts w:ascii="Verdana" w:eastAsia="Malgun Gothic" w:hAnsi="Verdana" w:cs="Arial"/>
          <w:b/>
          <w:lang w:val="el-GR"/>
        </w:rPr>
        <w:t>%</w:t>
      </w:r>
      <w:r w:rsidR="00B155F1" w:rsidRPr="00995B96">
        <w:rPr>
          <w:rFonts w:ascii="Verdana" w:eastAsia="Malgun Gothic" w:hAnsi="Verdana" w:cs="Arial"/>
          <w:b/>
          <w:lang w:val="el-GR"/>
        </w:rPr>
        <w:t xml:space="preserve"> και Επιστροφές Κατοίκων Κύπρου </w:t>
      </w:r>
      <w:r w:rsidR="00FB730F">
        <w:rPr>
          <w:rFonts w:ascii="Verdana" w:eastAsia="Malgun Gothic" w:hAnsi="Verdana" w:cs="Arial"/>
          <w:b/>
          <w:lang w:val="el-GR"/>
        </w:rPr>
        <w:t>+</w:t>
      </w:r>
      <w:r w:rsidR="00535CAB">
        <w:rPr>
          <w:rFonts w:ascii="Verdana" w:eastAsia="Malgun Gothic" w:hAnsi="Verdana" w:cs="Arial"/>
          <w:b/>
          <w:lang w:val="el-GR"/>
        </w:rPr>
        <w:t>89</w:t>
      </w:r>
      <w:r w:rsidR="00B155F1" w:rsidRPr="00995B96">
        <w:rPr>
          <w:rFonts w:ascii="Verdana" w:eastAsia="Malgun Gothic" w:hAnsi="Verdana" w:cs="Arial"/>
          <w:b/>
          <w:lang w:val="el-GR"/>
        </w:rPr>
        <w:t>,</w:t>
      </w:r>
      <w:r w:rsidR="00535CAB">
        <w:rPr>
          <w:rFonts w:ascii="Verdana" w:eastAsia="Malgun Gothic" w:hAnsi="Verdana" w:cs="Arial"/>
          <w:b/>
          <w:lang w:val="el-GR"/>
        </w:rPr>
        <w:t>9</w:t>
      </w:r>
      <w:r w:rsidR="00B155F1" w:rsidRPr="00995B96">
        <w:rPr>
          <w:rFonts w:ascii="Verdana" w:eastAsia="Malgun Gothic" w:hAnsi="Verdana" w:cs="Arial"/>
          <w:b/>
          <w:lang w:val="el-GR"/>
        </w:rPr>
        <w:t>%</w:t>
      </w:r>
    </w:p>
    <w:p w14:paraId="371294D9" w14:textId="4A051A22" w:rsidR="00AB0BC6" w:rsidRDefault="00AB0BC6" w:rsidP="00FB730F">
      <w:pPr>
        <w:tabs>
          <w:tab w:val="left" w:pos="1080"/>
          <w:tab w:val="left" w:pos="6840"/>
        </w:tabs>
        <w:jc w:val="both"/>
        <w:rPr>
          <w:rFonts w:ascii="Verdana" w:eastAsia="Malgun Gothic" w:hAnsi="Verdana" w:cs="Arial"/>
          <w:bCs/>
          <w:sz w:val="18"/>
          <w:szCs w:val="18"/>
          <w:lang w:val="el-GR"/>
        </w:rPr>
      </w:pPr>
    </w:p>
    <w:p w14:paraId="40C87978" w14:textId="77777777" w:rsidR="00FB730F" w:rsidRPr="00FB730F" w:rsidRDefault="00FB730F" w:rsidP="00FB730F">
      <w:pPr>
        <w:tabs>
          <w:tab w:val="left" w:pos="1080"/>
          <w:tab w:val="left" w:pos="6840"/>
        </w:tabs>
        <w:jc w:val="both"/>
        <w:rPr>
          <w:rFonts w:ascii="Verdana" w:eastAsia="Malgun Gothic" w:hAnsi="Verdana" w:cs="Arial"/>
          <w:bCs/>
          <w:sz w:val="18"/>
          <w:szCs w:val="18"/>
          <w:lang w:val="el-GR"/>
        </w:rPr>
      </w:pPr>
    </w:p>
    <w:p w14:paraId="24C18D7D" w14:textId="32EB5869" w:rsidR="00223E27" w:rsidRPr="00B155F1" w:rsidRDefault="00B155F1" w:rsidP="00223E27">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Αφίξεις Τουριστών</w:t>
      </w: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00FE9A1B" w:rsidR="00223E27" w:rsidRPr="004708C3" w:rsidRDefault="00223E27" w:rsidP="00223E27">
      <w:pPr>
        <w:tabs>
          <w:tab w:val="left" w:pos="1080"/>
          <w:tab w:val="left" w:pos="6840"/>
        </w:tabs>
        <w:jc w:val="both"/>
        <w:rPr>
          <w:rFonts w:ascii="Verdana" w:eastAsia="Malgun Gothic" w:hAnsi="Verdana"/>
          <w:sz w:val="18"/>
          <w:szCs w:val="18"/>
          <w:lang w:val="el-GR" w:eastAsia="x-none"/>
        </w:rPr>
      </w:pPr>
      <w:r w:rsidRPr="004708C3">
        <w:rPr>
          <w:rFonts w:ascii="Verdana" w:eastAsia="Malgun Gothic" w:hAnsi="Verdana"/>
          <w:sz w:val="18"/>
          <w:szCs w:val="18"/>
          <w:lang w:val="el-GR" w:eastAsia="x-none"/>
        </w:rPr>
        <w:t xml:space="preserve">Οι αφίξεις τουριστών τον </w:t>
      </w:r>
      <w:r w:rsidR="00535CAB">
        <w:rPr>
          <w:rFonts w:ascii="Verdana" w:eastAsia="Malgun Gothic" w:hAnsi="Verdana"/>
          <w:sz w:val="18"/>
          <w:szCs w:val="18"/>
          <w:lang w:val="el-GR" w:eastAsia="x-none"/>
        </w:rPr>
        <w:t>Μάρτιο</w:t>
      </w:r>
      <w:r w:rsidR="00F87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202</w:t>
      </w:r>
      <w:r w:rsidR="00C43CB5">
        <w:rPr>
          <w:rFonts w:ascii="Verdana" w:eastAsia="Malgun Gothic" w:hAnsi="Verdana"/>
          <w:sz w:val="18"/>
          <w:szCs w:val="18"/>
          <w:lang w:val="el-GR" w:eastAsia="x-none"/>
        </w:rPr>
        <w:t>3</w:t>
      </w:r>
      <w:r w:rsidRPr="004708C3">
        <w:rPr>
          <w:rFonts w:ascii="Verdana" w:eastAsia="Malgun Gothic" w:hAnsi="Verdana"/>
          <w:sz w:val="18"/>
          <w:szCs w:val="18"/>
          <w:lang w:val="el-GR" w:eastAsia="x-none"/>
        </w:rPr>
        <w:t xml:space="preserve"> ανήλθαν σε </w:t>
      </w:r>
      <w:r w:rsidR="00535CAB" w:rsidRPr="00535CAB">
        <w:rPr>
          <w:rFonts w:ascii="Verdana" w:eastAsia="Malgun Gothic" w:hAnsi="Verdana"/>
          <w:sz w:val="18"/>
          <w:szCs w:val="18"/>
          <w:lang w:val="el-GR" w:eastAsia="x-none"/>
        </w:rPr>
        <w:t>184.263</w:t>
      </w:r>
      <w:r w:rsidR="00F879AF" w:rsidRPr="00F879AF">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σε σύγκριση με </w:t>
      </w:r>
      <w:r w:rsidR="00535CAB" w:rsidRPr="00535CAB">
        <w:rPr>
          <w:rFonts w:ascii="Verdana" w:eastAsia="Malgun Gothic" w:hAnsi="Verdana"/>
          <w:sz w:val="18"/>
          <w:szCs w:val="18"/>
          <w:lang w:val="el-GR" w:eastAsia="x-none"/>
        </w:rPr>
        <w:t>128.840</w:t>
      </w:r>
      <w:r w:rsidR="00E93554">
        <w:rPr>
          <w:rFonts w:ascii="Verdana" w:eastAsia="Malgun Gothic" w:hAnsi="Verdana"/>
          <w:sz w:val="18"/>
          <w:szCs w:val="18"/>
          <w:lang w:val="el-GR" w:eastAsia="x-none"/>
        </w:rPr>
        <w:t xml:space="preserve"> </w:t>
      </w:r>
      <w:r w:rsidRPr="004708C3">
        <w:rPr>
          <w:rFonts w:ascii="Verdana" w:eastAsia="Malgun Gothic" w:hAnsi="Verdana"/>
          <w:sz w:val="18"/>
          <w:szCs w:val="18"/>
          <w:lang w:val="el-GR" w:eastAsia="x-none"/>
        </w:rPr>
        <w:t xml:space="preserve">τον </w:t>
      </w:r>
      <w:r w:rsidR="00535CAB">
        <w:rPr>
          <w:rFonts w:ascii="Verdana" w:eastAsia="Malgun Gothic" w:hAnsi="Verdana"/>
          <w:sz w:val="18"/>
          <w:szCs w:val="18"/>
          <w:lang w:val="el-GR" w:eastAsia="x-none"/>
        </w:rPr>
        <w:t>Μάρτιο</w:t>
      </w:r>
      <w:r w:rsidRPr="004708C3">
        <w:rPr>
          <w:rFonts w:ascii="Verdana" w:eastAsia="Malgun Gothic" w:hAnsi="Verdana"/>
          <w:sz w:val="18"/>
          <w:szCs w:val="18"/>
          <w:lang w:val="el-GR" w:eastAsia="x-none"/>
        </w:rPr>
        <w:t xml:space="preserve"> 202</w:t>
      </w:r>
      <w:r w:rsidR="00C43CB5">
        <w:rPr>
          <w:rFonts w:ascii="Verdana" w:eastAsia="Malgun Gothic" w:hAnsi="Verdana"/>
          <w:sz w:val="18"/>
          <w:szCs w:val="18"/>
          <w:lang w:val="el-GR" w:eastAsia="x-none"/>
        </w:rPr>
        <w:t>2</w:t>
      </w:r>
      <w:r w:rsidR="00AB0BC6" w:rsidRPr="004708C3">
        <w:rPr>
          <w:rFonts w:ascii="Verdana" w:eastAsia="Malgun Gothic" w:hAnsi="Verdana"/>
          <w:sz w:val="18"/>
          <w:szCs w:val="18"/>
          <w:lang w:val="el-GR" w:eastAsia="x-none"/>
        </w:rPr>
        <w:t>,</w:t>
      </w:r>
      <w:r w:rsidR="00AB0BC6" w:rsidRPr="004708C3">
        <w:rPr>
          <w:rFonts w:ascii="Verdana" w:eastAsia="Malgun Gothic" w:hAnsi="Verdana"/>
          <w:sz w:val="18"/>
          <w:szCs w:val="18"/>
          <w:lang w:val="el-GR"/>
        </w:rPr>
        <w:t xml:space="preserve"> σημειώνοντας αύξηση </w:t>
      </w:r>
      <w:r w:rsidR="00535CAB">
        <w:rPr>
          <w:rFonts w:ascii="Verdana" w:eastAsia="Malgun Gothic" w:hAnsi="Verdana"/>
          <w:sz w:val="18"/>
          <w:szCs w:val="18"/>
          <w:lang w:val="el-GR"/>
        </w:rPr>
        <w:t>43</w:t>
      </w:r>
      <w:r w:rsidR="00F879AF" w:rsidRPr="00F879AF">
        <w:rPr>
          <w:rFonts w:ascii="Verdana" w:eastAsia="Malgun Gothic" w:hAnsi="Verdana"/>
          <w:sz w:val="18"/>
          <w:szCs w:val="18"/>
          <w:lang w:val="el-GR"/>
        </w:rPr>
        <w:t>,</w:t>
      </w:r>
      <w:r w:rsidR="00535CAB">
        <w:rPr>
          <w:rFonts w:ascii="Verdana" w:eastAsia="Malgun Gothic" w:hAnsi="Verdana"/>
          <w:sz w:val="18"/>
          <w:szCs w:val="18"/>
          <w:lang w:val="el-GR"/>
        </w:rPr>
        <w:t>0</w:t>
      </w:r>
      <w:r w:rsidR="00AB0BC6" w:rsidRPr="004708C3">
        <w:rPr>
          <w:rFonts w:ascii="Verdana" w:eastAsia="Malgun Gothic" w:hAnsi="Verdana"/>
          <w:sz w:val="18"/>
          <w:szCs w:val="18"/>
          <w:lang w:val="el-GR"/>
        </w:rPr>
        <w:t>%.</w:t>
      </w:r>
    </w:p>
    <w:p w14:paraId="2EB2F4FF" w14:textId="77777777" w:rsidR="00223E27" w:rsidRPr="004708C3" w:rsidRDefault="00223E27" w:rsidP="00223E27">
      <w:pPr>
        <w:pStyle w:val="BodyText"/>
        <w:ind w:right="86"/>
        <w:rPr>
          <w:rFonts w:ascii="Verdana" w:eastAsia="Malgun Gothic" w:hAnsi="Verdana"/>
          <w:sz w:val="18"/>
          <w:szCs w:val="18"/>
        </w:rPr>
      </w:pPr>
    </w:p>
    <w:p w14:paraId="2AC67FDD" w14:textId="23A6C985" w:rsidR="00E63F2F" w:rsidRDefault="00E63F2F" w:rsidP="00E63F2F">
      <w:pPr>
        <w:tabs>
          <w:tab w:val="left" w:pos="1080"/>
          <w:tab w:val="left" w:pos="6840"/>
        </w:tabs>
        <w:jc w:val="both"/>
        <w:rPr>
          <w:rFonts w:ascii="Verdana" w:eastAsia="Malgun Gothic" w:hAnsi="Verdana"/>
          <w:sz w:val="18"/>
          <w:szCs w:val="18"/>
          <w:lang w:val="el-GR"/>
        </w:rPr>
      </w:pPr>
      <w:r w:rsidRPr="001111BB">
        <w:rPr>
          <w:rFonts w:ascii="Verdana" w:eastAsia="Malgun Gothic" w:hAnsi="Verdana"/>
          <w:sz w:val="18"/>
          <w:szCs w:val="18"/>
          <w:lang w:val="el-GR"/>
        </w:rPr>
        <w:t xml:space="preserve">Για την περίοδο Ιανουαρίου – </w:t>
      </w:r>
      <w:r w:rsidR="00535CAB">
        <w:rPr>
          <w:rFonts w:ascii="Verdana" w:eastAsia="Malgun Gothic" w:hAnsi="Verdana"/>
          <w:sz w:val="18"/>
          <w:szCs w:val="18"/>
          <w:lang w:val="el-GR"/>
        </w:rPr>
        <w:t>Μαρτίου</w:t>
      </w:r>
      <w:r w:rsidRPr="001111BB">
        <w:rPr>
          <w:rFonts w:ascii="Verdana" w:eastAsia="Malgun Gothic" w:hAnsi="Verdana"/>
          <w:sz w:val="18"/>
          <w:szCs w:val="18"/>
          <w:lang w:val="el-GR"/>
        </w:rPr>
        <w:t xml:space="preserve"> 2023, οι αφίξεις τουριστών ανήλθαν σε </w:t>
      </w:r>
      <w:r w:rsidR="00535CAB" w:rsidRPr="00535CAB">
        <w:rPr>
          <w:rFonts w:ascii="Verdana" w:eastAsia="Malgun Gothic" w:hAnsi="Verdana"/>
          <w:sz w:val="18"/>
          <w:szCs w:val="18"/>
          <w:lang w:val="el-GR"/>
        </w:rPr>
        <w:t>393.893</w:t>
      </w:r>
      <w:r w:rsidRPr="001111BB">
        <w:rPr>
          <w:rFonts w:ascii="Verdana" w:eastAsia="Malgun Gothic" w:hAnsi="Verdana"/>
          <w:sz w:val="18"/>
          <w:szCs w:val="18"/>
          <w:lang w:val="el-GR"/>
        </w:rPr>
        <w:t xml:space="preserve"> σε σύγκριση με </w:t>
      </w:r>
      <w:r w:rsidR="00535CAB" w:rsidRPr="00535CAB">
        <w:rPr>
          <w:rFonts w:ascii="Verdana" w:eastAsia="Malgun Gothic" w:hAnsi="Verdana"/>
          <w:sz w:val="18"/>
          <w:szCs w:val="18"/>
          <w:lang w:val="el-GR"/>
        </w:rPr>
        <w:t>244.705</w:t>
      </w:r>
      <w:r w:rsidRPr="001111BB">
        <w:rPr>
          <w:rFonts w:ascii="Verdana" w:eastAsia="Malgun Gothic" w:hAnsi="Verdana"/>
          <w:sz w:val="18"/>
          <w:szCs w:val="18"/>
          <w:lang w:val="el-GR"/>
        </w:rPr>
        <w:t xml:space="preserve"> την αντίστοιχη περίοδο του 2022, </w:t>
      </w:r>
      <w:r w:rsidRPr="004708C3">
        <w:rPr>
          <w:rFonts w:ascii="Verdana" w:eastAsia="Malgun Gothic" w:hAnsi="Verdana"/>
          <w:sz w:val="18"/>
          <w:szCs w:val="18"/>
          <w:lang w:val="el-GR"/>
        </w:rPr>
        <w:t xml:space="preserve">σημειώνοντας αύξηση </w:t>
      </w:r>
      <w:r w:rsidR="00535CAB">
        <w:rPr>
          <w:rFonts w:ascii="Verdana" w:eastAsia="Malgun Gothic" w:hAnsi="Verdana"/>
          <w:sz w:val="18"/>
          <w:szCs w:val="18"/>
          <w:lang w:val="el-GR"/>
        </w:rPr>
        <w:t>61</w:t>
      </w:r>
      <w:r w:rsidRPr="00F879AF">
        <w:rPr>
          <w:rFonts w:ascii="Verdana" w:eastAsia="Malgun Gothic" w:hAnsi="Verdana"/>
          <w:sz w:val="18"/>
          <w:szCs w:val="18"/>
          <w:lang w:val="el-GR"/>
        </w:rPr>
        <w:t>,</w:t>
      </w:r>
      <w:r w:rsidR="00535CAB">
        <w:rPr>
          <w:rFonts w:ascii="Verdana" w:eastAsia="Malgun Gothic" w:hAnsi="Verdana"/>
          <w:sz w:val="18"/>
          <w:szCs w:val="18"/>
          <w:lang w:val="el-GR"/>
        </w:rPr>
        <w:t>0</w:t>
      </w:r>
      <w:r w:rsidRPr="004708C3">
        <w:rPr>
          <w:rFonts w:ascii="Verdana" w:eastAsia="Malgun Gothic" w:hAnsi="Verdana"/>
          <w:sz w:val="18"/>
          <w:szCs w:val="18"/>
          <w:lang w:val="el-GR"/>
        </w:rPr>
        <w:t>%.</w:t>
      </w:r>
    </w:p>
    <w:p w14:paraId="71270328" w14:textId="77777777" w:rsidR="00B978FE" w:rsidRDefault="00B978FE" w:rsidP="00E63F2F">
      <w:pPr>
        <w:tabs>
          <w:tab w:val="left" w:pos="1080"/>
          <w:tab w:val="left" w:pos="6840"/>
        </w:tabs>
        <w:jc w:val="both"/>
        <w:rPr>
          <w:rFonts w:ascii="Verdana" w:eastAsia="Malgun Gothic" w:hAnsi="Verdana"/>
          <w:sz w:val="18"/>
          <w:szCs w:val="18"/>
          <w:lang w:val="el-GR"/>
        </w:rPr>
      </w:pPr>
    </w:p>
    <w:p w14:paraId="238FF070" w14:textId="77777777" w:rsidR="006E475B" w:rsidRDefault="006E475B" w:rsidP="00E63F2F">
      <w:pPr>
        <w:tabs>
          <w:tab w:val="left" w:pos="1080"/>
          <w:tab w:val="left" w:pos="6840"/>
        </w:tabs>
        <w:jc w:val="both"/>
        <w:rPr>
          <w:rFonts w:ascii="Verdana" w:eastAsia="Malgun Gothic" w:hAnsi="Verdana"/>
          <w:sz w:val="18"/>
          <w:szCs w:val="18"/>
          <w:lang w:val="el-GR"/>
        </w:rPr>
      </w:pPr>
    </w:p>
    <w:p w14:paraId="508DC18A" w14:textId="49D2C1F7" w:rsidR="00007347" w:rsidRDefault="00B978FE" w:rsidP="00E63F2F">
      <w:pPr>
        <w:tabs>
          <w:tab w:val="left" w:pos="1080"/>
          <w:tab w:val="left" w:pos="6840"/>
        </w:tabs>
        <w:jc w:val="both"/>
        <w:rPr>
          <w:rFonts w:ascii="Verdana" w:eastAsia="Malgun Gothic" w:hAnsi="Verdana"/>
          <w:sz w:val="18"/>
          <w:szCs w:val="18"/>
          <w:lang w:val="el-GR"/>
        </w:rPr>
      </w:pPr>
      <w:r>
        <w:rPr>
          <w:rFonts w:ascii="Verdana" w:eastAsia="Malgun Gothic" w:hAnsi="Verdana"/>
          <w:noProof/>
          <w:sz w:val="18"/>
          <w:szCs w:val="18"/>
          <w:lang w:val="el-GR"/>
        </w:rPr>
        <w:drawing>
          <wp:inline distT="0" distB="0" distL="0" distR="0" wp14:anchorId="397AD6A1" wp14:editId="7C93B6A5">
            <wp:extent cx="6059805" cy="320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9805" cy="3206750"/>
                    </a:xfrm>
                    <a:prstGeom prst="rect">
                      <a:avLst/>
                    </a:prstGeom>
                    <a:noFill/>
                  </pic:spPr>
                </pic:pic>
              </a:graphicData>
            </a:graphic>
          </wp:inline>
        </w:drawing>
      </w:r>
    </w:p>
    <w:p w14:paraId="6CC9C301" w14:textId="77777777" w:rsidR="006E475B" w:rsidRPr="006E475B" w:rsidRDefault="006E475B" w:rsidP="006E475B">
      <w:pPr>
        <w:tabs>
          <w:tab w:val="left" w:pos="1080"/>
          <w:tab w:val="left" w:pos="6840"/>
        </w:tabs>
        <w:jc w:val="both"/>
        <w:rPr>
          <w:rFonts w:ascii="Verdana" w:eastAsia="Malgun Gothic" w:hAnsi="Verdana"/>
          <w:sz w:val="18"/>
          <w:szCs w:val="18"/>
          <w:lang w:val="el-GR" w:eastAsia="x-none"/>
        </w:rPr>
      </w:pPr>
    </w:p>
    <w:p w14:paraId="7DC4098D" w14:textId="77777777" w:rsidR="000E1D30" w:rsidRDefault="000E1D30" w:rsidP="00223E27">
      <w:pPr>
        <w:pStyle w:val="BodyText"/>
        <w:ind w:right="86"/>
        <w:rPr>
          <w:rFonts w:ascii="Verdana" w:eastAsia="Malgun Gothic" w:hAnsi="Verdana" w:cs="Arial"/>
          <w:sz w:val="18"/>
          <w:szCs w:val="18"/>
        </w:rPr>
      </w:pPr>
    </w:p>
    <w:p w14:paraId="1A6814FE" w14:textId="2208A1B6" w:rsidR="00223E27" w:rsidRPr="0090458B" w:rsidRDefault="00223E27" w:rsidP="00223E27">
      <w:pPr>
        <w:pStyle w:val="BodyText"/>
        <w:ind w:right="86"/>
        <w:rPr>
          <w:rFonts w:ascii="Verdana" w:eastAsia="Malgun Gothic" w:hAnsi="Verdana"/>
          <w:sz w:val="18"/>
          <w:szCs w:val="18"/>
        </w:rPr>
      </w:pPr>
      <w:r w:rsidRPr="00B65FBF">
        <w:rPr>
          <w:rFonts w:ascii="Verdana" w:eastAsia="Malgun Gothic" w:hAnsi="Verdana"/>
          <w:sz w:val="18"/>
          <w:szCs w:val="18"/>
        </w:rPr>
        <w:t xml:space="preserve">Οι αφίξεις από το Ηνωμένο Βασίλειο υπήρξαν η κυριότερη πηγή τουρισμού για τον </w:t>
      </w:r>
      <w:r w:rsidR="00535CAB">
        <w:rPr>
          <w:rFonts w:ascii="Verdana" w:eastAsia="Malgun Gothic" w:hAnsi="Verdana"/>
          <w:sz w:val="18"/>
          <w:szCs w:val="18"/>
        </w:rPr>
        <w:t>Μάρτιο</w:t>
      </w:r>
      <w:r w:rsidRPr="00B65FBF">
        <w:rPr>
          <w:rFonts w:ascii="Verdana" w:eastAsia="Malgun Gothic" w:hAnsi="Verdana"/>
          <w:sz w:val="18"/>
          <w:szCs w:val="18"/>
        </w:rPr>
        <w:t xml:space="preserve"> 202</w:t>
      </w:r>
      <w:r w:rsidR="00872376" w:rsidRPr="00B65FBF">
        <w:rPr>
          <w:rFonts w:ascii="Verdana" w:eastAsia="Malgun Gothic" w:hAnsi="Verdana"/>
          <w:sz w:val="18"/>
          <w:szCs w:val="18"/>
        </w:rPr>
        <w:t>3</w:t>
      </w:r>
      <w:r w:rsidRPr="00B65FBF">
        <w:rPr>
          <w:rFonts w:ascii="Verdana" w:eastAsia="Malgun Gothic" w:hAnsi="Verdana"/>
          <w:sz w:val="18"/>
          <w:szCs w:val="18"/>
        </w:rPr>
        <w:t xml:space="preserve">, αφού αποτέλεσαν το </w:t>
      </w:r>
      <w:r w:rsidR="00722E98" w:rsidRPr="00722E98">
        <w:rPr>
          <w:rFonts w:ascii="Verdana" w:eastAsia="Malgun Gothic" w:hAnsi="Verdana"/>
          <w:sz w:val="18"/>
          <w:szCs w:val="18"/>
        </w:rPr>
        <w:t>33</w:t>
      </w:r>
      <w:r w:rsidR="00872376" w:rsidRPr="00B65FBF">
        <w:rPr>
          <w:rFonts w:ascii="Verdana" w:eastAsia="Malgun Gothic" w:hAnsi="Verdana"/>
          <w:sz w:val="18"/>
          <w:szCs w:val="18"/>
        </w:rPr>
        <w:t>,</w:t>
      </w:r>
      <w:r w:rsidR="00722E98" w:rsidRPr="00722E98">
        <w:rPr>
          <w:rFonts w:ascii="Verdana" w:eastAsia="Malgun Gothic" w:hAnsi="Verdana"/>
          <w:sz w:val="18"/>
          <w:szCs w:val="18"/>
        </w:rPr>
        <w:t>8</w:t>
      </w:r>
      <w:r w:rsidRPr="00B65FBF">
        <w:rPr>
          <w:rFonts w:ascii="Verdana" w:eastAsia="Malgun Gothic" w:hAnsi="Verdana"/>
          <w:sz w:val="18"/>
          <w:szCs w:val="18"/>
        </w:rPr>
        <w:t>% (</w:t>
      </w:r>
      <w:r w:rsidR="00722E98" w:rsidRPr="00722E98">
        <w:rPr>
          <w:rFonts w:ascii="Verdana" w:eastAsia="Malgun Gothic" w:hAnsi="Verdana"/>
          <w:sz w:val="18"/>
          <w:szCs w:val="18"/>
        </w:rPr>
        <w:t>62.282</w:t>
      </w:r>
      <w:r w:rsidRPr="00B65FBF">
        <w:rPr>
          <w:rFonts w:ascii="Verdana" w:eastAsia="Malgun Gothic" w:hAnsi="Verdana"/>
          <w:sz w:val="18"/>
          <w:szCs w:val="18"/>
        </w:rPr>
        <w:t xml:space="preserve">) των συνολικών αφίξεων, οι αφίξεις από </w:t>
      </w:r>
      <w:r w:rsidR="00350F33" w:rsidRPr="00B65FBF">
        <w:rPr>
          <w:rFonts w:ascii="Verdana" w:eastAsia="Malgun Gothic" w:hAnsi="Verdana"/>
          <w:sz w:val="18"/>
          <w:szCs w:val="18"/>
        </w:rPr>
        <w:t>το Ισραήλ</w:t>
      </w:r>
      <w:r w:rsidR="00C675E4" w:rsidRPr="00B65FBF">
        <w:rPr>
          <w:rFonts w:ascii="Verdana" w:eastAsia="Malgun Gothic" w:hAnsi="Verdana"/>
          <w:sz w:val="18"/>
          <w:szCs w:val="18"/>
        </w:rPr>
        <w:t xml:space="preserve"> </w:t>
      </w:r>
      <w:r w:rsidRPr="00B65FBF">
        <w:rPr>
          <w:rFonts w:ascii="Verdana" w:eastAsia="Malgun Gothic" w:hAnsi="Verdana"/>
          <w:sz w:val="18"/>
          <w:szCs w:val="18"/>
        </w:rPr>
        <w:t xml:space="preserve">το </w:t>
      </w:r>
      <w:r w:rsidR="00872376" w:rsidRPr="00B65FBF">
        <w:rPr>
          <w:rFonts w:ascii="Verdana" w:eastAsia="Malgun Gothic" w:hAnsi="Verdana"/>
          <w:sz w:val="18"/>
          <w:szCs w:val="18"/>
        </w:rPr>
        <w:t>12,</w:t>
      </w:r>
      <w:r w:rsidR="00722E98" w:rsidRPr="00722E98">
        <w:rPr>
          <w:rFonts w:ascii="Verdana" w:eastAsia="Malgun Gothic" w:hAnsi="Verdana"/>
          <w:sz w:val="18"/>
          <w:szCs w:val="18"/>
        </w:rPr>
        <w:t>4</w:t>
      </w:r>
      <w:r w:rsidRPr="00B65FBF">
        <w:rPr>
          <w:rFonts w:ascii="Verdana" w:eastAsia="Malgun Gothic" w:hAnsi="Verdana"/>
          <w:sz w:val="18"/>
          <w:szCs w:val="18"/>
        </w:rPr>
        <w:t>% (</w:t>
      </w:r>
      <w:r w:rsidR="00722E98" w:rsidRPr="00722E98">
        <w:rPr>
          <w:rFonts w:ascii="Verdana" w:eastAsia="Malgun Gothic" w:hAnsi="Verdana"/>
          <w:sz w:val="18"/>
          <w:szCs w:val="18"/>
        </w:rPr>
        <w:t>22.813</w:t>
      </w:r>
      <w:r w:rsidRPr="00B65FBF">
        <w:rPr>
          <w:rFonts w:ascii="Verdana" w:eastAsia="Malgun Gothic" w:hAnsi="Verdana"/>
          <w:sz w:val="18"/>
          <w:szCs w:val="18"/>
        </w:rPr>
        <w:t>)</w:t>
      </w:r>
      <w:r w:rsidR="00592994" w:rsidRPr="00B65FBF">
        <w:rPr>
          <w:rFonts w:ascii="Verdana" w:eastAsia="Malgun Gothic" w:hAnsi="Verdana"/>
          <w:sz w:val="18"/>
          <w:szCs w:val="18"/>
        </w:rPr>
        <w:t>,</w:t>
      </w:r>
      <w:r w:rsidR="00073B96" w:rsidRPr="00B65FBF">
        <w:rPr>
          <w:rFonts w:ascii="Verdana" w:eastAsia="Malgun Gothic" w:hAnsi="Verdana"/>
          <w:sz w:val="18"/>
          <w:szCs w:val="18"/>
        </w:rPr>
        <w:t xml:space="preserve"> οι αφίξεις από τη</w:t>
      </w:r>
      <w:r w:rsidR="002522FA" w:rsidRPr="00B65FBF">
        <w:rPr>
          <w:rFonts w:ascii="Verdana" w:eastAsia="Malgun Gothic" w:hAnsi="Verdana"/>
          <w:sz w:val="18"/>
          <w:szCs w:val="18"/>
        </w:rPr>
        <w:t>ν</w:t>
      </w:r>
      <w:r w:rsidR="00073B96" w:rsidRPr="00B65FBF">
        <w:rPr>
          <w:rFonts w:ascii="Verdana" w:eastAsia="Malgun Gothic" w:hAnsi="Verdana"/>
          <w:sz w:val="18"/>
          <w:szCs w:val="18"/>
        </w:rPr>
        <w:t xml:space="preserve"> </w:t>
      </w:r>
      <w:r w:rsidR="002522FA" w:rsidRPr="00B65FBF">
        <w:rPr>
          <w:rFonts w:ascii="Verdana" w:eastAsia="Malgun Gothic" w:hAnsi="Verdana"/>
          <w:sz w:val="18"/>
          <w:szCs w:val="18"/>
        </w:rPr>
        <w:t xml:space="preserve">Ελλάδα </w:t>
      </w:r>
      <w:r w:rsidR="00073B96" w:rsidRPr="00B65FBF">
        <w:rPr>
          <w:rFonts w:ascii="Verdana" w:eastAsia="Malgun Gothic" w:hAnsi="Verdana"/>
          <w:sz w:val="18"/>
          <w:szCs w:val="18"/>
        </w:rPr>
        <w:t xml:space="preserve">το </w:t>
      </w:r>
      <w:r w:rsidR="00722E98" w:rsidRPr="00722E98">
        <w:rPr>
          <w:rFonts w:ascii="Verdana" w:eastAsia="Malgun Gothic" w:hAnsi="Verdana"/>
          <w:sz w:val="18"/>
          <w:szCs w:val="18"/>
        </w:rPr>
        <w:t>8</w:t>
      </w:r>
      <w:r w:rsidR="00B521EF" w:rsidRPr="00B65FBF">
        <w:rPr>
          <w:rFonts w:ascii="Verdana" w:eastAsia="Malgun Gothic" w:hAnsi="Verdana"/>
          <w:sz w:val="18"/>
          <w:szCs w:val="18"/>
        </w:rPr>
        <w:t>,</w:t>
      </w:r>
      <w:r w:rsidR="00722E98" w:rsidRPr="00722E98">
        <w:rPr>
          <w:rFonts w:ascii="Verdana" w:eastAsia="Malgun Gothic" w:hAnsi="Verdana"/>
          <w:sz w:val="18"/>
          <w:szCs w:val="18"/>
        </w:rPr>
        <w:t>2</w:t>
      </w:r>
      <w:r w:rsidR="00073B96" w:rsidRPr="00B65FBF">
        <w:rPr>
          <w:rFonts w:ascii="Verdana" w:eastAsia="Malgun Gothic" w:hAnsi="Verdana"/>
          <w:sz w:val="18"/>
          <w:szCs w:val="18"/>
        </w:rPr>
        <w:t>% (</w:t>
      </w:r>
      <w:r w:rsidR="00722E98" w:rsidRPr="00722E98">
        <w:rPr>
          <w:rFonts w:ascii="Verdana" w:eastAsia="Malgun Gothic" w:hAnsi="Verdana"/>
          <w:sz w:val="18"/>
          <w:szCs w:val="18"/>
        </w:rPr>
        <w:t>15.122</w:t>
      </w:r>
      <w:r w:rsidR="00073B96" w:rsidRPr="00B65FBF">
        <w:rPr>
          <w:rFonts w:ascii="Verdana" w:eastAsia="Malgun Gothic" w:hAnsi="Verdana"/>
          <w:sz w:val="18"/>
          <w:szCs w:val="18"/>
        </w:rPr>
        <w:t xml:space="preserve">), </w:t>
      </w:r>
      <w:r w:rsidR="001841B3" w:rsidRPr="00B65FBF">
        <w:rPr>
          <w:rFonts w:ascii="Verdana" w:eastAsia="Malgun Gothic" w:hAnsi="Verdana"/>
          <w:sz w:val="18"/>
          <w:szCs w:val="18"/>
        </w:rPr>
        <w:t xml:space="preserve">οι αφίξεις από </w:t>
      </w:r>
      <w:r w:rsidR="001979A4" w:rsidRPr="00B65FBF">
        <w:rPr>
          <w:rFonts w:ascii="Verdana" w:eastAsia="Malgun Gothic" w:hAnsi="Verdana"/>
          <w:sz w:val="18"/>
          <w:szCs w:val="18"/>
        </w:rPr>
        <w:t xml:space="preserve">την Πολωνία </w:t>
      </w:r>
      <w:r w:rsidR="001841B3" w:rsidRPr="00B65FBF">
        <w:rPr>
          <w:rFonts w:ascii="Verdana" w:eastAsia="Malgun Gothic" w:hAnsi="Verdana"/>
          <w:sz w:val="18"/>
          <w:szCs w:val="18"/>
        </w:rPr>
        <w:t xml:space="preserve">το </w:t>
      </w:r>
      <w:r w:rsidR="00722E98" w:rsidRPr="00722E98">
        <w:rPr>
          <w:rFonts w:ascii="Verdana" w:eastAsia="Malgun Gothic" w:hAnsi="Verdana"/>
          <w:sz w:val="18"/>
          <w:szCs w:val="18"/>
        </w:rPr>
        <w:t>7</w:t>
      </w:r>
      <w:r w:rsidR="00B521EF" w:rsidRPr="00B65FBF">
        <w:rPr>
          <w:rFonts w:ascii="Verdana" w:eastAsia="Malgun Gothic" w:hAnsi="Verdana"/>
          <w:sz w:val="18"/>
          <w:szCs w:val="18"/>
        </w:rPr>
        <w:t>,</w:t>
      </w:r>
      <w:r w:rsidR="00722E98" w:rsidRPr="00722E98">
        <w:rPr>
          <w:rFonts w:ascii="Verdana" w:eastAsia="Malgun Gothic" w:hAnsi="Verdana"/>
          <w:sz w:val="18"/>
          <w:szCs w:val="18"/>
        </w:rPr>
        <w:t>6</w:t>
      </w:r>
      <w:r w:rsidR="001841B3" w:rsidRPr="00B65FBF">
        <w:rPr>
          <w:rFonts w:ascii="Verdana" w:eastAsia="Malgun Gothic" w:hAnsi="Verdana"/>
          <w:sz w:val="18"/>
          <w:szCs w:val="18"/>
        </w:rPr>
        <w:t>% (</w:t>
      </w:r>
      <w:r w:rsidR="00722E98" w:rsidRPr="00722E98">
        <w:rPr>
          <w:rFonts w:ascii="Verdana" w:eastAsia="Malgun Gothic" w:hAnsi="Verdana"/>
          <w:sz w:val="18"/>
          <w:szCs w:val="18"/>
        </w:rPr>
        <w:t>14.049</w:t>
      </w:r>
      <w:r w:rsidR="00072002" w:rsidRPr="00B65FBF">
        <w:rPr>
          <w:rFonts w:ascii="Verdana" w:eastAsia="Malgun Gothic" w:hAnsi="Verdana"/>
          <w:sz w:val="18"/>
          <w:szCs w:val="18"/>
        </w:rPr>
        <w:t>)</w:t>
      </w:r>
      <w:r w:rsidR="00427217" w:rsidRPr="00B65FBF">
        <w:rPr>
          <w:rFonts w:ascii="Verdana" w:eastAsia="Malgun Gothic" w:hAnsi="Verdana"/>
          <w:sz w:val="18"/>
          <w:szCs w:val="18"/>
        </w:rPr>
        <w:t xml:space="preserve"> και</w:t>
      </w:r>
      <w:r w:rsidR="001841B3" w:rsidRPr="00B65FBF">
        <w:rPr>
          <w:rFonts w:ascii="Verdana" w:eastAsia="Malgun Gothic" w:hAnsi="Verdana"/>
          <w:sz w:val="18"/>
          <w:szCs w:val="18"/>
        </w:rPr>
        <w:t xml:space="preserve"> </w:t>
      </w:r>
      <w:r w:rsidR="00C675E4" w:rsidRPr="00B65FBF">
        <w:rPr>
          <w:rFonts w:ascii="Verdana" w:eastAsia="Malgun Gothic" w:hAnsi="Verdana"/>
          <w:sz w:val="18"/>
          <w:szCs w:val="18"/>
        </w:rPr>
        <w:t xml:space="preserve">οι αφίξεις από τη </w:t>
      </w:r>
      <w:r w:rsidR="00A85669" w:rsidRPr="00B65FBF">
        <w:rPr>
          <w:rFonts w:ascii="Verdana" w:eastAsia="Malgun Gothic" w:hAnsi="Verdana"/>
          <w:sz w:val="18"/>
          <w:szCs w:val="18"/>
        </w:rPr>
        <w:t>Γερμανία</w:t>
      </w:r>
      <w:r w:rsidR="00072002" w:rsidRPr="00B65FBF">
        <w:rPr>
          <w:rFonts w:ascii="Verdana" w:eastAsia="Malgun Gothic" w:hAnsi="Verdana"/>
          <w:sz w:val="18"/>
          <w:szCs w:val="18"/>
        </w:rPr>
        <w:t xml:space="preserve"> </w:t>
      </w:r>
      <w:r w:rsidR="00C675E4" w:rsidRPr="00B65FBF">
        <w:rPr>
          <w:rFonts w:ascii="Verdana" w:eastAsia="Malgun Gothic" w:hAnsi="Verdana"/>
          <w:sz w:val="18"/>
          <w:szCs w:val="18"/>
        </w:rPr>
        <w:t xml:space="preserve">το </w:t>
      </w:r>
      <w:r w:rsidR="00722E98" w:rsidRPr="00722E98">
        <w:rPr>
          <w:rFonts w:ascii="Verdana" w:eastAsia="Malgun Gothic" w:hAnsi="Verdana"/>
          <w:sz w:val="18"/>
          <w:szCs w:val="18"/>
        </w:rPr>
        <w:t>7</w:t>
      </w:r>
      <w:r w:rsidR="00B521EF" w:rsidRPr="00B65FBF">
        <w:rPr>
          <w:rFonts w:ascii="Verdana" w:eastAsia="Malgun Gothic" w:hAnsi="Verdana"/>
          <w:sz w:val="18"/>
          <w:szCs w:val="18"/>
        </w:rPr>
        <w:t>,</w:t>
      </w:r>
      <w:r w:rsidR="00722E98" w:rsidRPr="00722E98">
        <w:rPr>
          <w:rFonts w:ascii="Verdana" w:eastAsia="Malgun Gothic" w:hAnsi="Verdana"/>
          <w:sz w:val="18"/>
          <w:szCs w:val="18"/>
        </w:rPr>
        <w:t>0</w:t>
      </w:r>
      <w:r w:rsidR="00C675E4" w:rsidRPr="00B65FBF">
        <w:rPr>
          <w:rFonts w:ascii="Verdana" w:eastAsia="Malgun Gothic" w:hAnsi="Verdana"/>
          <w:sz w:val="18"/>
          <w:szCs w:val="18"/>
        </w:rPr>
        <w:t>% (</w:t>
      </w:r>
      <w:r w:rsidR="00722E98" w:rsidRPr="00722E98">
        <w:rPr>
          <w:rFonts w:ascii="Verdana" w:eastAsia="Malgun Gothic" w:hAnsi="Verdana"/>
          <w:sz w:val="18"/>
          <w:szCs w:val="18"/>
        </w:rPr>
        <w:t>12.864</w:t>
      </w:r>
      <w:r w:rsidR="00C675E4" w:rsidRPr="00B65FBF">
        <w:rPr>
          <w:rFonts w:ascii="Verdana" w:eastAsia="Malgun Gothic" w:hAnsi="Verdana"/>
          <w:sz w:val="18"/>
          <w:szCs w:val="18"/>
        </w:rPr>
        <w:t>)</w:t>
      </w:r>
      <w:r w:rsidR="00427217" w:rsidRPr="00B65FBF">
        <w:rPr>
          <w:rFonts w:ascii="Verdana" w:eastAsia="Malgun Gothic" w:hAnsi="Verdana"/>
          <w:sz w:val="18"/>
          <w:szCs w:val="18"/>
        </w:rPr>
        <w:t>.</w:t>
      </w:r>
    </w:p>
    <w:p w14:paraId="4F2F22E6" w14:textId="0119A29E" w:rsidR="00B155F1" w:rsidRDefault="00B155F1" w:rsidP="00223E27">
      <w:pPr>
        <w:ind w:right="86"/>
        <w:jc w:val="both"/>
        <w:rPr>
          <w:rFonts w:ascii="Verdana" w:eastAsia="Malgun Gothic" w:hAnsi="Verdana" w:cs="Arial"/>
          <w:sz w:val="18"/>
          <w:szCs w:val="18"/>
          <w:lang w:val="el-GR"/>
        </w:rPr>
      </w:pPr>
    </w:p>
    <w:p w14:paraId="4F8027EB" w14:textId="46D5077E" w:rsidR="000E1D30" w:rsidRDefault="000E1D30" w:rsidP="00223E27">
      <w:pPr>
        <w:ind w:right="86"/>
        <w:jc w:val="both"/>
        <w:rPr>
          <w:rFonts w:ascii="Verdana" w:eastAsia="Malgun Gothic" w:hAnsi="Verdana" w:cs="Arial"/>
          <w:sz w:val="18"/>
          <w:szCs w:val="18"/>
          <w:lang w:val="el-GR"/>
        </w:rPr>
      </w:pPr>
    </w:p>
    <w:p w14:paraId="758D3E5E" w14:textId="469E94EF" w:rsidR="000E1D30" w:rsidRDefault="000E1D30" w:rsidP="00223E27">
      <w:pPr>
        <w:ind w:right="86"/>
        <w:jc w:val="both"/>
        <w:rPr>
          <w:rFonts w:ascii="Verdana" w:eastAsia="Malgun Gothic" w:hAnsi="Verdana" w:cs="Arial"/>
          <w:sz w:val="18"/>
          <w:szCs w:val="18"/>
          <w:lang w:val="el-GR"/>
        </w:rPr>
      </w:pPr>
    </w:p>
    <w:p w14:paraId="4CC4672C" w14:textId="25B6CE5D" w:rsidR="000E1D30" w:rsidRDefault="000E1D30" w:rsidP="00223E27">
      <w:pPr>
        <w:ind w:right="86"/>
        <w:jc w:val="both"/>
        <w:rPr>
          <w:rFonts w:ascii="Verdana" w:eastAsia="Malgun Gothic" w:hAnsi="Verdana" w:cs="Arial"/>
          <w:sz w:val="18"/>
          <w:szCs w:val="18"/>
          <w:lang w:val="el-GR"/>
        </w:rPr>
      </w:pPr>
    </w:p>
    <w:p w14:paraId="71179548" w14:textId="30C6E0A5" w:rsidR="000E1D30" w:rsidRDefault="000E1D30" w:rsidP="00223E27">
      <w:pPr>
        <w:ind w:right="86"/>
        <w:jc w:val="both"/>
        <w:rPr>
          <w:rFonts w:ascii="Verdana" w:eastAsia="Malgun Gothic" w:hAnsi="Verdana" w:cs="Arial"/>
          <w:sz w:val="18"/>
          <w:szCs w:val="18"/>
          <w:lang w:val="el-GR"/>
        </w:rPr>
      </w:pPr>
    </w:p>
    <w:p w14:paraId="58A4EC96" w14:textId="77777777" w:rsidR="000E1D30" w:rsidRDefault="000E1D30" w:rsidP="00223E27">
      <w:pPr>
        <w:ind w:right="86"/>
        <w:jc w:val="both"/>
        <w:rPr>
          <w:rFonts w:ascii="Verdana" w:eastAsia="Malgun Gothic" w:hAnsi="Verdana" w:cs="Arial"/>
          <w:sz w:val="18"/>
          <w:szCs w:val="18"/>
          <w:lang w:val="el-GR"/>
        </w:rPr>
      </w:pPr>
    </w:p>
    <w:p w14:paraId="07DF3632" w14:textId="1F7FE0F5" w:rsidR="00223E27" w:rsidRPr="00BE35D4" w:rsidRDefault="00223E27" w:rsidP="00223E27">
      <w:pPr>
        <w:ind w:right="86"/>
        <w:jc w:val="both"/>
        <w:rPr>
          <w:rFonts w:ascii="Verdana" w:eastAsia="Times New Roman" w:hAnsi="Verdana" w:cs="Arial"/>
          <w:sz w:val="18"/>
          <w:szCs w:val="18"/>
          <w:lang w:val="el-GR"/>
        </w:rPr>
      </w:pPr>
      <w:r w:rsidRPr="00AE3D6A">
        <w:rPr>
          <w:rFonts w:ascii="Verdana" w:eastAsia="Malgun Gothic" w:hAnsi="Verdana" w:cs="Arial"/>
          <w:sz w:val="18"/>
          <w:szCs w:val="18"/>
          <w:lang w:val="el-GR"/>
        </w:rPr>
        <w:lastRenderedPageBreak/>
        <w:t xml:space="preserve">Ο σκοπός ταξιδιού τον </w:t>
      </w:r>
      <w:r w:rsidR="00535CAB">
        <w:rPr>
          <w:rFonts w:ascii="Verdana" w:eastAsia="Malgun Gothic" w:hAnsi="Verdana"/>
          <w:sz w:val="18"/>
          <w:szCs w:val="18"/>
          <w:lang w:val="el-GR"/>
        </w:rPr>
        <w:t>Μάρτιο</w:t>
      </w:r>
      <w:r w:rsidRPr="00AE3D6A">
        <w:rPr>
          <w:rFonts w:ascii="Verdana" w:eastAsia="Malgun Gothic" w:hAnsi="Verdana"/>
          <w:sz w:val="18"/>
          <w:szCs w:val="18"/>
          <w:lang w:val="el-GR"/>
        </w:rPr>
        <w:t xml:space="preserve"> </w:t>
      </w:r>
      <w:r w:rsidRPr="00AE3D6A">
        <w:rPr>
          <w:rFonts w:ascii="Verdana" w:eastAsia="Malgun Gothic" w:hAnsi="Verdana" w:cs="Arial"/>
          <w:sz w:val="18"/>
          <w:szCs w:val="18"/>
          <w:lang w:val="el-GR"/>
        </w:rPr>
        <w:t>202</w:t>
      </w:r>
      <w:r w:rsidR="00AE3D6A" w:rsidRPr="00AE3D6A">
        <w:rPr>
          <w:rFonts w:ascii="Verdana" w:eastAsia="Malgun Gothic" w:hAnsi="Verdana" w:cs="Arial"/>
          <w:sz w:val="18"/>
          <w:szCs w:val="18"/>
          <w:lang w:val="el-GR"/>
        </w:rPr>
        <w:t>3</w:t>
      </w:r>
      <w:r w:rsidRPr="00AE3D6A">
        <w:rPr>
          <w:rFonts w:ascii="Verdana" w:eastAsia="Malgun Gothic" w:hAnsi="Verdana" w:cs="Arial"/>
          <w:sz w:val="18"/>
          <w:szCs w:val="18"/>
          <w:lang w:val="el-GR"/>
        </w:rPr>
        <w:t xml:space="preserve"> ήταν για ποσοστό </w:t>
      </w:r>
      <w:r w:rsidR="0052523A" w:rsidRPr="0052523A">
        <w:rPr>
          <w:rFonts w:ascii="Verdana" w:eastAsia="Malgun Gothic" w:hAnsi="Verdana" w:cs="Arial"/>
          <w:sz w:val="18"/>
          <w:szCs w:val="18"/>
          <w:lang w:val="el-GR"/>
        </w:rPr>
        <w:t>71</w:t>
      </w:r>
      <w:r w:rsidRPr="00AE3D6A">
        <w:rPr>
          <w:rFonts w:ascii="Verdana" w:eastAsia="Malgun Gothic" w:hAnsi="Verdana" w:cs="Arial"/>
          <w:sz w:val="18"/>
          <w:szCs w:val="18"/>
          <w:lang w:val="el-GR"/>
        </w:rPr>
        <w:t>,</w:t>
      </w:r>
      <w:r w:rsidR="0052523A" w:rsidRPr="0052523A">
        <w:rPr>
          <w:rFonts w:ascii="Verdana" w:eastAsia="Malgun Gothic" w:hAnsi="Verdana" w:cs="Arial"/>
          <w:sz w:val="18"/>
          <w:szCs w:val="18"/>
          <w:lang w:val="el-GR"/>
        </w:rPr>
        <w:t>6</w:t>
      </w:r>
      <w:r w:rsidRPr="00AE3D6A">
        <w:rPr>
          <w:rFonts w:ascii="Verdana" w:eastAsia="Malgun Gothic" w:hAnsi="Verdana" w:cs="Arial"/>
          <w:sz w:val="18"/>
          <w:szCs w:val="18"/>
          <w:lang w:val="el-GR"/>
        </w:rPr>
        <w:t xml:space="preserve">% των τουριστών οι διακοπές, για </w:t>
      </w:r>
      <w:r w:rsidR="0052523A" w:rsidRPr="0052523A">
        <w:rPr>
          <w:rFonts w:ascii="Verdana" w:eastAsia="Times New Roman" w:hAnsi="Verdana" w:cs="Arial"/>
          <w:sz w:val="18"/>
          <w:szCs w:val="18"/>
          <w:lang w:val="el-GR"/>
        </w:rPr>
        <w:t>14</w:t>
      </w:r>
      <w:r w:rsidR="0073051C" w:rsidRPr="00AE3D6A">
        <w:rPr>
          <w:rFonts w:ascii="Verdana" w:eastAsia="Times New Roman" w:hAnsi="Verdana" w:cs="Arial"/>
          <w:sz w:val="18"/>
          <w:szCs w:val="18"/>
          <w:lang w:val="el-GR"/>
        </w:rPr>
        <w:t>,</w:t>
      </w:r>
      <w:r w:rsidR="0052523A" w:rsidRPr="0052523A">
        <w:rPr>
          <w:rFonts w:ascii="Verdana" w:eastAsia="Times New Roman" w:hAnsi="Verdana" w:cs="Arial"/>
          <w:sz w:val="18"/>
          <w:szCs w:val="18"/>
          <w:lang w:val="el-GR"/>
        </w:rPr>
        <w:t>9</w:t>
      </w:r>
      <w:r w:rsidRPr="00AE3D6A">
        <w:rPr>
          <w:rFonts w:ascii="Verdana" w:eastAsia="Malgun Gothic" w:hAnsi="Verdana" w:cs="Arial"/>
          <w:sz w:val="18"/>
          <w:szCs w:val="18"/>
          <w:lang w:val="el-GR"/>
        </w:rPr>
        <w:t xml:space="preserve">% η επίσκεψη σε φίλους ή συγγενείς και για ποσοστό </w:t>
      </w:r>
      <w:r w:rsidR="00AE3D6A" w:rsidRPr="00AE3D6A">
        <w:rPr>
          <w:rFonts w:ascii="Verdana" w:eastAsia="Malgun Gothic" w:hAnsi="Verdana" w:cs="Arial"/>
          <w:sz w:val="18"/>
          <w:szCs w:val="18"/>
          <w:lang w:val="el-GR"/>
        </w:rPr>
        <w:t>13</w:t>
      </w:r>
      <w:r w:rsidRPr="00AE3D6A">
        <w:rPr>
          <w:rFonts w:ascii="Verdana" w:eastAsia="Malgun Gothic" w:hAnsi="Verdana" w:cs="Arial"/>
          <w:sz w:val="18"/>
          <w:szCs w:val="18"/>
          <w:lang w:val="el-GR"/>
        </w:rPr>
        <w:t>,</w:t>
      </w:r>
      <w:r w:rsidR="0052523A" w:rsidRPr="0052523A">
        <w:rPr>
          <w:rFonts w:ascii="Verdana" w:eastAsia="Malgun Gothic" w:hAnsi="Verdana" w:cs="Arial"/>
          <w:sz w:val="18"/>
          <w:szCs w:val="18"/>
          <w:lang w:val="el-GR"/>
        </w:rPr>
        <w:t>3</w:t>
      </w:r>
      <w:r w:rsidRPr="00AE3D6A">
        <w:rPr>
          <w:rFonts w:ascii="Verdana" w:eastAsia="Malgun Gothic" w:hAnsi="Verdana" w:cs="Arial"/>
          <w:sz w:val="18"/>
          <w:szCs w:val="18"/>
          <w:lang w:val="el-GR"/>
        </w:rPr>
        <w:t xml:space="preserve">% επαγγελματικός. Αντίστοιχα, για τον </w:t>
      </w:r>
      <w:r w:rsidR="00535CAB">
        <w:rPr>
          <w:rFonts w:ascii="Verdana" w:eastAsia="Malgun Gothic" w:hAnsi="Verdana" w:cs="Arial"/>
          <w:sz w:val="18"/>
          <w:szCs w:val="18"/>
          <w:lang w:val="el-GR"/>
        </w:rPr>
        <w:t>Μάρτιο</w:t>
      </w:r>
      <w:r w:rsidRPr="00AE3D6A">
        <w:rPr>
          <w:rFonts w:ascii="Verdana" w:eastAsia="Malgun Gothic" w:hAnsi="Verdana" w:cs="Arial"/>
          <w:sz w:val="18"/>
          <w:szCs w:val="18"/>
          <w:lang w:val="el-GR"/>
        </w:rPr>
        <w:t xml:space="preserve"> 202</w:t>
      </w:r>
      <w:r w:rsidR="00AE3D6A" w:rsidRPr="00AE3D6A">
        <w:rPr>
          <w:rFonts w:ascii="Verdana" w:eastAsia="Malgun Gothic" w:hAnsi="Verdana" w:cs="Arial"/>
          <w:sz w:val="18"/>
          <w:szCs w:val="18"/>
          <w:lang w:val="el-GR"/>
        </w:rPr>
        <w:t>2</w:t>
      </w:r>
      <w:r w:rsidRPr="00AE3D6A">
        <w:rPr>
          <w:rFonts w:ascii="Verdana" w:eastAsia="Malgun Gothic" w:hAnsi="Verdana" w:cs="Arial"/>
          <w:sz w:val="18"/>
          <w:szCs w:val="18"/>
          <w:lang w:val="el-GR"/>
        </w:rPr>
        <w:t xml:space="preserve">, ποσοστό </w:t>
      </w:r>
      <w:r w:rsidR="0052523A" w:rsidRPr="0052523A">
        <w:rPr>
          <w:rFonts w:ascii="Verdana" w:eastAsia="Times New Roman" w:hAnsi="Verdana" w:cs="Arial"/>
          <w:sz w:val="18"/>
          <w:szCs w:val="18"/>
          <w:lang w:val="el-GR"/>
        </w:rPr>
        <w:t>71</w:t>
      </w:r>
      <w:r w:rsidRPr="00AE3D6A">
        <w:rPr>
          <w:rFonts w:ascii="Verdana" w:eastAsia="Times New Roman" w:hAnsi="Verdana" w:cs="Arial"/>
          <w:sz w:val="18"/>
          <w:szCs w:val="18"/>
          <w:lang w:val="el-GR"/>
        </w:rPr>
        <w:t>,</w:t>
      </w:r>
      <w:r w:rsidR="0052523A" w:rsidRPr="0052523A">
        <w:rPr>
          <w:rFonts w:ascii="Verdana" w:eastAsia="Times New Roman" w:hAnsi="Verdana" w:cs="Arial"/>
          <w:sz w:val="18"/>
          <w:szCs w:val="18"/>
          <w:lang w:val="el-GR"/>
        </w:rPr>
        <w:t>9</w:t>
      </w:r>
      <w:r w:rsidRPr="00AE3D6A">
        <w:rPr>
          <w:rFonts w:ascii="Verdana" w:eastAsia="Malgun Gothic" w:hAnsi="Verdana" w:cs="Arial"/>
          <w:sz w:val="18"/>
          <w:szCs w:val="18"/>
          <w:lang w:val="el-GR"/>
        </w:rPr>
        <w:t xml:space="preserve">% επισκέφθηκε την Κύπρο για διακοπές, </w:t>
      </w:r>
      <w:r w:rsidR="007E14E9" w:rsidRPr="007E14E9">
        <w:rPr>
          <w:rFonts w:ascii="Verdana" w:eastAsia="Malgun Gothic" w:hAnsi="Verdana" w:cs="Arial"/>
          <w:sz w:val="18"/>
          <w:szCs w:val="18"/>
          <w:lang w:val="el-GR"/>
        </w:rPr>
        <w:t>16</w:t>
      </w:r>
      <w:r w:rsidRPr="00AE3D6A">
        <w:rPr>
          <w:rFonts w:ascii="Verdana" w:eastAsia="Malgun Gothic" w:hAnsi="Verdana" w:cs="Arial"/>
          <w:sz w:val="18"/>
          <w:szCs w:val="18"/>
          <w:lang w:val="el-GR"/>
        </w:rPr>
        <w:t>,</w:t>
      </w:r>
      <w:r w:rsidR="007E14E9" w:rsidRPr="007E14E9">
        <w:rPr>
          <w:rFonts w:ascii="Verdana" w:eastAsia="Malgun Gothic" w:hAnsi="Verdana" w:cs="Arial"/>
          <w:sz w:val="18"/>
          <w:szCs w:val="18"/>
          <w:lang w:val="el-GR"/>
        </w:rPr>
        <w:t>3</w:t>
      </w:r>
      <w:r w:rsidRPr="00AE3D6A">
        <w:rPr>
          <w:rFonts w:ascii="Verdana" w:eastAsia="Malgun Gothic" w:hAnsi="Verdana" w:cs="Arial"/>
          <w:sz w:val="18"/>
          <w:szCs w:val="18"/>
          <w:lang w:val="el-GR"/>
        </w:rPr>
        <w:t xml:space="preserve">% για επίσκεψη σε φίλους ή συγγενείς και </w:t>
      </w:r>
      <w:r w:rsidR="007E14E9" w:rsidRPr="007E14E9">
        <w:rPr>
          <w:rFonts w:ascii="Verdana" w:eastAsia="Malgun Gothic" w:hAnsi="Verdana" w:cs="Arial"/>
          <w:sz w:val="18"/>
          <w:szCs w:val="18"/>
          <w:lang w:val="el-GR"/>
        </w:rPr>
        <w:t>11</w:t>
      </w:r>
      <w:r w:rsidRPr="00AE3D6A">
        <w:rPr>
          <w:rFonts w:ascii="Verdana" w:eastAsia="Malgun Gothic" w:hAnsi="Verdana" w:cs="Arial"/>
          <w:sz w:val="18"/>
          <w:szCs w:val="18"/>
          <w:lang w:val="el-GR"/>
        </w:rPr>
        <w:t>,</w:t>
      </w:r>
      <w:r w:rsidR="007E14E9" w:rsidRPr="008F6024">
        <w:rPr>
          <w:rFonts w:ascii="Verdana" w:eastAsia="Malgun Gothic" w:hAnsi="Verdana" w:cs="Arial"/>
          <w:sz w:val="18"/>
          <w:szCs w:val="18"/>
          <w:lang w:val="el-GR"/>
        </w:rPr>
        <w:t>8</w:t>
      </w:r>
      <w:r w:rsidRPr="00AE3D6A">
        <w:rPr>
          <w:rFonts w:ascii="Verdana" w:eastAsia="Malgun Gothic" w:hAnsi="Verdana" w:cs="Arial"/>
          <w:sz w:val="18"/>
          <w:szCs w:val="18"/>
          <w:lang w:val="el-GR"/>
        </w:rPr>
        <w:t>% για επαγγελματικούς λόγους</w:t>
      </w:r>
      <w:r w:rsidR="00B155F1">
        <w:rPr>
          <w:rFonts w:ascii="Verdana" w:eastAsia="Malgun Gothic" w:hAnsi="Verdana" w:cs="Arial"/>
          <w:sz w:val="18"/>
          <w:szCs w:val="18"/>
          <w:lang w:val="el-GR"/>
        </w:rPr>
        <w:t xml:space="preserve"> </w:t>
      </w:r>
      <w:r w:rsidR="00B155F1" w:rsidRPr="00995B96">
        <w:rPr>
          <w:rFonts w:ascii="Verdana" w:eastAsia="Malgun Gothic" w:hAnsi="Verdana" w:cs="Arial"/>
          <w:sz w:val="18"/>
          <w:szCs w:val="18"/>
          <w:lang w:val="el-GR"/>
        </w:rPr>
        <w:t>(Πίνακας 1)</w:t>
      </w:r>
      <w:r w:rsidRPr="00995B96">
        <w:rPr>
          <w:rFonts w:ascii="Verdana" w:eastAsia="Malgun Gothic" w:hAnsi="Verdana" w:cs="Arial"/>
          <w:sz w:val="18"/>
          <w:szCs w:val="18"/>
          <w:lang w:val="el-GR"/>
        </w:rPr>
        <w:t>.</w:t>
      </w:r>
      <w:r>
        <w:rPr>
          <w:rFonts w:ascii="Verdana" w:eastAsia="Malgun Gothic" w:hAnsi="Verdana" w:cs="Arial"/>
          <w:sz w:val="18"/>
          <w:szCs w:val="18"/>
          <w:lang w:val="el-GR"/>
        </w:rPr>
        <w:t xml:space="preserve"> </w:t>
      </w:r>
    </w:p>
    <w:p w14:paraId="192ED93C" w14:textId="66DF3F7F" w:rsidR="00223E27" w:rsidRDefault="00223E27" w:rsidP="00223E27">
      <w:pPr>
        <w:tabs>
          <w:tab w:val="left" w:pos="1080"/>
          <w:tab w:val="left" w:pos="6840"/>
        </w:tabs>
        <w:jc w:val="both"/>
        <w:rPr>
          <w:rFonts w:ascii="Verdana" w:eastAsia="Malgun Gothic" w:hAnsi="Verdana" w:cs="Arial"/>
          <w:sz w:val="18"/>
          <w:szCs w:val="18"/>
          <w:lang w:val="el-GR"/>
        </w:rPr>
      </w:pPr>
    </w:p>
    <w:p w14:paraId="1D93DD41" w14:textId="1A96E62F" w:rsidR="005C5C74" w:rsidRDefault="005C5C74" w:rsidP="00223E27">
      <w:pPr>
        <w:tabs>
          <w:tab w:val="left" w:pos="1080"/>
          <w:tab w:val="left" w:pos="6840"/>
        </w:tabs>
        <w:jc w:val="both"/>
        <w:rPr>
          <w:rFonts w:ascii="Verdana" w:eastAsia="Malgun Gothic" w:hAnsi="Verdana" w:cs="Arial"/>
          <w:sz w:val="18"/>
          <w:szCs w:val="18"/>
          <w:lang w:val="el-GR"/>
        </w:rPr>
      </w:pPr>
    </w:p>
    <w:tbl>
      <w:tblPr>
        <w:tblW w:w="5000" w:type="pct"/>
        <w:jc w:val="center"/>
        <w:tblBorders>
          <w:bottom w:val="single" w:sz="4" w:space="0" w:color="2F5496" w:themeColor="accent1" w:themeShade="BF"/>
        </w:tblBorders>
        <w:tblLayout w:type="fixed"/>
        <w:tblLook w:val="04A0" w:firstRow="1" w:lastRow="0" w:firstColumn="1" w:lastColumn="0" w:noHBand="0" w:noVBand="1"/>
      </w:tblPr>
      <w:tblGrid>
        <w:gridCol w:w="4357"/>
        <w:gridCol w:w="362"/>
        <w:gridCol w:w="1417"/>
        <w:gridCol w:w="1655"/>
        <w:gridCol w:w="1797"/>
      </w:tblGrid>
      <w:tr w:rsidR="005C5C74" w:rsidRPr="00AE3D6A" w14:paraId="737196B3" w14:textId="77777777" w:rsidTr="00BF35E0">
        <w:trPr>
          <w:trHeight w:val="389"/>
          <w:jc w:val="center"/>
        </w:trPr>
        <w:tc>
          <w:tcPr>
            <w:tcW w:w="5000" w:type="pct"/>
            <w:gridSpan w:val="5"/>
            <w:tcBorders>
              <w:bottom w:val="single" w:sz="4" w:space="0" w:color="2F5496" w:themeColor="accent1" w:themeShade="BF"/>
            </w:tcBorders>
            <w:shd w:val="clear" w:color="FFFFFF" w:fill="FFFFFF"/>
            <w:vAlign w:val="center"/>
            <w:hideMark/>
          </w:tcPr>
          <w:p w14:paraId="41299623" w14:textId="77777777" w:rsidR="005C5C74" w:rsidRPr="00AE3D6A" w:rsidRDefault="005C5C74" w:rsidP="00BF35E0">
            <w:pPr>
              <w:rPr>
                <w:rFonts w:ascii="Verdana" w:eastAsia="Times New Roman" w:hAnsi="Verdana" w:cs="Arial"/>
                <w:b/>
                <w:bCs/>
                <w:color w:val="365F91"/>
                <w:sz w:val="18"/>
                <w:szCs w:val="18"/>
                <w:lang w:val="el-GR"/>
              </w:rPr>
            </w:pPr>
            <w:bookmarkStart w:id="0" w:name="_Hlk108615858"/>
            <w:r w:rsidRPr="00AE3D6A">
              <w:rPr>
                <w:rFonts w:ascii="Verdana" w:eastAsia="Times New Roman" w:hAnsi="Verdana" w:cs="Arial"/>
                <w:b/>
                <w:bCs/>
                <w:color w:val="365F91"/>
                <w:sz w:val="18"/>
                <w:szCs w:val="18"/>
                <w:lang w:val="el-GR"/>
              </w:rPr>
              <w:t>Πίνακας 1</w:t>
            </w:r>
          </w:p>
        </w:tc>
      </w:tr>
      <w:tr w:rsidR="005C5C74" w:rsidRPr="00AE3D6A" w14:paraId="1AA6BCC8" w14:textId="77777777" w:rsidTr="00BF35E0">
        <w:trPr>
          <w:trHeight w:val="278"/>
          <w:jc w:val="center"/>
        </w:trPr>
        <w:tc>
          <w:tcPr>
            <w:tcW w:w="2461" w:type="pct"/>
            <w:gridSpan w:val="2"/>
            <w:vMerge w:val="restart"/>
            <w:tcBorders>
              <w:top w:val="single" w:sz="4" w:space="0" w:color="2F5496" w:themeColor="accent1" w:themeShade="BF"/>
              <w:bottom w:val="single" w:sz="4" w:space="0" w:color="2F5496" w:themeColor="accent1" w:themeShade="BF"/>
            </w:tcBorders>
            <w:vAlign w:val="center"/>
            <w:hideMark/>
          </w:tcPr>
          <w:p w14:paraId="67AF56FF" w14:textId="77777777" w:rsidR="005C5C74" w:rsidRPr="00AE3D6A" w:rsidRDefault="005C5C74" w:rsidP="00BF35E0">
            <w:pPr>
              <w:rPr>
                <w:rFonts w:ascii="Verdana" w:eastAsia="Times New Roman" w:hAnsi="Verdana" w:cs="Arial"/>
                <w:b/>
                <w:bCs/>
                <w:color w:val="365F91"/>
                <w:sz w:val="18"/>
                <w:szCs w:val="18"/>
                <w:lang w:val="el-GR"/>
              </w:rPr>
            </w:pPr>
            <w:r w:rsidRPr="00AE3D6A">
              <w:rPr>
                <w:rFonts w:ascii="Verdana" w:eastAsia="Times New Roman" w:hAnsi="Verdana" w:cs="Arial"/>
                <w:b/>
                <w:bCs/>
                <w:color w:val="365F91"/>
                <w:sz w:val="18"/>
                <w:szCs w:val="18"/>
                <w:lang w:val="el-GR"/>
              </w:rPr>
              <w:t>Σκοπός ταξιδιού</w:t>
            </w:r>
          </w:p>
        </w:tc>
        <w:tc>
          <w:tcPr>
            <w:tcW w:w="2539" w:type="pct"/>
            <w:gridSpan w:val="3"/>
            <w:tcBorders>
              <w:top w:val="single" w:sz="4" w:space="0" w:color="2F5496" w:themeColor="accent1" w:themeShade="BF"/>
              <w:bottom w:val="single" w:sz="4" w:space="0" w:color="2F5496" w:themeColor="accent1" w:themeShade="BF"/>
            </w:tcBorders>
            <w:vAlign w:val="center"/>
            <w:hideMark/>
          </w:tcPr>
          <w:p w14:paraId="4CA96C26" w14:textId="77777777" w:rsidR="005C5C74" w:rsidRPr="00AE3D6A" w:rsidRDefault="005C5C74" w:rsidP="00BF35E0">
            <w:pPr>
              <w:jc w:val="center"/>
              <w:rPr>
                <w:rFonts w:ascii="Verdana" w:eastAsia="Times New Roman" w:hAnsi="Verdana" w:cs="Arial"/>
                <w:b/>
                <w:bCs/>
                <w:color w:val="365F91"/>
                <w:sz w:val="18"/>
                <w:szCs w:val="18"/>
                <w:lang w:val="el-GR"/>
              </w:rPr>
            </w:pPr>
            <w:r w:rsidRPr="00AE3D6A">
              <w:rPr>
                <w:rFonts w:ascii="Verdana" w:eastAsia="Times New Roman" w:hAnsi="Verdana" w:cs="Arial"/>
                <w:b/>
                <w:bCs/>
                <w:color w:val="366092"/>
                <w:sz w:val="18"/>
                <w:szCs w:val="18"/>
                <w:lang w:val="el-GR"/>
              </w:rPr>
              <w:t>Ποσοστό (%)</w:t>
            </w:r>
          </w:p>
        </w:tc>
      </w:tr>
      <w:tr w:rsidR="00477DA8" w:rsidRPr="00AE3D6A" w14:paraId="199A0F54" w14:textId="77777777" w:rsidTr="00BF35E0">
        <w:trPr>
          <w:trHeight w:val="615"/>
          <w:jc w:val="center"/>
        </w:trPr>
        <w:tc>
          <w:tcPr>
            <w:tcW w:w="2461" w:type="pct"/>
            <w:gridSpan w:val="2"/>
            <w:vMerge/>
            <w:tcBorders>
              <w:bottom w:val="single" w:sz="4" w:space="0" w:color="2F5496" w:themeColor="accent1" w:themeShade="BF"/>
            </w:tcBorders>
            <w:vAlign w:val="center"/>
            <w:hideMark/>
          </w:tcPr>
          <w:p w14:paraId="09A5095E" w14:textId="77777777" w:rsidR="00477DA8" w:rsidRPr="00AE3D6A" w:rsidRDefault="00477DA8" w:rsidP="00477DA8">
            <w:pPr>
              <w:rPr>
                <w:rFonts w:ascii="Verdana" w:eastAsia="Times New Roman" w:hAnsi="Verdana" w:cs="Arial"/>
                <w:b/>
                <w:bCs/>
                <w:color w:val="365F91"/>
                <w:sz w:val="18"/>
                <w:szCs w:val="18"/>
                <w:lang w:val="el-GR"/>
              </w:rPr>
            </w:pPr>
          </w:p>
        </w:tc>
        <w:tc>
          <w:tcPr>
            <w:tcW w:w="739" w:type="pct"/>
            <w:tcBorders>
              <w:bottom w:val="single" w:sz="4" w:space="0" w:color="2F5496" w:themeColor="accent1" w:themeShade="BF"/>
            </w:tcBorders>
            <w:vAlign w:val="center"/>
            <w:hideMark/>
          </w:tcPr>
          <w:p w14:paraId="1B652448" w14:textId="60660CFE" w:rsidR="00477DA8" w:rsidRPr="00AE3D6A" w:rsidRDefault="00477DA8" w:rsidP="00477DA8">
            <w:pPr>
              <w:jc w:val="center"/>
              <w:rPr>
                <w:rFonts w:ascii="Verdana" w:eastAsia="Times New Roman" w:hAnsi="Verdana" w:cs="Arial"/>
                <w:b/>
                <w:bCs/>
                <w:color w:val="365F91"/>
                <w:sz w:val="18"/>
                <w:szCs w:val="18"/>
                <w:lang w:val="el-GR"/>
              </w:rPr>
            </w:pPr>
            <w:r w:rsidRPr="002B2DE0">
              <w:rPr>
                <w:rFonts w:ascii="Verdana" w:eastAsia="Times New Roman" w:hAnsi="Verdana" w:cs="Arial"/>
                <w:b/>
                <w:bCs/>
                <w:color w:val="366092"/>
                <w:sz w:val="18"/>
                <w:szCs w:val="18"/>
                <w:lang w:val="el-GR"/>
              </w:rPr>
              <w:t>Μαρ.</w:t>
            </w:r>
            <w:r>
              <w:rPr>
                <w:rFonts w:ascii="Verdana" w:eastAsia="Times New Roman" w:hAnsi="Verdana" w:cs="Arial"/>
                <w:b/>
                <w:bCs/>
                <w:color w:val="365F91"/>
                <w:sz w:val="18"/>
                <w:szCs w:val="18"/>
                <w:lang w:val="el-GR"/>
              </w:rPr>
              <w:t xml:space="preserve"> 21</w:t>
            </w:r>
          </w:p>
        </w:tc>
        <w:tc>
          <w:tcPr>
            <w:tcW w:w="863" w:type="pct"/>
            <w:tcBorders>
              <w:bottom w:val="single" w:sz="4" w:space="0" w:color="2F5496" w:themeColor="accent1" w:themeShade="BF"/>
            </w:tcBorders>
            <w:shd w:val="clear" w:color="FFFFFF" w:fill="FFFFFF"/>
            <w:vAlign w:val="center"/>
            <w:hideMark/>
          </w:tcPr>
          <w:p w14:paraId="122D9C6D" w14:textId="091BF79F" w:rsidR="00477DA8" w:rsidRPr="00AE3D6A" w:rsidRDefault="00477DA8" w:rsidP="00477DA8">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 xml:space="preserve">Μαρ. </w:t>
            </w:r>
            <w:r>
              <w:rPr>
                <w:rFonts w:ascii="Verdana" w:eastAsia="Times New Roman" w:hAnsi="Verdana" w:cs="Arial"/>
                <w:b/>
                <w:bCs/>
                <w:color w:val="365F91"/>
                <w:sz w:val="18"/>
                <w:szCs w:val="18"/>
                <w:lang w:val="el-GR"/>
              </w:rPr>
              <w:t>2</w:t>
            </w:r>
            <w:r>
              <w:rPr>
                <w:rFonts w:ascii="Verdana" w:eastAsia="Times New Roman" w:hAnsi="Verdana" w:cs="Arial"/>
                <w:b/>
                <w:bCs/>
                <w:color w:val="365F91"/>
                <w:sz w:val="18"/>
                <w:szCs w:val="18"/>
              </w:rPr>
              <w:t>2</w:t>
            </w:r>
          </w:p>
        </w:tc>
        <w:tc>
          <w:tcPr>
            <w:tcW w:w="937" w:type="pct"/>
            <w:tcBorders>
              <w:bottom w:val="single" w:sz="4" w:space="0" w:color="2F5496" w:themeColor="accent1" w:themeShade="BF"/>
            </w:tcBorders>
            <w:shd w:val="clear" w:color="FFFFFF" w:fill="FFFFFF"/>
            <w:vAlign w:val="center"/>
          </w:tcPr>
          <w:p w14:paraId="7AD6B2E6" w14:textId="38D4385C" w:rsidR="00477DA8" w:rsidRPr="00AE3D6A" w:rsidRDefault="00477DA8" w:rsidP="00477DA8">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Μαρ</w:t>
            </w:r>
            <w:r w:rsidRPr="00AE3D6A">
              <w:rPr>
                <w:rFonts w:ascii="Verdana" w:eastAsia="Times New Roman" w:hAnsi="Verdana" w:cs="Arial"/>
                <w:b/>
                <w:bCs/>
                <w:color w:val="366092"/>
                <w:sz w:val="18"/>
                <w:szCs w:val="18"/>
                <w:lang w:val="el-GR"/>
              </w:rPr>
              <w:t xml:space="preserve">. </w:t>
            </w:r>
            <w:r w:rsidRPr="00AE3D6A">
              <w:rPr>
                <w:rFonts w:ascii="Verdana" w:eastAsia="Times New Roman" w:hAnsi="Verdana" w:cs="Arial"/>
                <w:b/>
                <w:bCs/>
                <w:color w:val="365F91"/>
                <w:sz w:val="18"/>
                <w:szCs w:val="18"/>
                <w:lang w:val="el-GR"/>
              </w:rPr>
              <w:t>23</w:t>
            </w:r>
          </w:p>
        </w:tc>
      </w:tr>
      <w:tr w:rsidR="00477DA8" w:rsidRPr="00AE3D6A" w14:paraId="6A103A23" w14:textId="77777777" w:rsidTr="00BF35E0">
        <w:trPr>
          <w:trHeight w:val="375"/>
          <w:jc w:val="center"/>
        </w:trPr>
        <w:tc>
          <w:tcPr>
            <w:tcW w:w="2272" w:type="pct"/>
            <w:shd w:val="clear" w:color="FFFFFF" w:fill="FFFFFF"/>
            <w:vAlign w:val="center"/>
            <w:hideMark/>
          </w:tcPr>
          <w:p w14:paraId="464AC10A" w14:textId="77777777" w:rsidR="00477DA8" w:rsidRPr="00AE3D6A" w:rsidRDefault="00477DA8" w:rsidP="00477DA8">
            <w:pPr>
              <w:ind w:left="162"/>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Διακοπές</w:t>
            </w:r>
          </w:p>
        </w:tc>
        <w:tc>
          <w:tcPr>
            <w:tcW w:w="928" w:type="pct"/>
            <w:gridSpan w:val="2"/>
            <w:shd w:val="clear" w:color="FFFFFF" w:fill="FFFFFF"/>
            <w:vAlign w:val="center"/>
          </w:tcPr>
          <w:p w14:paraId="3CDC66F6" w14:textId="4D6727D2" w:rsidR="00477DA8" w:rsidRPr="00AE3D6A" w:rsidRDefault="00477DA8" w:rsidP="00477DA8">
            <w:pPr>
              <w:ind w:right="431" w:firstLineChars="100" w:firstLine="180"/>
              <w:jc w:val="right"/>
              <w:rPr>
                <w:rFonts w:ascii="Verdana" w:hAnsi="Verdana" w:cs="Calibri"/>
                <w:color w:val="365F91"/>
                <w:sz w:val="18"/>
                <w:szCs w:val="18"/>
              </w:rPr>
            </w:pPr>
            <w:r w:rsidRPr="00685C3E">
              <w:rPr>
                <w:rFonts w:ascii="Verdana" w:eastAsia="Times New Roman" w:hAnsi="Verdana" w:cs="Arial"/>
                <w:color w:val="365F91"/>
                <w:sz w:val="18"/>
                <w:szCs w:val="18"/>
                <w:lang w:val="el-GR"/>
              </w:rPr>
              <w:t>25,2</w:t>
            </w:r>
          </w:p>
        </w:tc>
        <w:tc>
          <w:tcPr>
            <w:tcW w:w="863" w:type="pct"/>
            <w:shd w:val="clear" w:color="FFFFFF" w:fill="FFFFFF"/>
            <w:noWrap/>
            <w:vAlign w:val="center"/>
          </w:tcPr>
          <w:p w14:paraId="6E66CC66" w14:textId="160BE20F" w:rsidR="00477DA8" w:rsidRPr="00AE3D6A" w:rsidRDefault="00477DA8" w:rsidP="00477DA8">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71,9</w:t>
            </w:r>
          </w:p>
        </w:tc>
        <w:tc>
          <w:tcPr>
            <w:tcW w:w="937" w:type="pct"/>
            <w:shd w:val="clear" w:color="000000" w:fill="FFFFFF"/>
            <w:vAlign w:val="center"/>
          </w:tcPr>
          <w:p w14:paraId="78BC4782" w14:textId="39C139FB" w:rsidR="00477DA8" w:rsidRPr="00477DA8" w:rsidRDefault="00477DA8" w:rsidP="00477DA8">
            <w:pPr>
              <w:ind w:right="510" w:firstLineChars="100" w:firstLine="180"/>
              <w:jc w:val="right"/>
              <w:rPr>
                <w:rFonts w:ascii="Verdana" w:hAnsi="Verdana" w:cs="Calibri"/>
                <w:color w:val="365F91"/>
                <w:sz w:val="18"/>
                <w:szCs w:val="18"/>
              </w:rPr>
            </w:pPr>
            <w:r>
              <w:rPr>
                <w:rFonts w:ascii="Verdana" w:hAnsi="Verdana" w:cs="Calibri"/>
                <w:color w:val="365F91"/>
                <w:sz w:val="18"/>
                <w:szCs w:val="18"/>
              </w:rPr>
              <w:t>71</w:t>
            </w:r>
            <w:r w:rsidR="0052523A">
              <w:rPr>
                <w:rFonts w:ascii="Verdana" w:hAnsi="Verdana" w:cs="Calibri"/>
                <w:color w:val="365F91"/>
                <w:sz w:val="18"/>
                <w:szCs w:val="18"/>
              </w:rPr>
              <w:t>,</w:t>
            </w:r>
            <w:r>
              <w:rPr>
                <w:rFonts w:ascii="Verdana" w:hAnsi="Verdana" w:cs="Calibri"/>
                <w:color w:val="365F91"/>
                <w:sz w:val="18"/>
                <w:szCs w:val="18"/>
              </w:rPr>
              <w:t>6</w:t>
            </w:r>
          </w:p>
        </w:tc>
      </w:tr>
      <w:tr w:rsidR="00477DA8" w:rsidRPr="00AE3D6A" w14:paraId="7407EB8D" w14:textId="77777777" w:rsidTr="00BF35E0">
        <w:trPr>
          <w:trHeight w:val="375"/>
          <w:jc w:val="center"/>
        </w:trPr>
        <w:tc>
          <w:tcPr>
            <w:tcW w:w="2272" w:type="pct"/>
            <w:shd w:val="clear" w:color="FFFFFF" w:fill="FFFFFF"/>
            <w:noWrap/>
            <w:vAlign w:val="center"/>
            <w:hideMark/>
          </w:tcPr>
          <w:p w14:paraId="0B9350EC" w14:textId="77777777" w:rsidR="00477DA8" w:rsidRPr="00AE3D6A" w:rsidRDefault="00477DA8" w:rsidP="00477DA8">
            <w:pPr>
              <w:ind w:left="162"/>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Επίσκεψη σε συγγενείς &amp; φίλους</w:t>
            </w:r>
          </w:p>
        </w:tc>
        <w:tc>
          <w:tcPr>
            <w:tcW w:w="928" w:type="pct"/>
            <w:gridSpan w:val="2"/>
            <w:shd w:val="clear" w:color="FFFFFF" w:fill="FFFFFF"/>
            <w:noWrap/>
            <w:vAlign w:val="center"/>
          </w:tcPr>
          <w:p w14:paraId="2D94190B" w14:textId="5BC125DF" w:rsidR="00477DA8" w:rsidRPr="00AE3D6A" w:rsidRDefault="00477DA8" w:rsidP="00477DA8">
            <w:pPr>
              <w:ind w:right="431" w:firstLineChars="100" w:firstLine="180"/>
              <w:jc w:val="right"/>
              <w:rPr>
                <w:rFonts w:ascii="Verdana" w:hAnsi="Verdana" w:cs="Calibri"/>
                <w:color w:val="365F91"/>
                <w:sz w:val="18"/>
                <w:szCs w:val="18"/>
              </w:rPr>
            </w:pPr>
            <w:r w:rsidRPr="00685C3E">
              <w:rPr>
                <w:rFonts w:ascii="Verdana" w:eastAsia="Times New Roman" w:hAnsi="Verdana" w:cs="Arial"/>
                <w:color w:val="365F91"/>
                <w:sz w:val="18"/>
                <w:szCs w:val="18"/>
              </w:rPr>
              <w:t>35,2</w:t>
            </w:r>
          </w:p>
        </w:tc>
        <w:tc>
          <w:tcPr>
            <w:tcW w:w="863" w:type="pct"/>
            <w:shd w:val="clear" w:color="FFFFFF" w:fill="FFFFFF"/>
            <w:noWrap/>
            <w:vAlign w:val="center"/>
          </w:tcPr>
          <w:p w14:paraId="25919463" w14:textId="17A676E3" w:rsidR="00477DA8" w:rsidRPr="00AE3D6A" w:rsidRDefault="00477DA8" w:rsidP="00477DA8">
            <w:pPr>
              <w:ind w:right="431" w:firstLineChars="100" w:firstLine="180"/>
              <w:jc w:val="right"/>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16,3</w:t>
            </w:r>
          </w:p>
        </w:tc>
        <w:tc>
          <w:tcPr>
            <w:tcW w:w="937" w:type="pct"/>
            <w:shd w:val="clear" w:color="000000" w:fill="FFFFFF"/>
            <w:vAlign w:val="center"/>
          </w:tcPr>
          <w:p w14:paraId="5CF66830" w14:textId="7EE8A29A" w:rsidR="00477DA8" w:rsidRPr="00477DA8" w:rsidRDefault="00477DA8" w:rsidP="00477DA8">
            <w:pPr>
              <w:ind w:right="510" w:firstLineChars="100" w:firstLine="180"/>
              <w:jc w:val="right"/>
              <w:rPr>
                <w:rFonts w:ascii="Verdana" w:hAnsi="Verdana" w:cs="Calibri"/>
                <w:color w:val="365F91"/>
                <w:sz w:val="18"/>
                <w:szCs w:val="18"/>
              </w:rPr>
            </w:pPr>
            <w:r>
              <w:rPr>
                <w:rFonts w:ascii="Verdana" w:hAnsi="Verdana" w:cs="Calibri"/>
                <w:color w:val="365F91"/>
                <w:sz w:val="18"/>
                <w:szCs w:val="18"/>
              </w:rPr>
              <w:t>14,9</w:t>
            </w:r>
          </w:p>
        </w:tc>
      </w:tr>
      <w:tr w:rsidR="00477DA8" w:rsidRPr="00693ACA" w14:paraId="3F5069B8" w14:textId="77777777" w:rsidTr="00BF35E0">
        <w:trPr>
          <w:trHeight w:val="375"/>
          <w:jc w:val="center"/>
        </w:trPr>
        <w:tc>
          <w:tcPr>
            <w:tcW w:w="2272" w:type="pct"/>
            <w:tcBorders>
              <w:bottom w:val="single" w:sz="4" w:space="0" w:color="2F5496" w:themeColor="accent1" w:themeShade="BF"/>
            </w:tcBorders>
            <w:shd w:val="clear" w:color="FFFFFF" w:fill="FFFFFF"/>
            <w:vAlign w:val="center"/>
            <w:hideMark/>
          </w:tcPr>
          <w:p w14:paraId="6EE47290" w14:textId="77777777" w:rsidR="00477DA8" w:rsidRPr="00AE3D6A" w:rsidRDefault="00477DA8" w:rsidP="00477DA8">
            <w:pPr>
              <w:ind w:left="162"/>
              <w:rPr>
                <w:rFonts w:ascii="Verdana" w:eastAsia="Times New Roman" w:hAnsi="Verdana" w:cs="Arial"/>
                <w:color w:val="365F91"/>
                <w:sz w:val="18"/>
                <w:szCs w:val="18"/>
                <w:lang w:val="el-GR"/>
              </w:rPr>
            </w:pPr>
            <w:r w:rsidRPr="00AE3D6A">
              <w:rPr>
                <w:rFonts w:ascii="Verdana" w:eastAsia="Times New Roman" w:hAnsi="Verdana" w:cs="Arial"/>
                <w:color w:val="365F91"/>
                <w:sz w:val="18"/>
                <w:szCs w:val="18"/>
                <w:lang w:val="el-GR"/>
              </w:rPr>
              <w:t>Επαγγελματικός</w:t>
            </w:r>
          </w:p>
        </w:tc>
        <w:tc>
          <w:tcPr>
            <w:tcW w:w="928" w:type="pct"/>
            <w:gridSpan w:val="2"/>
            <w:tcBorders>
              <w:bottom w:val="single" w:sz="4" w:space="0" w:color="2F5496" w:themeColor="accent1" w:themeShade="BF"/>
            </w:tcBorders>
            <w:shd w:val="clear" w:color="FFFFFF" w:fill="FFFFFF"/>
            <w:vAlign w:val="center"/>
          </w:tcPr>
          <w:p w14:paraId="4D0BDF58" w14:textId="6C3803CE" w:rsidR="00477DA8" w:rsidRPr="00AE3D6A" w:rsidRDefault="00477DA8" w:rsidP="00477DA8">
            <w:pPr>
              <w:ind w:right="431" w:firstLineChars="100" w:firstLine="180"/>
              <w:jc w:val="right"/>
              <w:rPr>
                <w:rFonts w:ascii="Verdana" w:hAnsi="Verdana" w:cs="Calibri"/>
                <w:color w:val="365F91"/>
                <w:sz w:val="18"/>
                <w:szCs w:val="18"/>
              </w:rPr>
            </w:pPr>
            <w:r w:rsidRPr="00685C3E">
              <w:rPr>
                <w:rFonts w:ascii="Verdana" w:eastAsia="Times New Roman" w:hAnsi="Verdana" w:cs="Arial"/>
                <w:color w:val="365F91"/>
                <w:sz w:val="18"/>
                <w:szCs w:val="18"/>
              </w:rPr>
              <w:t>39,4</w:t>
            </w:r>
          </w:p>
        </w:tc>
        <w:tc>
          <w:tcPr>
            <w:tcW w:w="863" w:type="pct"/>
            <w:tcBorders>
              <w:bottom w:val="single" w:sz="4" w:space="0" w:color="2F5496" w:themeColor="accent1" w:themeShade="BF"/>
            </w:tcBorders>
            <w:shd w:val="clear" w:color="FFFFFF" w:fill="FFFFFF"/>
            <w:noWrap/>
            <w:vAlign w:val="center"/>
          </w:tcPr>
          <w:p w14:paraId="5B841580" w14:textId="0A6C84DA" w:rsidR="00477DA8" w:rsidRPr="00AE3D6A" w:rsidRDefault="00477DA8" w:rsidP="00477DA8">
            <w:pPr>
              <w:ind w:right="431" w:firstLineChars="100" w:firstLine="180"/>
              <w:jc w:val="right"/>
              <w:rPr>
                <w:rFonts w:ascii="Verdana" w:eastAsia="Times New Roman" w:hAnsi="Verdana" w:cs="Arial"/>
                <w:color w:val="365F91"/>
                <w:sz w:val="18"/>
                <w:szCs w:val="18"/>
              </w:rPr>
            </w:pPr>
            <w:r>
              <w:rPr>
                <w:rFonts w:ascii="Verdana" w:eastAsia="Times New Roman" w:hAnsi="Verdana" w:cs="Arial"/>
                <w:color w:val="365F91"/>
                <w:sz w:val="18"/>
                <w:szCs w:val="18"/>
                <w:lang w:val="el-GR"/>
              </w:rPr>
              <w:t>11,8</w:t>
            </w:r>
          </w:p>
        </w:tc>
        <w:tc>
          <w:tcPr>
            <w:tcW w:w="937" w:type="pct"/>
            <w:tcBorders>
              <w:bottom w:val="single" w:sz="4" w:space="0" w:color="2F5496" w:themeColor="accent1" w:themeShade="BF"/>
            </w:tcBorders>
            <w:shd w:val="clear" w:color="000000" w:fill="FFFFFF"/>
            <w:vAlign w:val="center"/>
          </w:tcPr>
          <w:p w14:paraId="7539A3DE" w14:textId="6DA3B16C" w:rsidR="00477DA8" w:rsidRPr="00477DA8" w:rsidRDefault="00477DA8" w:rsidP="00477DA8">
            <w:pPr>
              <w:ind w:right="510" w:firstLineChars="100" w:firstLine="180"/>
              <w:jc w:val="right"/>
              <w:rPr>
                <w:rFonts w:ascii="Verdana" w:hAnsi="Verdana" w:cs="Calibri"/>
                <w:color w:val="365F91"/>
                <w:sz w:val="18"/>
                <w:szCs w:val="18"/>
              </w:rPr>
            </w:pPr>
            <w:r>
              <w:rPr>
                <w:rFonts w:ascii="Verdana" w:hAnsi="Verdana" w:cs="Calibri"/>
                <w:color w:val="365F91"/>
                <w:sz w:val="18"/>
                <w:szCs w:val="18"/>
              </w:rPr>
              <w:t>13,3</w:t>
            </w:r>
          </w:p>
        </w:tc>
      </w:tr>
      <w:bookmarkEnd w:id="0"/>
    </w:tbl>
    <w:p w14:paraId="67E12BD9" w14:textId="3DB5DD3F" w:rsidR="00FB730F" w:rsidRDefault="00FB730F" w:rsidP="00223E27">
      <w:pPr>
        <w:tabs>
          <w:tab w:val="left" w:pos="1080"/>
          <w:tab w:val="left" w:pos="6840"/>
        </w:tabs>
        <w:jc w:val="both"/>
        <w:rPr>
          <w:rFonts w:ascii="Verdana" w:eastAsia="Malgun Gothic" w:hAnsi="Verdana" w:cs="Arial"/>
          <w:sz w:val="18"/>
          <w:szCs w:val="18"/>
          <w:lang w:val="el-GR"/>
        </w:rPr>
      </w:pPr>
    </w:p>
    <w:p w14:paraId="64CF13C2" w14:textId="7735E3CC" w:rsidR="00C43CB5" w:rsidRPr="00FB730F" w:rsidRDefault="00C43CB5" w:rsidP="00FB730F">
      <w:pPr>
        <w:tabs>
          <w:tab w:val="left" w:pos="1080"/>
          <w:tab w:val="left" w:pos="6840"/>
        </w:tabs>
        <w:jc w:val="both"/>
        <w:rPr>
          <w:rFonts w:ascii="Verdana" w:eastAsia="Malgun Gothic" w:hAnsi="Verdana" w:cs="Arial"/>
          <w:bCs/>
          <w:sz w:val="18"/>
          <w:szCs w:val="18"/>
          <w:lang w:val="el-GR"/>
        </w:rPr>
      </w:pPr>
    </w:p>
    <w:p w14:paraId="6970FFA5" w14:textId="583B8344" w:rsidR="00C43CB5" w:rsidRPr="00995B96" w:rsidRDefault="00B155F1" w:rsidP="00B155F1">
      <w:pPr>
        <w:rPr>
          <w:rFonts w:ascii="Verdana" w:eastAsia="Malgun Gothic" w:hAnsi="Verdana" w:cs="Arial"/>
          <w:b/>
          <w:bCs/>
          <w:sz w:val="18"/>
          <w:szCs w:val="18"/>
          <w:u w:val="single"/>
          <w:lang w:val="el-GR"/>
        </w:rPr>
      </w:pPr>
      <w:r w:rsidRPr="00995B96">
        <w:rPr>
          <w:rFonts w:ascii="Verdana" w:eastAsia="Malgun Gothic" w:hAnsi="Verdana" w:cs="Arial"/>
          <w:b/>
          <w:bCs/>
          <w:sz w:val="18"/>
          <w:szCs w:val="18"/>
          <w:u w:val="single"/>
          <w:lang w:val="el-GR"/>
        </w:rPr>
        <w:t>Επιστροφές Κατοίκων Κύπρου</w:t>
      </w:r>
    </w:p>
    <w:p w14:paraId="7E27A3DD" w14:textId="77777777" w:rsidR="00B155F1" w:rsidRPr="00995B96" w:rsidRDefault="00B155F1" w:rsidP="00B155F1">
      <w:pPr>
        <w:rPr>
          <w:rFonts w:ascii="Verdana" w:eastAsia="Malgun Gothic" w:hAnsi="Verdana" w:cs="Arial"/>
          <w:b/>
          <w:bCs/>
          <w:sz w:val="18"/>
          <w:szCs w:val="18"/>
          <w:u w:val="single"/>
          <w:lang w:val="el-GR"/>
        </w:rPr>
      </w:pPr>
    </w:p>
    <w:p w14:paraId="0911F446" w14:textId="7D301EBB" w:rsidR="00682583" w:rsidRDefault="00C43CB5" w:rsidP="00C43CB5">
      <w:pPr>
        <w:tabs>
          <w:tab w:val="left" w:pos="1080"/>
          <w:tab w:val="left" w:pos="6840"/>
        </w:tabs>
        <w:jc w:val="both"/>
        <w:rPr>
          <w:rFonts w:ascii="Verdana" w:eastAsia="Malgun Gothic" w:hAnsi="Verdana"/>
          <w:sz w:val="18"/>
          <w:szCs w:val="18"/>
          <w:lang w:val="el-GR" w:eastAsia="x-none"/>
        </w:rPr>
      </w:pPr>
      <w:r w:rsidRPr="00C43CB5">
        <w:rPr>
          <w:rFonts w:ascii="Verdana" w:eastAsia="Malgun Gothic" w:hAnsi="Verdana"/>
          <w:sz w:val="18"/>
          <w:szCs w:val="18"/>
          <w:lang w:val="el-GR" w:eastAsia="x-none"/>
        </w:rPr>
        <w:t xml:space="preserve">Τα ταξίδια κατοίκων Κύπρου στο εξωτερικό τον </w:t>
      </w:r>
      <w:r w:rsidR="00535CAB">
        <w:rPr>
          <w:rFonts w:ascii="Verdana" w:eastAsia="Malgun Gothic" w:hAnsi="Verdana"/>
          <w:sz w:val="18"/>
          <w:szCs w:val="18"/>
          <w:lang w:val="el-GR" w:eastAsia="x-none"/>
        </w:rPr>
        <w:t>Μάρτιο</w:t>
      </w:r>
      <w:r>
        <w:rPr>
          <w:rFonts w:ascii="Verdana" w:eastAsia="Malgun Gothic" w:hAnsi="Verdana"/>
          <w:sz w:val="18"/>
          <w:szCs w:val="18"/>
          <w:lang w:val="el-GR" w:eastAsia="x-none"/>
        </w:rPr>
        <w:t xml:space="preserve"> </w:t>
      </w:r>
      <w:r w:rsidRPr="00C43CB5">
        <w:rPr>
          <w:rFonts w:ascii="Verdana" w:eastAsia="Malgun Gothic" w:hAnsi="Verdana"/>
          <w:sz w:val="18"/>
          <w:szCs w:val="18"/>
          <w:lang w:val="el-GR" w:eastAsia="x-none"/>
        </w:rPr>
        <w:t xml:space="preserve">2023 ανήλθαν στις </w:t>
      </w:r>
      <w:r w:rsidR="008F6024" w:rsidRPr="008F6024">
        <w:rPr>
          <w:rFonts w:ascii="Verdana" w:eastAsia="Malgun Gothic" w:hAnsi="Verdana"/>
          <w:sz w:val="18"/>
          <w:szCs w:val="18"/>
          <w:lang w:val="el-GR" w:eastAsia="x-none"/>
        </w:rPr>
        <w:t>113.805</w:t>
      </w:r>
      <w:r w:rsidRPr="00C43CB5">
        <w:rPr>
          <w:rFonts w:ascii="Verdana" w:eastAsia="Malgun Gothic" w:hAnsi="Verdana"/>
          <w:sz w:val="18"/>
          <w:szCs w:val="18"/>
          <w:lang w:val="el-GR" w:eastAsia="x-none"/>
        </w:rPr>
        <w:t xml:space="preserve"> σε σύγκριση με </w:t>
      </w:r>
      <w:r w:rsidR="008F6024" w:rsidRPr="008F6024">
        <w:rPr>
          <w:rFonts w:ascii="Verdana" w:eastAsia="Malgun Gothic" w:hAnsi="Verdana"/>
          <w:sz w:val="18"/>
          <w:szCs w:val="18"/>
          <w:lang w:val="el-GR" w:eastAsia="x-none"/>
        </w:rPr>
        <w:t>59.918</w:t>
      </w:r>
      <w:r w:rsidRPr="00C43CB5">
        <w:rPr>
          <w:rFonts w:ascii="Verdana" w:eastAsia="Malgun Gothic" w:hAnsi="Verdana"/>
          <w:sz w:val="18"/>
          <w:szCs w:val="18"/>
          <w:lang w:val="el-GR" w:eastAsia="x-none"/>
        </w:rPr>
        <w:t xml:space="preserve"> τον </w:t>
      </w:r>
      <w:r w:rsidR="00535CAB">
        <w:rPr>
          <w:rFonts w:ascii="Verdana" w:eastAsia="Malgun Gothic" w:hAnsi="Verdana"/>
          <w:sz w:val="18"/>
          <w:szCs w:val="18"/>
          <w:lang w:val="el-GR" w:eastAsia="x-none"/>
        </w:rPr>
        <w:t>Μάρτιο</w:t>
      </w:r>
      <w:r>
        <w:rPr>
          <w:rFonts w:ascii="Verdana" w:eastAsia="Malgun Gothic" w:hAnsi="Verdana"/>
          <w:sz w:val="18"/>
          <w:szCs w:val="18"/>
          <w:lang w:val="el-GR" w:eastAsia="x-none"/>
        </w:rPr>
        <w:t xml:space="preserve"> </w:t>
      </w:r>
      <w:r w:rsidRPr="00C43CB5">
        <w:rPr>
          <w:rFonts w:ascii="Verdana" w:eastAsia="Malgun Gothic" w:hAnsi="Verdana"/>
          <w:sz w:val="18"/>
          <w:szCs w:val="18"/>
          <w:lang w:val="el-GR" w:eastAsia="x-none"/>
        </w:rPr>
        <w:t xml:space="preserve">2022, σημειώνοντας αύξηση </w:t>
      </w:r>
      <w:r w:rsidR="008F6024" w:rsidRPr="008F6024">
        <w:rPr>
          <w:rFonts w:ascii="Verdana" w:eastAsia="Malgun Gothic" w:hAnsi="Verdana"/>
          <w:sz w:val="18"/>
          <w:szCs w:val="18"/>
          <w:lang w:val="el-GR" w:eastAsia="x-none"/>
        </w:rPr>
        <w:t>89</w:t>
      </w:r>
      <w:r w:rsidRPr="00C43CB5">
        <w:rPr>
          <w:rFonts w:ascii="Verdana" w:eastAsia="Malgun Gothic" w:hAnsi="Verdana"/>
          <w:sz w:val="18"/>
          <w:szCs w:val="18"/>
          <w:lang w:val="el-GR" w:eastAsia="x-none"/>
        </w:rPr>
        <w:t>,</w:t>
      </w:r>
      <w:r w:rsidR="008F6024" w:rsidRPr="00BA0CEA">
        <w:rPr>
          <w:rFonts w:ascii="Verdana" w:eastAsia="Malgun Gothic" w:hAnsi="Verdana"/>
          <w:sz w:val="18"/>
          <w:szCs w:val="18"/>
          <w:lang w:val="el-GR" w:eastAsia="x-none"/>
        </w:rPr>
        <w:t>9</w:t>
      </w:r>
      <w:r w:rsidRPr="00C43CB5">
        <w:rPr>
          <w:rFonts w:ascii="Verdana" w:eastAsia="Malgun Gothic" w:hAnsi="Verdana"/>
          <w:sz w:val="18"/>
          <w:szCs w:val="18"/>
          <w:lang w:val="el-GR" w:eastAsia="x-none"/>
        </w:rPr>
        <w:t xml:space="preserve">%. </w:t>
      </w:r>
    </w:p>
    <w:p w14:paraId="50C1D0E6" w14:textId="728C97AE" w:rsidR="00682583" w:rsidRDefault="00682583" w:rsidP="00C43CB5">
      <w:pPr>
        <w:tabs>
          <w:tab w:val="left" w:pos="1080"/>
          <w:tab w:val="left" w:pos="6840"/>
        </w:tabs>
        <w:jc w:val="both"/>
        <w:rPr>
          <w:rFonts w:ascii="Verdana" w:eastAsia="Malgun Gothic" w:hAnsi="Verdana"/>
          <w:sz w:val="18"/>
          <w:szCs w:val="18"/>
          <w:lang w:val="el-GR" w:eastAsia="x-none"/>
        </w:rPr>
      </w:pPr>
    </w:p>
    <w:p w14:paraId="3981FC37" w14:textId="02225A1B" w:rsidR="008C7FD9" w:rsidRDefault="00C43CB5" w:rsidP="008C7FD9">
      <w:pPr>
        <w:tabs>
          <w:tab w:val="left" w:pos="1080"/>
          <w:tab w:val="left" w:pos="6840"/>
        </w:tabs>
        <w:jc w:val="both"/>
        <w:rPr>
          <w:rFonts w:ascii="Verdana" w:eastAsia="Malgun Gothic" w:hAnsi="Verdana"/>
          <w:sz w:val="18"/>
          <w:szCs w:val="18"/>
          <w:lang w:val="el-GR" w:eastAsia="x-none"/>
        </w:rPr>
      </w:pPr>
      <w:r w:rsidRPr="00C43CB5">
        <w:rPr>
          <w:rFonts w:ascii="Verdana" w:eastAsia="Malgun Gothic" w:hAnsi="Verdana"/>
          <w:sz w:val="18"/>
          <w:szCs w:val="18"/>
          <w:lang w:val="el-GR" w:eastAsia="x-none"/>
        </w:rPr>
        <w:t>Οι κυριότερες χώρες από τις</w:t>
      </w:r>
      <w:r w:rsidRPr="00C43CB5">
        <w:rPr>
          <w:lang w:val="el-GR"/>
        </w:rPr>
        <w:t xml:space="preserve"> </w:t>
      </w:r>
      <w:r w:rsidRPr="00C43CB5">
        <w:rPr>
          <w:rFonts w:ascii="Verdana" w:eastAsia="Malgun Gothic" w:hAnsi="Verdana"/>
          <w:sz w:val="18"/>
          <w:szCs w:val="18"/>
          <w:lang w:val="el-GR" w:eastAsia="x-none"/>
        </w:rPr>
        <w:t xml:space="preserve">οποίες επέστρεψαν οι κάτοικοι Κύπρου τον </w:t>
      </w:r>
      <w:r w:rsidR="00535CAB">
        <w:rPr>
          <w:rFonts w:ascii="Verdana" w:eastAsia="Malgun Gothic" w:hAnsi="Verdana"/>
          <w:sz w:val="18"/>
          <w:szCs w:val="18"/>
          <w:lang w:val="el-GR" w:eastAsia="x-none"/>
        </w:rPr>
        <w:t>Μάρτιο</w:t>
      </w:r>
      <w:r>
        <w:rPr>
          <w:rFonts w:ascii="Verdana" w:eastAsia="Malgun Gothic" w:hAnsi="Verdana"/>
          <w:sz w:val="18"/>
          <w:szCs w:val="18"/>
          <w:lang w:val="el-GR" w:eastAsia="x-none"/>
        </w:rPr>
        <w:t xml:space="preserve"> </w:t>
      </w:r>
      <w:r w:rsidRPr="00C43CB5">
        <w:rPr>
          <w:rFonts w:ascii="Verdana" w:eastAsia="Malgun Gothic" w:hAnsi="Verdana"/>
          <w:sz w:val="18"/>
          <w:szCs w:val="18"/>
          <w:lang w:val="el-GR" w:eastAsia="x-none"/>
        </w:rPr>
        <w:t xml:space="preserve">2023 ήταν η Ελλάδα με </w:t>
      </w:r>
      <w:r w:rsidR="00BA0CEA" w:rsidRPr="00BA0CEA">
        <w:rPr>
          <w:rFonts w:ascii="Verdana" w:eastAsia="Malgun Gothic" w:hAnsi="Verdana"/>
          <w:sz w:val="18"/>
          <w:szCs w:val="18"/>
          <w:lang w:val="el-GR" w:eastAsia="x-none"/>
        </w:rPr>
        <w:t>30</w:t>
      </w:r>
      <w:r w:rsidRPr="00C43CB5">
        <w:rPr>
          <w:rFonts w:ascii="Verdana" w:eastAsia="Malgun Gothic" w:hAnsi="Verdana"/>
          <w:sz w:val="18"/>
          <w:szCs w:val="18"/>
          <w:lang w:val="el-GR" w:eastAsia="x-none"/>
        </w:rPr>
        <w:t>,</w:t>
      </w:r>
      <w:r w:rsidR="00BA0CEA" w:rsidRPr="00BA0CEA">
        <w:rPr>
          <w:rFonts w:ascii="Verdana" w:eastAsia="Malgun Gothic" w:hAnsi="Verdana"/>
          <w:sz w:val="18"/>
          <w:szCs w:val="18"/>
          <w:lang w:val="el-GR" w:eastAsia="x-none"/>
        </w:rPr>
        <w:t>3</w:t>
      </w:r>
      <w:r w:rsidRPr="00C43CB5">
        <w:rPr>
          <w:rFonts w:ascii="Verdana" w:eastAsia="Malgun Gothic" w:hAnsi="Verdana"/>
          <w:sz w:val="18"/>
          <w:szCs w:val="18"/>
          <w:lang w:val="el-GR" w:eastAsia="x-none"/>
        </w:rPr>
        <w:t>%</w:t>
      </w:r>
      <w:r w:rsidR="00682583">
        <w:rPr>
          <w:rFonts w:ascii="Verdana" w:eastAsia="Malgun Gothic" w:hAnsi="Verdana"/>
          <w:sz w:val="18"/>
          <w:szCs w:val="18"/>
          <w:lang w:val="el-GR" w:eastAsia="x-none"/>
        </w:rPr>
        <w:t xml:space="preserve"> (</w:t>
      </w:r>
      <w:r w:rsidR="00BA0CEA" w:rsidRPr="00BA0CEA">
        <w:rPr>
          <w:rFonts w:ascii="Verdana" w:eastAsia="Malgun Gothic" w:hAnsi="Verdana"/>
          <w:sz w:val="18"/>
          <w:szCs w:val="18"/>
          <w:lang w:val="el-GR" w:eastAsia="x-none"/>
        </w:rPr>
        <w:t>34.455</w:t>
      </w:r>
      <w:r w:rsidR="00682583">
        <w:rPr>
          <w:rFonts w:ascii="Verdana" w:eastAsia="Malgun Gothic" w:hAnsi="Verdana"/>
          <w:sz w:val="18"/>
          <w:szCs w:val="18"/>
          <w:lang w:val="el-GR" w:eastAsia="x-none"/>
        </w:rPr>
        <w:t>),</w:t>
      </w:r>
      <w:r w:rsidRPr="00C43CB5">
        <w:rPr>
          <w:rFonts w:ascii="Verdana" w:eastAsia="Malgun Gothic" w:hAnsi="Verdana"/>
          <w:sz w:val="18"/>
          <w:szCs w:val="18"/>
          <w:lang w:val="el-GR" w:eastAsia="x-none"/>
        </w:rPr>
        <w:t xml:space="preserve"> το Ηνωμένο Βασίλειο με </w:t>
      </w:r>
      <w:r w:rsidR="008C7FD9" w:rsidRPr="008C7FD9">
        <w:rPr>
          <w:rFonts w:ascii="Verdana" w:eastAsia="Malgun Gothic" w:hAnsi="Verdana"/>
          <w:sz w:val="18"/>
          <w:szCs w:val="18"/>
          <w:lang w:val="el-GR" w:eastAsia="x-none"/>
        </w:rPr>
        <w:t>14</w:t>
      </w:r>
      <w:r w:rsidRPr="00C43CB5">
        <w:rPr>
          <w:rFonts w:ascii="Verdana" w:eastAsia="Malgun Gothic" w:hAnsi="Verdana"/>
          <w:sz w:val="18"/>
          <w:szCs w:val="18"/>
          <w:lang w:val="el-GR" w:eastAsia="x-none"/>
        </w:rPr>
        <w:t>,</w:t>
      </w:r>
      <w:r w:rsidR="008C7FD9" w:rsidRPr="008C7FD9">
        <w:rPr>
          <w:rFonts w:ascii="Verdana" w:eastAsia="Malgun Gothic" w:hAnsi="Verdana"/>
          <w:sz w:val="18"/>
          <w:szCs w:val="18"/>
          <w:lang w:val="el-GR" w:eastAsia="x-none"/>
        </w:rPr>
        <w:t>4</w:t>
      </w:r>
      <w:r w:rsidRPr="00C43CB5">
        <w:rPr>
          <w:rFonts w:ascii="Verdana" w:eastAsia="Malgun Gothic" w:hAnsi="Verdana"/>
          <w:sz w:val="18"/>
          <w:szCs w:val="18"/>
          <w:lang w:val="el-GR" w:eastAsia="x-none"/>
        </w:rPr>
        <w:t>%</w:t>
      </w:r>
      <w:r w:rsidR="00682583">
        <w:rPr>
          <w:rFonts w:ascii="Verdana" w:eastAsia="Malgun Gothic" w:hAnsi="Verdana"/>
          <w:sz w:val="18"/>
          <w:szCs w:val="18"/>
          <w:lang w:val="el-GR" w:eastAsia="x-none"/>
        </w:rPr>
        <w:t xml:space="preserve"> (</w:t>
      </w:r>
      <w:r w:rsidR="008C7FD9" w:rsidRPr="008C7FD9">
        <w:rPr>
          <w:rFonts w:ascii="Verdana" w:eastAsia="Malgun Gothic" w:hAnsi="Verdana"/>
          <w:sz w:val="18"/>
          <w:szCs w:val="18"/>
          <w:lang w:val="el-GR" w:eastAsia="x-none"/>
        </w:rPr>
        <w:t>16.386</w:t>
      </w:r>
      <w:r w:rsidR="00682583">
        <w:rPr>
          <w:rFonts w:ascii="Verdana" w:eastAsia="Malgun Gothic" w:hAnsi="Verdana"/>
          <w:sz w:val="18"/>
          <w:szCs w:val="18"/>
          <w:lang w:val="el-GR" w:eastAsia="x-none"/>
        </w:rPr>
        <w:t>)</w:t>
      </w:r>
      <w:r w:rsidR="00E67133" w:rsidRPr="00E67133">
        <w:rPr>
          <w:rFonts w:ascii="Verdana" w:eastAsia="Malgun Gothic" w:hAnsi="Verdana"/>
          <w:sz w:val="18"/>
          <w:szCs w:val="18"/>
          <w:lang w:val="el-GR" w:eastAsia="x-none"/>
        </w:rPr>
        <w:t xml:space="preserve">, </w:t>
      </w:r>
      <w:r w:rsidR="00E67133">
        <w:rPr>
          <w:rFonts w:ascii="Verdana" w:eastAsia="Malgun Gothic" w:hAnsi="Verdana"/>
          <w:sz w:val="18"/>
          <w:szCs w:val="18"/>
          <w:lang w:val="el-GR" w:eastAsia="x-none"/>
        </w:rPr>
        <w:t>η Βουλγαρία με 4,</w:t>
      </w:r>
      <w:r w:rsidR="00E67133" w:rsidRPr="008C7FD9">
        <w:rPr>
          <w:rFonts w:ascii="Verdana" w:eastAsia="Malgun Gothic" w:hAnsi="Verdana"/>
          <w:sz w:val="18"/>
          <w:szCs w:val="18"/>
          <w:lang w:val="el-GR" w:eastAsia="x-none"/>
        </w:rPr>
        <w:t>0</w:t>
      </w:r>
      <w:r w:rsidR="00E67133">
        <w:rPr>
          <w:rFonts w:ascii="Verdana" w:eastAsia="Malgun Gothic" w:hAnsi="Verdana"/>
          <w:sz w:val="18"/>
          <w:szCs w:val="18"/>
          <w:lang w:val="el-GR" w:eastAsia="x-none"/>
        </w:rPr>
        <w:t>% (</w:t>
      </w:r>
      <w:r w:rsidR="00E67133" w:rsidRPr="008C7FD9">
        <w:rPr>
          <w:rFonts w:ascii="Verdana" w:eastAsia="Malgun Gothic" w:hAnsi="Verdana"/>
          <w:sz w:val="18"/>
          <w:szCs w:val="18"/>
          <w:lang w:val="el-GR" w:eastAsia="x-none"/>
        </w:rPr>
        <w:t>4.527</w:t>
      </w:r>
      <w:r w:rsidR="00E67133">
        <w:rPr>
          <w:rFonts w:ascii="Verdana" w:eastAsia="Malgun Gothic" w:hAnsi="Verdana"/>
          <w:sz w:val="18"/>
          <w:szCs w:val="18"/>
          <w:lang w:val="el-GR" w:eastAsia="x-none"/>
        </w:rPr>
        <w:t>)</w:t>
      </w:r>
      <w:r w:rsidR="008C7FD9" w:rsidRPr="008C7FD9">
        <w:rPr>
          <w:rFonts w:ascii="Verdana" w:eastAsia="Malgun Gothic" w:hAnsi="Verdana"/>
          <w:sz w:val="18"/>
          <w:szCs w:val="18"/>
          <w:lang w:val="el-GR" w:eastAsia="x-none"/>
        </w:rPr>
        <w:t xml:space="preserve"> </w:t>
      </w:r>
      <w:r w:rsidR="008C7FD9">
        <w:rPr>
          <w:rFonts w:ascii="Verdana" w:eastAsia="Malgun Gothic" w:hAnsi="Verdana"/>
          <w:sz w:val="18"/>
          <w:szCs w:val="18"/>
          <w:lang w:val="el-GR" w:eastAsia="x-none"/>
        </w:rPr>
        <w:t>και</w:t>
      </w:r>
      <w:r w:rsidR="00E67133" w:rsidRPr="00E67133">
        <w:rPr>
          <w:rFonts w:ascii="Verdana" w:eastAsia="Malgun Gothic" w:hAnsi="Verdana"/>
          <w:sz w:val="18"/>
          <w:szCs w:val="18"/>
          <w:lang w:val="el-GR" w:eastAsia="x-none"/>
        </w:rPr>
        <w:t xml:space="preserve"> </w:t>
      </w:r>
      <w:r w:rsidR="00E67133">
        <w:rPr>
          <w:rFonts w:ascii="Verdana" w:eastAsia="Malgun Gothic" w:hAnsi="Verdana"/>
          <w:sz w:val="18"/>
          <w:szCs w:val="18"/>
          <w:lang w:val="el-GR" w:eastAsia="x-none"/>
        </w:rPr>
        <w:t>η Ιταλία με 3</w:t>
      </w:r>
      <w:r w:rsidR="00E67133" w:rsidRPr="00C43CB5">
        <w:rPr>
          <w:rFonts w:ascii="Verdana" w:eastAsia="Malgun Gothic" w:hAnsi="Verdana"/>
          <w:sz w:val="18"/>
          <w:szCs w:val="18"/>
          <w:lang w:val="el-GR" w:eastAsia="x-none"/>
        </w:rPr>
        <w:t>,</w:t>
      </w:r>
      <w:r w:rsidR="00E67133">
        <w:rPr>
          <w:rFonts w:ascii="Verdana" w:eastAsia="Malgun Gothic" w:hAnsi="Verdana"/>
          <w:sz w:val="18"/>
          <w:szCs w:val="18"/>
          <w:lang w:val="el-GR" w:eastAsia="x-none"/>
        </w:rPr>
        <w:t>5</w:t>
      </w:r>
      <w:r w:rsidR="00E67133" w:rsidRPr="00C43CB5">
        <w:rPr>
          <w:rFonts w:ascii="Verdana" w:eastAsia="Malgun Gothic" w:hAnsi="Verdana"/>
          <w:sz w:val="18"/>
          <w:szCs w:val="18"/>
          <w:lang w:val="el-GR" w:eastAsia="x-none"/>
        </w:rPr>
        <w:t>%</w:t>
      </w:r>
      <w:r w:rsidR="00E67133">
        <w:rPr>
          <w:rFonts w:ascii="Verdana" w:eastAsia="Malgun Gothic" w:hAnsi="Verdana"/>
          <w:sz w:val="18"/>
          <w:szCs w:val="18"/>
          <w:lang w:val="el-GR" w:eastAsia="x-none"/>
        </w:rPr>
        <w:t xml:space="preserve"> (</w:t>
      </w:r>
      <w:r w:rsidR="00E67133" w:rsidRPr="00E67133">
        <w:rPr>
          <w:rFonts w:ascii="Verdana" w:eastAsia="Malgun Gothic" w:hAnsi="Verdana"/>
          <w:sz w:val="18"/>
          <w:szCs w:val="18"/>
          <w:lang w:val="el-GR" w:eastAsia="x-none"/>
        </w:rPr>
        <w:t>3.959</w:t>
      </w:r>
      <w:r w:rsidR="00E67133">
        <w:rPr>
          <w:rFonts w:ascii="Verdana" w:eastAsia="Malgun Gothic" w:hAnsi="Verdana"/>
          <w:sz w:val="18"/>
          <w:szCs w:val="18"/>
          <w:lang w:val="el-GR" w:eastAsia="x-none"/>
        </w:rPr>
        <w:t>)</w:t>
      </w:r>
      <w:r w:rsidR="008C7FD9" w:rsidRPr="008C7FD9">
        <w:rPr>
          <w:rFonts w:ascii="Verdana" w:eastAsia="Malgun Gothic" w:hAnsi="Verdana"/>
          <w:sz w:val="18"/>
          <w:szCs w:val="18"/>
          <w:lang w:val="el-GR" w:eastAsia="x-none"/>
        </w:rPr>
        <w:t>.</w:t>
      </w:r>
    </w:p>
    <w:p w14:paraId="2EC6CEC0" w14:textId="18F44FC6" w:rsidR="00C43CB5" w:rsidRDefault="00C43CB5" w:rsidP="008C7FD9">
      <w:pPr>
        <w:tabs>
          <w:tab w:val="left" w:pos="1080"/>
          <w:tab w:val="left" w:pos="6840"/>
        </w:tabs>
        <w:jc w:val="both"/>
        <w:rPr>
          <w:rFonts w:ascii="Verdana" w:eastAsia="Malgun Gothic" w:hAnsi="Verdana"/>
          <w:sz w:val="18"/>
          <w:szCs w:val="18"/>
          <w:lang w:val="el-GR" w:eastAsia="x-none"/>
        </w:rPr>
      </w:pPr>
      <w:r w:rsidRPr="00C43CB5">
        <w:rPr>
          <w:rFonts w:ascii="Verdana" w:eastAsia="Malgun Gothic" w:hAnsi="Verdana"/>
          <w:sz w:val="18"/>
          <w:szCs w:val="18"/>
          <w:lang w:val="el-GR" w:eastAsia="x-none"/>
        </w:rPr>
        <w:t xml:space="preserve"> </w:t>
      </w:r>
    </w:p>
    <w:p w14:paraId="0048FAD5" w14:textId="77777777" w:rsidR="00E67133" w:rsidRDefault="00E67133" w:rsidP="008C7FD9">
      <w:pPr>
        <w:tabs>
          <w:tab w:val="left" w:pos="1080"/>
          <w:tab w:val="left" w:pos="6840"/>
        </w:tabs>
        <w:jc w:val="both"/>
        <w:rPr>
          <w:rFonts w:ascii="Verdana" w:eastAsia="Malgun Gothic" w:hAnsi="Verdana"/>
          <w:sz w:val="18"/>
          <w:szCs w:val="18"/>
          <w:lang w:val="el-GR" w:eastAsia="x-none"/>
        </w:rPr>
      </w:pPr>
    </w:p>
    <w:p w14:paraId="6FA52A88" w14:textId="2629DDAE" w:rsidR="00E55A2A" w:rsidRDefault="00E67133" w:rsidP="008C7FD9">
      <w:pPr>
        <w:tabs>
          <w:tab w:val="left" w:pos="1080"/>
          <w:tab w:val="left" w:pos="6840"/>
        </w:tabs>
        <w:jc w:val="both"/>
        <w:rPr>
          <w:rFonts w:ascii="Verdana" w:eastAsia="Malgun Gothic" w:hAnsi="Verdana"/>
          <w:sz w:val="18"/>
          <w:szCs w:val="18"/>
          <w:lang w:val="el-GR" w:eastAsia="x-none"/>
        </w:rPr>
      </w:pPr>
      <w:r>
        <w:rPr>
          <w:rFonts w:ascii="Verdana" w:eastAsia="Malgun Gothic" w:hAnsi="Verdana"/>
          <w:noProof/>
          <w:sz w:val="18"/>
          <w:szCs w:val="18"/>
          <w:lang w:val="el-GR" w:eastAsia="x-none"/>
        </w:rPr>
        <w:drawing>
          <wp:inline distT="0" distB="0" distL="0" distR="0" wp14:anchorId="602BF575" wp14:editId="0085C02B">
            <wp:extent cx="6059805" cy="3182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805" cy="3182620"/>
                    </a:xfrm>
                    <a:prstGeom prst="rect">
                      <a:avLst/>
                    </a:prstGeom>
                    <a:noFill/>
                  </pic:spPr>
                </pic:pic>
              </a:graphicData>
            </a:graphic>
          </wp:inline>
        </w:drawing>
      </w:r>
    </w:p>
    <w:p w14:paraId="2613F71E" w14:textId="0C76B00F" w:rsidR="00F905AD" w:rsidRPr="00E67133" w:rsidRDefault="00F905AD" w:rsidP="00C43CB5">
      <w:pPr>
        <w:tabs>
          <w:tab w:val="left" w:pos="1080"/>
          <w:tab w:val="left" w:pos="6840"/>
        </w:tabs>
        <w:jc w:val="both"/>
        <w:rPr>
          <w:rFonts w:ascii="Verdana" w:eastAsia="Malgun Gothic" w:hAnsi="Verdana"/>
          <w:sz w:val="18"/>
          <w:szCs w:val="18"/>
          <w:lang w:eastAsia="x-none"/>
        </w:rPr>
      </w:pPr>
    </w:p>
    <w:p w14:paraId="0F280FB7" w14:textId="0EEF9E80" w:rsidR="00687DA3" w:rsidRDefault="00687DA3" w:rsidP="00223E27">
      <w:pPr>
        <w:tabs>
          <w:tab w:val="left" w:pos="1080"/>
          <w:tab w:val="left" w:pos="6840"/>
        </w:tabs>
        <w:jc w:val="both"/>
        <w:rPr>
          <w:rFonts w:ascii="Verdana" w:eastAsia="Malgun Gothic" w:hAnsi="Verdana" w:cs="Arial"/>
          <w:sz w:val="18"/>
          <w:szCs w:val="18"/>
          <w:lang w:val="el-GR"/>
        </w:rPr>
      </w:pPr>
    </w:p>
    <w:p w14:paraId="5F1329CB" w14:textId="4B28EA24" w:rsidR="00754A4D" w:rsidRDefault="00EF0BAB" w:rsidP="00223E27">
      <w:pPr>
        <w:tabs>
          <w:tab w:val="left" w:pos="1080"/>
          <w:tab w:val="left" w:pos="6840"/>
        </w:tabs>
        <w:jc w:val="both"/>
        <w:rPr>
          <w:rFonts w:ascii="Verdana" w:eastAsia="Malgun Gothic" w:hAnsi="Verdana" w:cs="Arial"/>
          <w:sz w:val="18"/>
          <w:szCs w:val="18"/>
          <w:lang w:val="el-GR"/>
        </w:rPr>
      </w:pPr>
      <w:r w:rsidRPr="00EF0BAB">
        <w:rPr>
          <w:rFonts w:ascii="Verdana" w:eastAsia="Malgun Gothic" w:hAnsi="Verdana" w:cs="Arial"/>
          <w:sz w:val="18"/>
          <w:szCs w:val="18"/>
          <w:lang w:val="el-GR"/>
        </w:rPr>
        <w:t xml:space="preserve">Ο σκοπός ταξιδιού των κατοίκων Κύπρου τον </w:t>
      </w:r>
      <w:r w:rsidR="00535CAB">
        <w:rPr>
          <w:rFonts w:ascii="Verdana" w:eastAsia="Malgun Gothic" w:hAnsi="Verdana" w:cs="Arial"/>
          <w:sz w:val="18"/>
          <w:szCs w:val="18"/>
          <w:lang w:val="el-GR"/>
        </w:rPr>
        <w:t>Μάρτιο</w:t>
      </w:r>
      <w:r w:rsidRPr="00EF0BAB">
        <w:rPr>
          <w:rFonts w:ascii="Verdana" w:eastAsia="Malgun Gothic" w:hAnsi="Verdana" w:cs="Arial"/>
          <w:sz w:val="18"/>
          <w:szCs w:val="18"/>
          <w:lang w:val="el-GR"/>
        </w:rPr>
        <w:t xml:space="preserve"> 2023 ήταν κυρίως οι διακοπές με ποσοστό 68,</w:t>
      </w:r>
      <w:r w:rsidR="00A41741" w:rsidRPr="00A41741">
        <w:rPr>
          <w:rFonts w:ascii="Verdana" w:eastAsia="Malgun Gothic" w:hAnsi="Verdana" w:cs="Arial"/>
          <w:sz w:val="18"/>
          <w:szCs w:val="18"/>
          <w:lang w:val="el-GR"/>
        </w:rPr>
        <w:t>2</w:t>
      </w:r>
      <w:r w:rsidRPr="00EF0BAB">
        <w:rPr>
          <w:rFonts w:ascii="Verdana" w:eastAsia="Malgun Gothic" w:hAnsi="Verdana" w:cs="Arial"/>
          <w:sz w:val="18"/>
          <w:szCs w:val="18"/>
          <w:lang w:val="el-GR"/>
        </w:rPr>
        <w:t xml:space="preserve">%, ενώ οι επαγγελματικοί λόγοι κατείχαν ποσοστό </w:t>
      </w:r>
      <w:r w:rsidR="00A41741" w:rsidRPr="00A41741">
        <w:rPr>
          <w:rFonts w:ascii="Verdana" w:eastAsia="Malgun Gothic" w:hAnsi="Verdana" w:cs="Arial"/>
          <w:sz w:val="18"/>
          <w:szCs w:val="18"/>
          <w:lang w:val="el-GR"/>
        </w:rPr>
        <w:t>26</w:t>
      </w:r>
      <w:r w:rsidRPr="00EF0BAB">
        <w:rPr>
          <w:rFonts w:ascii="Verdana" w:eastAsia="Malgun Gothic" w:hAnsi="Verdana" w:cs="Arial"/>
          <w:sz w:val="18"/>
          <w:szCs w:val="18"/>
          <w:lang w:val="el-GR"/>
        </w:rPr>
        <w:t>,</w:t>
      </w:r>
      <w:r w:rsidR="00A41741" w:rsidRPr="00A41741">
        <w:rPr>
          <w:rFonts w:ascii="Verdana" w:eastAsia="Malgun Gothic" w:hAnsi="Verdana" w:cs="Arial"/>
          <w:sz w:val="18"/>
          <w:szCs w:val="18"/>
          <w:lang w:val="el-GR"/>
        </w:rPr>
        <w:t>1</w:t>
      </w:r>
      <w:r w:rsidRPr="00EF0BAB">
        <w:rPr>
          <w:rFonts w:ascii="Verdana" w:eastAsia="Malgun Gothic" w:hAnsi="Verdana" w:cs="Arial"/>
          <w:sz w:val="18"/>
          <w:szCs w:val="18"/>
          <w:lang w:val="el-GR"/>
        </w:rPr>
        <w:t xml:space="preserve">%, οι σπουδές ποσοστό </w:t>
      </w:r>
      <w:r w:rsidR="00A41741" w:rsidRPr="00A41741">
        <w:rPr>
          <w:rFonts w:ascii="Verdana" w:eastAsia="Malgun Gothic" w:hAnsi="Verdana" w:cs="Arial"/>
          <w:sz w:val="18"/>
          <w:szCs w:val="18"/>
          <w:lang w:val="el-GR"/>
        </w:rPr>
        <w:t>4</w:t>
      </w:r>
      <w:r w:rsidRPr="00EF0BAB">
        <w:rPr>
          <w:rFonts w:ascii="Verdana" w:eastAsia="Malgun Gothic" w:hAnsi="Verdana" w:cs="Arial"/>
          <w:sz w:val="18"/>
          <w:szCs w:val="18"/>
          <w:lang w:val="el-GR"/>
        </w:rPr>
        <w:t>,</w:t>
      </w:r>
      <w:r w:rsidR="00A41741" w:rsidRPr="00A41741">
        <w:rPr>
          <w:rFonts w:ascii="Verdana" w:eastAsia="Malgun Gothic" w:hAnsi="Verdana" w:cs="Arial"/>
          <w:sz w:val="18"/>
          <w:szCs w:val="18"/>
          <w:lang w:val="el-GR"/>
        </w:rPr>
        <w:t>0</w:t>
      </w:r>
      <w:r w:rsidRPr="00EF0BAB">
        <w:rPr>
          <w:rFonts w:ascii="Verdana" w:eastAsia="Malgun Gothic" w:hAnsi="Verdana" w:cs="Arial"/>
          <w:sz w:val="18"/>
          <w:szCs w:val="18"/>
          <w:lang w:val="el-GR"/>
        </w:rPr>
        <w:t>% και οι άλλοι λόγοι ποσοστό 1,</w:t>
      </w:r>
      <w:r w:rsidR="00A41741" w:rsidRPr="006E475B">
        <w:rPr>
          <w:rFonts w:ascii="Verdana" w:eastAsia="Malgun Gothic" w:hAnsi="Verdana" w:cs="Arial"/>
          <w:sz w:val="18"/>
          <w:szCs w:val="18"/>
          <w:lang w:val="el-GR"/>
        </w:rPr>
        <w:t>8</w:t>
      </w:r>
      <w:r w:rsidRPr="00EF0BAB">
        <w:rPr>
          <w:rFonts w:ascii="Verdana" w:eastAsia="Malgun Gothic" w:hAnsi="Verdana" w:cs="Arial"/>
          <w:sz w:val="18"/>
          <w:szCs w:val="18"/>
          <w:lang w:val="el-GR"/>
        </w:rPr>
        <w:t>%.</w:t>
      </w:r>
    </w:p>
    <w:p w14:paraId="4D23B7B8" w14:textId="3A8533BB" w:rsidR="00754A4D" w:rsidRPr="003F4B95" w:rsidRDefault="00754A4D" w:rsidP="000E1D30">
      <w:pPr>
        <w:tabs>
          <w:tab w:val="left" w:pos="1080"/>
          <w:tab w:val="left" w:pos="6840"/>
        </w:tabs>
        <w:jc w:val="both"/>
        <w:rPr>
          <w:rFonts w:ascii="Verdana" w:hAnsi="Verdana"/>
          <w:noProof/>
          <w:sz w:val="18"/>
          <w:szCs w:val="18"/>
          <w:lang w:val="el-GR"/>
        </w:rPr>
      </w:pPr>
    </w:p>
    <w:p w14:paraId="231E66C6" w14:textId="60598B9A" w:rsidR="000E1D30" w:rsidRPr="003F4B95" w:rsidRDefault="000E1D30" w:rsidP="000E1D30">
      <w:pPr>
        <w:tabs>
          <w:tab w:val="left" w:pos="1080"/>
          <w:tab w:val="left" w:pos="6840"/>
        </w:tabs>
        <w:jc w:val="both"/>
        <w:rPr>
          <w:rFonts w:ascii="Verdana" w:hAnsi="Verdana"/>
          <w:noProof/>
          <w:sz w:val="18"/>
          <w:szCs w:val="18"/>
          <w:lang w:val="el-GR"/>
        </w:rPr>
      </w:pPr>
    </w:p>
    <w:p w14:paraId="664D6C55" w14:textId="4341ED78" w:rsidR="000E1D30" w:rsidRPr="003F4B95" w:rsidRDefault="000E1D30" w:rsidP="000E1D30">
      <w:pPr>
        <w:tabs>
          <w:tab w:val="left" w:pos="1080"/>
          <w:tab w:val="left" w:pos="6840"/>
        </w:tabs>
        <w:jc w:val="both"/>
        <w:rPr>
          <w:rFonts w:ascii="Verdana" w:hAnsi="Verdana"/>
          <w:noProof/>
          <w:sz w:val="18"/>
          <w:szCs w:val="18"/>
          <w:lang w:val="el-GR"/>
        </w:rPr>
      </w:pPr>
    </w:p>
    <w:p w14:paraId="533FE058" w14:textId="548E824F" w:rsidR="000E1D30" w:rsidRPr="003F4B95" w:rsidRDefault="000E1D30" w:rsidP="000E1D30">
      <w:pPr>
        <w:tabs>
          <w:tab w:val="left" w:pos="1080"/>
          <w:tab w:val="left" w:pos="6840"/>
        </w:tabs>
        <w:jc w:val="both"/>
        <w:rPr>
          <w:rFonts w:ascii="Verdana" w:hAnsi="Verdana"/>
          <w:noProof/>
          <w:sz w:val="18"/>
          <w:szCs w:val="18"/>
          <w:lang w:val="el-GR"/>
        </w:rPr>
      </w:pPr>
    </w:p>
    <w:p w14:paraId="7A29F194" w14:textId="3625B5A6" w:rsidR="000E1D30" w:rsidRPr="003F4B95" w:rsidRDefault="000E1D30" w:rsidP="000E1D30">
      <w:pPr>
        <w:tabs>
          <w:tab w:val="left" w:pos="1080"/>
          <w:tab w:val="left" w:pos="6840"/>
        </w:tabs>
        <w:jc w:val="both"/>
        <w:rPr>
          <w:rFonts w:ascii="Verdana" w:hAnsi="Verdana"/>
          <w:noProof/>
          <w:sz w:val="18"/>
          <w:szCs w:val="18"/>
          <w:lang w:val="el-GR"/>
        </w:rPr>
      </w:pPr>
    </w:p>
    <w:p w14:paraId="5FB676F2" w14:textId="75FE135A" w:rsidR="000E1D30" w:rsidRPr="003F4B95" w:rsidRDefault="000E1D30" w:rsidP="000E1D30">
      <w:pPr>
        <w:tabs>
          <w:tab w:val="left" w:pos="1080"/>
          <w:tab w:val="left" w:pos="6840"/>
        </w:tabs>
        <w:jc w:val="both"/>
        <w:rPr>
          <w:rFonts w:ascii="Verdana" w:hAnsi="Verdana"/>
          <w:noProof/>
          <w:sz w:val="18"/>
          <w:szCs w:val="18"/>
          <w:lang w:val="el-GR"/>
        </w:rPr>
      </w:pPr>
    </w:p>
    <w:p w14:paraId="352702B6" w14:textId="349FCC3F" w:rsidR="000E1D30" w:rsidRPr="003F4B95" w:rsidRDefault="000E1D30" w:rsidP="000E1D30">
      <w:pPr>
        <w:tabs>
          <w:tab w:val="left" w:pos="1080"/>
          <w:tab w:val="left" w:pos="6840"/>
        </w:tabs>
        <w:jc w:val="both"/>
        <w:rPr>
          <w:rFonts w:ascii="Verdana" w:hAnsi="Verdana"/>
          <w:noProof/>
          <w:sz w:val="18"/>
          <w:szCs w:val="18"/>
          <w:lang w:val="el-GR"/>
        </w:rPr>
      </w:pPr>
    </w:p>
    <w:p w14:paraId="716B5557" w14:textId="77777777" w:rsidR="000E1D30" w:rsidRPr="000E1D30" w:rsidRDefault="000E1D30" w:rsidP="000E1D30">
      <w:pPr>
        <w:tabs>
          <w:tab w:val="left" w:pos="1080"/>
          <w:tab w:val="left" w:pos="6840"/>
        </w:tabs>
        <w:jc w:val="both"/>
        <w:rPr>
          <w:rFonts w:ascii="Verdana" w:eastAsia="Malgun Gothic" w:hAnsi="Verdana" w:cs="Arial"/>
          <w:sz w:val="18"/>
          <w:szCs w:val="18"/>
          <w:lang w:val="el-GR"/>
        </w:rPr>
      </w:pPr>
    </w:p>
    <w:p w14:paraId="0BB30DD4" w14:textId="5FEC3CEA" w:rsidR="00FB730F" w:rsidRPr="00A41741" w:rsidRDefault="00FB730F" w:rsidP="00223E27">
      <w:pPr>
        <w:tabs>
          <w:tab w:val="left" w:pos="1080"/>
          <w:tab w:val="left" w:pos="6840"/>
        </w:tabs>
        <w:jc w:val="both"/>
        <w:rPr>
          <w:rFonts w:ascii="Verdana" w:eastAsia="Malgun Gothic" w:hAnsi="Verdana" w:cs="Arial"/>
          <w:sz w:val="18"/>
          <w:szCs w:val="18"/>
          <w:lang w:val="el-GR"/>
        </w:rPr>
      </w:pPr>
    </w:p>
    <w:p w14:paraId="04E9D0ED" w14:textId="77777777" w:rsidR="00D166F2" w:rsidRDefault="00D166F2" w:rsidP="00223E27">
      <w:pPr>
        <w:tabs>
          <w:tab w:val="left" w:pos="1080"/>
          <w:tab w:val="left" w:pos="6840"/>
        </w:tabs>
        <w:jc w:val="both"/>
        <w:rPr>
          <w:rFonts w:ascii="Verdana" w:eastAsia="Malgun Gothic" w:hAnsi="Verdana" w:cs="Arial"/>
          <w:sz w:val="18"/>
          <w:szCs w:val="18"/>
          <w:lang w:val="el-GR"/>
        </w:rPr>
      </w:pPr>
    </w:p>
    <w:p w14:paraId="01620327" w14:textId="77777777" w:rsidR="00FB730F" w:rsidRDefault="00FB730F" w:rsidP="00223E27">
      <w:pPr>
        <w:tabs>
          <w:tab w:val="left" w:pos="1080"/>
          <w:tab w:val="left" w:pos="6840"/>
        </w:tabs>
        <w:jc w:val="both"/>
        <w:rPr>
          <w:rFonts w:ascii="Verdana" w:eastAsia="Malgun Gothic" w:hAnsi="Verdana" w:cs="Arial"/>
          <w:sz w:val="18"/>
          <w:szCs w:val="18"/>
          <w:lang w:val="el-GR"/>
        </w:rPr>
      </w:pPr>
    </w:p>
    <w:p w14:paraId="6440E671" w14:textId="43970811"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5AE01C05" w:rsidR="00223E27" w:rsidRDefault="00223E27" w:rsidP="00223E27">
      <w:pPr>
        <w:tabs>
          <w:tab w:val="left" w:pos="945"/>
        </w:tabs>
        <w:jc w:val="both"/>
        <w:rPr>
          <w:rFonts w:ascii="Verdana" w:eastAsia="Malgun Gothic" w:hAnsi="Verdana" w:cs="Arial"/>
          <w:sz w:val="18"/>
          <w:szCs w:val="18"/>
          <w:lang w:val="el-GR"/>
        </w:rPr>
      </w:pPr>
    </w:p>
    <w:p w14:paraId="1A64CE06" w14:textId="745290E1" w:rsidR="00223E27" w:rsidRDefault="00BB703E" w:rsidP="00EF0BAB">
      <w:pPr>
        <w:tabs>
          <w:tab w:val="left" w:pos="945"/>
        </w:tabs>
        <w:jc w:val="both"/>
        <w:rPr>
          <w:rFonts w:ascii="Verdana" w:hAnsi="Verdana"/>
          <w:sz w:val="18"/>
          <w:szCs w:val="18"/>
          <w:lang w:val="el-GR"/>
        </w:rPr>
      </w:pPr>
      <w:r w:rsidRPr="00BB703E">
        <w:rPr>
          <w:rFonts w:ascii="Verdana" w:hAnsi="Verdana"/>
          <w:b/>
          <w:sz w:val="18"/>
          <w:szCs w:val="18"/>
          <w:lang w:val="el-GR"/>
        </w:rPr>
        <w:t>Επιστροφή κατοίκων Κύπρου</w:t>
      </w:r>
      <w:r>
        <w:rPr>
          <w:rFonts w:ascii="Verdana" w:hAnsi="Verdana"/>
          <w:b/>
          <w:sz w:val="18"/>
          <w:szCs w:val="18"/>
          <w:lang w:val="el-GR"/>
        </w:rPr>
        <w:t xml:space="preserve"> </w:t>
      </w:r>
      <w:r w:rsidR="00EF0BAB" w:rsidRPr="00EF0BAB">
        <w:rPr>
          <w:rFonts w:ascii="Verdana" w:hAnsi="Verdana"/>
          <w:b/>
          <w:sz w:val="18"/>
          <w:szCs w:val="18"/>
          <w:lang w:val="el-GR"/>
        </w:rPr>
        <w:t xml:space="preserve">- </w:t>
      </w:r>
      <w:r w:rsidR="00EF0BAB" w:rsidRPr="00EF0BAB">
        <w:rPr>
          <w:rFonts w:ascii="Verdana" w:hAnsi="Verdana"/>
          <w:sz w:val="18"/>
          <w:szCs w:val="18"/>
          <w:lang w:val="el-GR"/>
        </w:rPr>
        <w:t>Η κατηγορία αυτή περιλαμβάνει πρόσωπα που διέμεναν στην Κύπρο για 12 τουλάχιστον μήνες, ή που ήρθαν στην Κύπρο με την πρόθεση να διαμείνουν για τουλάχιστον 12 μήνες, πριν από το ταξίδι τους.</w:t>
      </w:r>
    </w:p>
    <w:p w14:paraId="1E8CF057" w14:textId="77777777" w:rsidR="00EF0BAB" w:rsidRPr="002B4760" w:rsidRDefault="00EF0BAB" w:rsidP="00EF0BAB">
      <w:pPr>
        <w:tabs>
          <w:tab w:val="left" w:pos="945"/>
        </w:tabs>
        <w:jc w:val="both"/>
        <w:rPr>
          <w:rFonts w:ascii="Verdana" w:eastAsia="Malgun Gothic" w:hAnsi="Verdana" w:cs="Arial"/>
          <w:sz w:val="18"/>
          <w:szCs w:val="18"/>
          <w:lang w:val="el-GR"/>
        </w:rPr>
      </w:pPr>
    </w:p>
    <w:p w14:paraId="284077F9" w14:textId="25D1BABA"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 xml:space="preserve">Πηγή </w:t>
      </w:r>
      <w:r w:rsidR="005C5C74">
        <w:rPr>
          <w:rFonts w:ascii="Verdana" w:hAnsi="Verdana"/>
          <w:b/>
          <w:sz w:val="18"/>
          <w:szCs w:val="18"/>
          <w:u w:val="single"/>
          <w:lang w:val="el-GR"/>
        </w:rPr>
        <w:t>Σ</w:t>
      </w:r>
      <w:r w:rsidRPr="00D753CA">
        <w:rPr>
          <w:rFonts w:ascii="Verdana" w:hAnsi="Verdana"/>
          <w:b/>
          <w:sz w:val="18"/>
          <w:szCs w:val="18"/>
          <w:u w:val="single"/>
          <w:lang w:val="el-GR"/>
        </w:rPr>
        <w:t xml:space="preserve">τοιχείων και </w:t>
      </w:r>
      <w:r w:rsidR="005C5C74">
        <w:rPr>
          <w:rFonts w:ascii="Verdana" w:hAnsi="Verdana"/>
          <w:b/>
          <w:sz w:val="18"/>
          <w:szCs w:val="18"/>
          <w:u w:val="single"/>
          <w:lang w:val="el-GR"/>
        </w:rPr>
        <w:t>Κ</w:t>
      </w:r>
      <w:r w:rsidRPr="00D753CA">
        <w:rPr>
          <w:rFonts w:ascii="Verdana" w:hAnsi="Verdana"/>
          <w:b/>
          <w:sz w:val="18"/>
          <w:szCs w:val="18"/>
          <w:u w:val="single"/>
          <w:lang w:val="el-GR"/>
        </w:rPr>
        <w:t>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67660A3"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1666427B" w14:textId="77777777" w:rsidR="00223E27" w:rsidRPr="00E40282" w:rsidRDefault="00223E27" w:rsidP="00223E27">
      <w:pPr>
        <w:tabs>
          <w:tab w:val="left" w:pos="360"/>
          <w:tab w:val="left" w:pos="6840"/>
        </w:tabs>
        <w:ind w:right="-79"/>
        <w:jc w:val="both"/>
        <w:rPr>
          <w:rFonts w:ascii="Verdana" w:eastAsia="Malgun Gothic" w:hAnsi="Verdana" w:cs="Arial"/>
          <w:bCs/>
          <w:iCs/>
          <w:sz w:val="18"/>
          <w:szCs w:val="18"/>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10" w:history="1">
        <w:r w:rsidRPr="00CC5210">
          <w:rPr>
            <w:rStyle w:val="Hyperlink"/>
            <w:rFonts w:ascii="Verdana" w:hAnsi="Verdana"/>
            <w:sz w:val="18"/>
            <w:szCs w:val="18"/>
            <w:lang w:val="el-GR"/>
          </w:rPr>
          <w:t>Τουρισμός</w:t>
        </w:r>
      </w:hyperlink>
    </w:p>
    <w:p w14:paraId="2453992A" w14:textId="77777777" w:rsidR="00223E27" w:rsidRPr="00395239" w:rsidRDefault="00000000" w:rsidP="00223E27">
      <w:pPr>
        <w:rPr>
          <w:rFonts w:ascii="Verdana" w:hAnsi="Verdana"/>
          <w:sz w:val="18"/>
          <w:szCs w:val="18"/>
          <w:lang w:val="el-GR"/>
        </w:rPr>
      </w:pPr>
      <w:hyperlink r:id="rId11"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000000" w:rsidP="00223E27">
      <w:pPr>
        <w:rPr>
          <w:rFonts w:ascii="Verdana" w:hAnsi="Verdana"/>
          <w:sz w:val="18"/>
          <w:szCs w:val="18"/>
          <w:lang w:val="el-GR"/>
        </w:rPr>
      </w:pPr>
      <w:hyperlink r:id="rId12"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000000" w:rsidP="00C44CDD">
      <w:pPr>
        <w:jc w:val="both"/>
        <w:rPr>
          <w:rFonts w:ascii="Verdana" w:hAnsi="Verdana"/>
          <w:sz w:val="18"/>
          <w:szCs w:val="18"/>
          <w:lang w:val="el-GR"/>
        </w:rPr>
      </w:pPr>
      <w:hyperlink r:id="rId13"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Λουκία Παναγίδου</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4"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69D4" w14:textId="77777777" w:rsidR="00ED2868" w:rsidRDefault="00ED2868" w:rsidP="00FB398F">
      <w:r>
        <w:separator/>
      </w:r>
    </w:p>
  </w:endnote>
  <w:endnote w:type="continuationSeparator" w:id="0">
    <w:p w14:paraId="3370F6AB" w14:textId="77777777" w:rsidR="00ED2868" w:rsidRDefault="00ED2868"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E63F2F">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r w:rsidR="00000000">
      <w:fldChar w:fldCharType="begin"/>
    </w:r>
    <w:r w:rsidR="00000000">
      <w:instrText>HYPERLINK</w:instrText>
    </w:r>
    <w:r w:rsidR="00000000" w:rsidRPr="00B978FE">
      <w:rPr>
        <w:lang w:val="el-GR"/>
      </w:rPr>
      <w:instrText xml:space="preserve"> "</w:instrText>
    </w:r>
    <w:r w:rsidR="00000000">
      <w:instrText>mailto</w:instrText>
    </w:r>
    <w:r w:rsidR="00000000" w:rsidRPr="00B978FE">
      <w:rPr>
        <w:lang w:val="el-GR"/>
      </w:rPr>
      <w:instrText>:</w:instrText>
    </w:r>
    <w:r w:rsidR="00000000">
      <w:instrText>enquiries</w:instrText>
    </w:r>
    <w:r w:rsidR="00000000" w:rsidRPr="00B978FE">
      <w:rPr>
        <w:lang w:val="el-GR"/>
      </w:rPr>
      <w:instrText>@</w:instrText>
    </w:r>
    <w:r w:rsidR="00000000">
      <w:instrText>cystat</w:instrText>
    </w:r>
    <w:r w:rsidR="00000000" w:rsidRPr="00B978FE">
      <w:rPr>
        <w:lang w:val="el-GR"/>
      </w:rPr>
      <w:instrText>.</w:instrText>
    </w:r>
    <w:r w:rsidR="00000000">
      <w:instrText>mof</w:instrText>
    </w:r>
    <w:r w:rsidR="00000000" w:rsidRPr="00B978FE">
      <w:rPr>
        <w:lang w:val="el-GR"/>
      </w:rPr>
      <w:instrText>.</w:instrText>
    </w:r>
    <w:r w:rsidR="00000000">
      <w:instrText>gov</w:instrText>
    </w:r>
    <w:r w:rsidR="00000000" w:rsidRPr="00B978FE">
      <w:rPr>
        <w:lang w:val="el-GR"/>
      </w:rPr>
      <w:instrText>.</w:instrText>
    </w:r>
    <w:r w:rsidR="00000000">
      <w:instrText>cy</w:instrText>
    </w:r>
    <w:r w:rsidR="00000000" w:rsidRPr="00B978FE">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EEEA" w14:textId="77777777" w:rsidR="00ED2868" w:rsidRDefault="00ED2868" w:rsidP="00FB398F">
      <w:r>
        <w:separator/>
      </w:r>
    </w:p>
  </w:footnote>
  <w:footnote w:type="continuationSeparator" w:id="0">
    <w:p w14:paraId="7D2E0AFE" w14:textId="77777777" w:rsidR="00ED2868" w:rsidRDefault="00ED2868"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06F86"/>
    <w:rsid w:val="00007347"/>
    <w:rsid w:val="00013E40"/>
    <w:rsid w:val="00013F7F"/>
    <w:rsid w:val="000161B1"/>
    <w:rsid w:val="00025A39"/>
    <w:rsid w:val="00027853"/>
    <w:rsid w:val="00027CF3"/>
    <w:rsid w:val="00030E18"/>
    <w:rsid w:val="00031D32"/>
    <w:rsid w:val="0003603D"/>
    <w:rsid w:val="00045088"/>
    <w:rsid w:val="000456F8"/>
    <w:rsid w:val="00045A06"/>
    <w:rsid w:val="00050391"/>
    <w:rsid w:val="00055291"/>
    <w:rsid w:val="000563D3"/>
    <w:rsid w:val="00057E44"/>
    <w:rsid w:val="00061299"/>
    <w:rsid w:val="00070576"/>
    <w:rsid w:val="00072002"/>
    <w:rsid w:val="00073B96"/>
    <w:rsid w:val="000752BB"/>
    <w:rsid w:val="0008019F"/>
    <w:rsid w:val="00080FD7"/>
    <w:rsid w:val="00081ADF"/>
    <w:rsid w:val="000845BC"/>
    <w:rsid w:val="00084A02"/>
    <w:rsid w:val="00084BF7"/>
    <w:rsid w:val="000870E9"/>
    <w:rsid w:val="000932CF"/>
    <w:rsid w:val="00096ED8"/>
    <w:rsid w:val="000A1A88"/>
    <w:rsid w:val="000A2B5C"/>
    <w:rsid w:val="000A3601"/>
    <w:rsid w:val="000A6FA8"/>
    <w:rsid w:val="000C1070"/>
    <w:rsid w:val="000C4E72"/>
    <w:rsid w:val="000C7FEA"/>
    <w:rsid w:val="000D1E7A"/>
    <w:rsid w:val="000D4B21"/>
    <w:rsid w:val="000E1D30"/>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3A4D"/>
    <w:rsid w:val="001253B6"/>
    <w:rsid w:val="001262C3"/>
    <w:rsid w:val="00127320"/>
    <w:rsid w:val="00127456"/>
    <w:rsid w:val="001312D8"/>
    <w:rsid w:val="0013132C"/>
    <w:rsid w:val="0013137B"/>
    <w:rsid w:val="00137B71"/>
    <w:rsid w:val="0014179E"/>
    <w:rsid w:val="001430C9"/>
    <w:rsid w:val="00144E53"/>
    <w:rsid w:val="0014752A"/>
    <w:rsid w:val="0015118B"/>
    <w:rsid w:val="001519CE"/>
    <w:rsid w:val="00154BB4"/>
    <w:rsid w:val="0015599C"/>
    <w:rsid w:val="00156E34"/>
    <w:rsid w:val="00161CF3"/>
    <w:rsid w:val="00162C00"/>
    <w:rsid w:val="001639EF"/>
    <w:rsid w:val="001656F3"/>
    <w:rsid w:val="0016589F"/>
    <w:rsid w:val="00167CA4"/>
    <w:rsid w:val="001712CF"/>
    <w:rsid w:val="0017494A"/>
    <w:rsid w:val="0017769A"/>
    <w:rsid w:val="00183DFC"/>
    <w:rsid w:val="001841B3"/>
    <w:rsid w:val="00184384"/>
    <w:rsid w:val="00186717"/>
    <w:rsid w:val="00187FFC"/>
    <w:rsid w:val="0019391C"/>
    <w:rsid w:val="001979A4"/>
    <w:rsid w:val="001A0F65"/>
    <w:rsid w:val="001A2018"/>
    <w:rsid w:val="001A48DE"/>
    <w:rsid w:val="001B2C39"/>
    <w:rsid w:val="001B3675"/>
    <w:rsid w:val="001B3A69"/>
    <w:rsid w:val="001B5E10"/>
    <w:rsid w:val="001B6AB3"/>
    <w:rsid w:val="001B73D5"/>
    <w:rsid w:val="001C0681"/>
    <w:rsid w:val="001C0CBB"/>
    <w:rsid w:val="001C62B3"/>
    <w:rsid w:val="001C7C8C"/>
    <w:rsid w:val="001C7D56"/>
    <w:rsid w:val="001D0D6A"/>
    <w:rsid w:val="001D20A4"/>
    <w:rsid w:val="001E00D1"/>
    <w:rsid w:val="001E0E58"/>
    <w:rsid w:val="001E14F3"/>
    <w:rsid w:val="001E15ED"/>
    <w:rsid w:val="001E61AA"/>
    <w:rsid w:val="0020309E"/>
    <w:rsid w:val="002049FA"/>
    <w:rsid w:val="00205AE2"/>
    <w:rsid w:val="00210B58"/>
    <w:rsid w:val="0021310D"/>
    <w:rsid w:val="002215EC"/>
    <w:rsid w:val="00222423"/>
    <w:rsid w:val="00223E27"/>
    <w:rsid w:val="00225B28"/>
    <w:rsid w:val="00226891"/>
    <w:rsid w:val="002303CC"/>
    <w:rsid w:val="00230D9B"/>
    <w:rsid w:val="002313AC"/>
    <w:rsid w:val="00235FB2"/>
    <w:rsid w:val="0023632B"/>
    <w:rsid w:val="00237BC1"/>
    <w:rsid w:val="002430B4"/>
    <w:rsid w:val="002447D0"/>
    <w:rsid w:val="002454C5"/>
    <w:rsid w:val="00245E19"/>
    <w:rsid w:val="00246AEB"/>
    <w:rsid w:val="00250005"/>
    <w:rsid w:val="002522FA"/>
    <w:rsid w:val="0025254F"/>
    <w:rsid w:val="00254A64"/>
    <w:rsid w:val="0025566D"/>
    <w:rsid w:val="0025595C"/>
    <w:rsid w:val="00257149"/>
    <w:rsid w:val="00257421"/>
    <w:rsid w:val="002576E7"/>
    <w:rsid w:val="00260357"/>
    <w:rsid w:val="00264F04"/>
    <w:rsid w:val="00267554"/>
    <w:rsid w:val="0028338F"/>
    <w:rsid w:val="00286E50"/>
    <w:rsid w:val="002915C4"/>
    <w:rsid w:val="00293362"/>
    <w:rsid w:val="00296E5C"/>
    <w:rsid w:val="00297E6B"/>
    <w:rsid w:val="002A1D1C"/>
    <w:rsid w:val="002A4D64"/>
    <w:rsid w:val="002A6695"/>
    <w:rsid w:val="002B4969"/>
    <w:rsid w:val="002B6554"/>
    <w:rsid w:val="002D05F0"/>
    <w:rsid w:val="002D2199"/>
    <w:rsid w:val="002D2829"/>
    <w:rsid w:val="002D29B0"/>
    <w:rsid w:val="002D7D4A"/>
    <w:rsid w:val="002E3846"/>
    <w:rsid w:val="002E3F78"/>
    <w:rsid w:val="002F0395"/>
    <w:rsid w:val="002F2303"/>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4800"/>
    <w:rsid w:val="00336C36"/>
    <w:rsid w:val="00343815"/>
    <w:rsid w:val="003462BB"/>
    <w:rsid w:val="00350F33"/>
    <w:rsid w:val="003522BB"/>
    <w:rsid w:val="00352F6C"/>
    <w:rsid w:val="003556EA"/>
    <w:rsid w:val="00360165"/>
    <w:rsid w:val="00362350"/>
    <w:rsid w:val="00386FC7"/>
    <w:rsid w:val="00390A32"/>
    <w:rsid w:val="003A1E91"/>
    <w:rsid w:val="003A40F2"/>
    <w:rsid w:val="003A50D1"/>
    <w:rsid w:val="003B196D"/>
    <w:rsid w:val="003B2710"/>
    <w:rsid w:val="003B31DF"/>
    <w:rsid w:val="003B4608"/>
    <w:rsid w:val="003C2392"/>
    <w:rsid w:val="003C5174"/>
    <w:rsid w:val="003C5240"/>
    <w:rsid w:val="003C76E6"/>
    <w:rsid w:val="003D14E0"/>
    <w:rsid w:val="003D1EA5"/>
    <w:rsid w:val="003D3348"/>
    <w:rsid w:val="003D4E63"/>
    <w:rsid w:val="003D6822"/>
    <w:rsid w:val="003D724C"/>
    <w:rsid w:val="003E0CE2"/>
    <w:rsid w:val="003F49E4"/>
    <w:rsid w:val="003F4B95"/>
    <w:rsid w:val="003F4D2F"/>
    <w:rsid w:val="003F5E32"/>
    <w:rsid w:val="003F6C30"/>
    <w:rsid w:val="003F75F6"/>
    <w:rsid w:val="00400562"/>
    <w:rsid w:val="00404670"/>
    <w:rsid w:val="004143D3"/>
    <w:rsid w:val="00414CA0"/>
    <w:rsid w:val="00422F54"/>
    <w:rsid w:val="00427217"/>
    <w:rsid w:val="00431516"/>
    <w:rsid w:val="004361B3"/>
    <w:rsid w:val="0044249D"/>
    <w:rsid w:val="0044379F"/>
    <w:rsid w:val="00444FCC"/>
    <w:rsid w:val="00446FB1"/>
    <w:rsid w:val="00452753"/>
    <w:rsid w:val="0046078F"/>
    <w:rsid w:val="00461A77"/>
    <w:rsid w:val="00463214"/>
    <w:rsid w:val="0046434D"/>
    <w:rsid w:val="004656FA"/>
    <w:rsid w:val="00470295"/>
    <w:rsid w:val="004708C3"/>
    <w:rsid w:val="00471D77"/>
    <w:rsid w:val="00475587"/>
    <w:rsid w:val="00477DA8"/>
    <w:rsid w:val="00480BC2"/>
    <w:rsid w:val="00480C28"/>
    <w:rsid w:val="004845C3"/>
    <w:rsid w:val="004929C2"/>
    <w:rsid w:val="00493FDD"/>
    <w:rsid w:val="0049586B"/>
    <w:rsid w:val="004A3E44"/>
    <w:rsid w:val="004A731F"/>
    <w:rsid w:val="004B2018"/>
    <w:rsid w:val="004B2813"/>
    <w:rsid w:val="004B2896"/>
    <w:rsid w:val="004B38E9"/>
    <w:rsid w:val="004B3FBA"/>
    <w:rsid w:val="004B6599"/>
    <w:rsid w:val="004C6CA7"/>
    <w:rsid w:val="004D4357"/>
    <w:rsid w:val="004D4380"/>
    <w:rsid w:val="004D4950"/>
    <w:rsid w:val="004E1D17"/>
    <w:rsid w:val="004E2393"/>
    <w:rsid w:val="004E3745"/>
    <w:rsid w:val="004E42BE"/>
    <w:rsid w:val="004E4F42"/>
    <w:rsid w:val="004E63D5"/>
    <w:rsid w:val="004E6488"/>
    <w:rsid w:val="004F03FD"/>
    <w:rsid w:val="004F52F0"/>
    <w:rsid w:val="004F6250"/>
    <w:rsid w:val="004F677C"/>
    <w:rsid w:val="004F6D8F"/>
    <w:rsid w:val="00505444"/>
    <w:rsid w:val="00505503"/>
    <w:rsid w:val="0051107B"/>
    <w:rsid w:val="00512844"/>
    <w:rsid w:val="00512F9C"/>
    <w:rsid w:val="00514BEF"/>
    <w:rsid w:val="0052523A"/>
    <w:rsid w:val="00527CDB"/>
    <w:rsid w:val="005341C9"/>
    <w:rsid w:val="00535CAB"/>
    <w:rsid w:val="005369CA"/>
    <w:rsid w:val="00536DE9"/>
    <w:rsid w:val="00541E08"/>
    <w:rsid w:val="00554FE0"/>
    <w:rsid w:val="0055789A"/>
    <w:rsid w:val="005606D6"/>
    <w:rsid w:val="00560952"/>
    <w:rsid w:val="005652D1"/>
    <w:rsid w:val="005660A0"/>
    <w:rsid w:val="00566A4F"/>
    <w:rsid w:val="00567D64"/>
    <w:rsid w:val="00570A97"/>
    <w:rsid w:val="00592994"/>
    <w:rsid w:val="005978D4"/>
    <w:rsid w:val="005A23FA"/>
    <w:rsid w:val="005B2A67"/>
    <w:rsid w:val="005B3DCD"/>
    <w:rsid w:val="005B4AD4"/>
    <w:rsid w:val="005C2798"/>
    <w:rsid w:val="005C36C3"/>
    <w:rsid w:val="005C56EE"/>
    <w:rsid w:val="005C5C74"/>
    <w:rsid w:val="005D1714"/>
    <w:rsid w:val="005D2A01"/>
    <w:rsid w:val="005D7638"/>
    <w:rsid w:val="005F12F5"/>
    <w:rsid w:val="005F7C7D"/>
    <w:rsid w:val="006044B7"/>
    <w:rsid w:val="006071CE"/>
    <w:rsid w:val="006075B5"/>
    <w:rsid w:val="0061018C"/>
    <w:rsid w:val="0061094E"/>
    <w:rsid w:val="00613440"/>
    <w:rsid w:val="00613BE3"/>
    <w:rsid w:val="006149D2"/>
    <w:rsid w:val="00614DD7"/>
    <w:rsid w:val="006178CD"/>
    <w:rsid w:val="00622814"/>
    <w:rsid w:val="00623212"/>
    <w:rsid w:val="0062327B"/>
    <w:rsid w:val="00632777"/>
    <w:rsid w:val="00633750"/>
    <w:rsid w:val="00634491"/>
    <w:rsid w:val="00635674"/>
    <w:rsid w:val="0063679C"/>
    <w:rsid w:val="00637055"/>
    <w:rsid w:val="00641D59"/>
    <w:rsid w:val="00644507"/>
    <w:rsid w:val="00646880"/>
    <w:rsid w:val="00647D2A"/>
    <w:rsid w:val="0065011E"/>
    <w:rsid w:val="006537BB"/>
    <w:rsid w:val="0065643E"/>
    <w:rsid w:val="00667E07"/>
    <w:rsid w:val="00671785"/>
    <w:rsid w:val="00672BA9"/>
    <w:rsid w:val="00673005"/>
    <w:rsid w:val="006804BE"/>
    <w:rsid w:val="00682583"/>
    <w:rsid w:val="0068434A"/>
    <w:rsid w:val="00687DA3"/>
    <w:rsid w:val="0069008E"/>
    <w:rsid w:val="0069087E"/>
    <w:rsid w:val="00691AEC"/>
    <w:rsid w:val="006925C4"/>
    <w:rsid w:val="00692697"/>
    <w:rsid w:val="006A02B7"/>
    <w:rsid w:val="006A7019"/>
    <w:rsid w:val="006B433F"/>
    <w:rsid w:val="006B46D5"/>
    <w:rsid w:val="006B46F4"/>
    <w:rsid w:val="006C32FD"/>
    <w:rsid w:val="006C7AF3"/>
    <w:rsid w:val="006D048F"/>
    <w:rsid w:val="006D0B9D"/>
    <w:rsid w:val="006D6548"/>
    <w:rsid w:val="006E0E20"/>
    <w:rsid w:val="006E4256"/>
    <w:rsid w:val="006E475B"/>
    <w:rsid w:val="006E4BBA"/>
    <w:rsid w:val="006E5F43"/>
    <w:rsid w:val="006E60A6"/>
    <w:rsid w:val="006F0F69"/>
    <w:rsid w:val="006F116B"/>
    <w:rsid w:val="006F117F"/>
    <w:rsid w:val="006F13DF"/>
    <w:rsid w:val="006F2780"/>
    <w:rsid w:val="006F3C61"/>
    <w:rsid w:val="00702F26"/>
    <w:rsid w:val="0070313E"/>
    <w:rsid w:val="00703799"/>
    <w:rsid w:val="00705C5C"/>
    <w:rsid w:val="00711475"/>
    <w:rsid w:val="00715D4B"/>
    <w:rsid w:val="00722E98"/>
    <w:rsid w:val="0072548A"/>
    <w:rsid w:val="007277A6"/>
    <w:rsid w:val="0073051C"/>
    <w:rsid w:val="007437AB"/>
    <w:rsid w:val="00744074"/>
    <w:rsid w:val="00745425"/>
    <w:rsid w:val="007534D1"/>
    <w:rsid w:val="007534F8"/>
    <w:rsid w:val="007545AD"/>
    <w:rsid w:val="00754A4D"/>
    <w:rsid w:val="007571ED"/>
    <w:rsid w:val="00760552"/>
    <w:rsid w:val="00760731"/>
    <w:rsid w:val="00761CC7"/>
    <w:rsid w:val="00761EFD"/>
    <w:rsid w:val="00763722"/>
    <w:rsid w:val="00764BC1"/>
    <w:rsid w:val="00770869"/>
    <w:rsid w:val="007738AA"/>
    <w:rsid w:val="00777741"/>
    <w:rsid w:val="00780A62"/>
    <w:rsid w:val="00783241"/>
    <w:rsid w:val="00784BDC"/>
    <w:rsid w:val="00792087"/>
    <w:rsid w:val="00792F28"/>
    <w:rsid w:val="007935CA"/>
    <w:rsid w:val="0079543F"/>
    <w:rsid w:val="00795880"/>
    <w:rsid w:val="007A4367"/>
    <w:rsid w:val="007B0867"/>
    <w:rsid w:val="007B1AC1"/>
    <w:rsid w:val="007B5A08"/>
    <w:rsid w:val="007B65E6"/>
    <w:rsid w:val="007B693D"/>
    <w:rsid w:val="007C4CDC"/>
    <w:rsid w:val="007E041B"/>
    <w:rsid w:val="007E14E9"/>
    <w:rsid w:val="007E199A"/>
    <w:rsid w:val="007E1AED"/>
    <w:rsid w:val="007E2415"/>
    <w:rsid w:val="007E39F3"/>
    <w:rsid w:val="007E405E"/>
    <w:rsid w:val="007E4757"/>
    <w:rsid w:val="007E68F4"/>
    <w:rsid w:val="007E6DE2"/>
    <w:rsid w:val="007F31BA"/>
    <w:rsid w:val="007F4078"/>
    <w:rsid w:val="0080014B"/>
    <w:rsid w:val="00801793"/>
    <w:rsid w:val="00803642"/>
    <w:rsid w:val="00806EA2"/>
    <w:rsid w:val="00812A2B"/>
    <w:rsid w:val="00812A9F"/>
    <w:rsid w:val="00814A4C"/>
    <w:rsid w:val="008165AA"/>
    <w:rsid w:val="00817B36"/>
    <w:rsid w:val="00831AAB"/>
    <w:rsid w:val="00833BCD"/>
    <w:rsid w:val="00834B82"/>
    <w:rsid w:val="0083574E"/>
    <w:rsid w:val="0083640C"/>
    <w:rsid w:val="008374E3"/>
    <w:rsid w:val="00840D3A"/>
    <w:rsid w:val="0084157B"/>
    <w:rsid w:val="00842BFB"/>
    <w:rsid w:val="00846B85"/>
    <w:rsid w:val="00847DC3"/>
    <w:rsid w:val="00847F49"/>
    <w:rsid w:val="008508DB"/>
    <w:rsid w:val="008535C5"/>
    <w:rsid w:val="00853765"/>
    <w:rsid w:val="0085516F"/>
    <w:rsid w:val="00867186"/>
    <w:rsid w:val="00870AF6"/>
    <w:rsid w:val="00872376"/>
    <w:rsid w:val="00877452"/>
    <w:rsid w:val="00881268"/>
    <w:rsid w:val="0088394A"/>
    <w:rsid w:val="008860BD"/>
    <w:rsid w:val="00887399"/>
    <w:rsid w:val="0088779E"/>
    <w:rsid w:val="008912AF"/>
    <w:rsid w:val="00892114"/>
    <w:rsid w:val="0089251F"/>
    <w:rsid w:val="00892CB9"/>
    <w:rsid w:val="008935CB"/>
    <w:rsid w:val="00895842"/>
    <w:rsid w:val="008A0D1A"/>
    <w:rsid w:val="008A3C5D"/>
    <w:rsid w:val="008B0E7E"/>
    <w:rsid w:val="008B65BD"/>
    <w:rsid w:val="008B7900"/>
    <w:rsid w:val="008C71BF"/>
    <w:rsid w:val="008C7FD9"/>
    <w:rsid w:val="008C7FE0"/>
    <w:rsid w:val="008D5717"/>
    <w:rsid w:val="008E2F9C"/>
    <w:rsid w:val="008E44A9"/>
    <w:rsid w:val="008E6659"/>
    <w:rsid w:val="008E6B4D"/>
    <w:rsid w:val="008E6BFF"/>
    <w:rsid w:val="008F21AF"/>
    <w:rsid w:val="008F2400"/>
    <w:rsid w:val="008F6024"/>
    <w:rsid w:val="008F61BA"/>
    <w:rsid w:val="008F6E3C"/>
    <w:rsid w:val="008F7C55"/>
    <w:rsid w:val="0090458B"/>
    <w:rsid w:val="00914A23"/>
    <w:rsid w:val="00930754"/>
    <w:rsid w:val="00934F68"/>
    <w:rsid w:val="009355AC"/>
    <w:rsid w:val="00935F38"/>
    <w:rsid w:val="00937586"/>
    <w:rsid w:val="00946E55"/>
    <w:rsid w:val="00947889"/>
    <w:rsid w:val="009478BD"/>
    <w:rsid w:val="00950D9C"/>
    <w:rsid w:val="0095226F"/>
    <w:rsid w:val="00960E98"/>
    <w:rsid w:val="0096314C"/>
    <w:rsid w:val="00963A82"/>
    <w:rsid w:val="00972912"/>
    <w:rsid w:val="00972F1C"/>
    <w:rsid w:val="00976D1F"/>
    <w:rsid w:val="00981C81"/>
    <w:rsid w:val="00995B96"/>
    <w:rsid w:val="009A2D24"/>
    <w:rsid w:val="009A2D82"/>
    <w:rsid w:val="009A3F45"/>
    <w:rsid w:val="009A456C"/>
    <w:rsid w:val="009A678A"/>
    <w:rsid w:val="009B00E0"/>
    <w:rsid w:val="009B292A"/>
    <w:rsid w:val="009B3648"/>
    <w:rsid w:val="009B6CC8"/>
    <w:rsid w:val="009B76D5"/>
    <w:rsid w:val="009C165D"/>
    <w:rsid w:val="009C3CEA"/>
    <w:rsid w:val="009C583D"/>
    <w:rsid w:val="009D1B5F"/>
    <w:rsid w:val="009D2109"/>
    <w:rsid w:val="009D2611"/>
    <w:rsid w:val="009D79D2"/>
    <w:rsid w:val="009E247C"/>
    <w:rsid w:val="009E31BA"/>
    <w:rsid w:val="009E581B"/>
    <w:rsid w:val="009F0528"/>
    <w:rsid w:val="009F0806"/>
    <w:rsid w:val="009F233B"/>
    <w:rsid w:val="009F53E1"/>
    <w:rsid w:val="00A05D16"/>
    <w:rsid w:val="00A06088"/>
    <w:rsid w:val="00A0659F"/>
    <w:rsid w:val="00A079BA"/>
    <w:rsid w:val="00A14E8C"/>
    <w:rsid w:val="00A20C70"/>
    <w:rsid w:val="00A22425"/>
    <w:rsid w:val="00A33875"/>
    <w:rsid w:val="00A360A1"/>
    <w:rsid w:val="00A402B3"/>
    <w:rsid w:val="00A41741"/>
    <w:rsid w:val="00A42803"/>
    <w:rsid w:val="00A544B7"/>
    <w:rsid w:val="00A56004"/>
    <w:rsid w:val="00A56DFF"/>
    <w:rsid w:val="00A618CF"/>
    <w:rsid w:val="00A62770"/>
    <w:rsid w:val="00A62EEB"/>
    <w:rsid w:val="00A660FF"/>
    <w:rsid w:val="00A73395"/>
    <w:rsid w:val="00A74AAD"/>
    <w:rsid w:val="00A771E3"/>
    <w:rsid w:val="00A82B4C"/>
    <w:rsid w:val="00A85669"/>
    <w:rsid w:val="00A93A4C"/>
    <w:rsid w:val="00A94D5D"/>
    <w:rsid w:val="00AA1D9B"/>
    <w:rsid w:val="00AA2543"/>
    <w:rsid w:val="00AA2981"/>
    <w:rsid w:val="00AA3804"/>
    <w:rsid w:val="00AA55C2"/>
    <w:rsid w:val="00AB0ACA"/>
    <w:rsid w:val="00AB0BC6"/>
    <w:rsid w:val="00AB1D41"/>
    <w:rsid w:val="00AB7607"/>
    <w:rsid w:val="00AC0F16"/>
    <w:rsid w:val="00AC5E9A"/>
    <w:rsid w:val="00AC6DE9"/>
    <w:rsid w:val="00AC704B"/>
    <w:rsid w:val="00AD553E"/>
    <w:rsid w:val="00AD5848"/>
    <w:rsid w:val="00AE3D6A"/>
    <w:rsid w:val="00AE3D94"/>
    <w:rsid w:val="00AE50F8"/>
    <w:rsid w:val="00AE5ADA"/>
    <w:rsid w:val="00AF6145"/>
    <w:rsid w:val="00B01386"/>
    <w:rsid w:val="00B01915"/>
    <w:rsid w:val="00B01BB5"/>
    <w:rsid w:val="00B026CC"/>
    <w:rsid w:val="00B04AF4"/>
    <w:rsid w:val="00B05214"/>
    <w:rsid w:val="00B102F2"/>
    <w:rsid w:val="00B13527"/>
    <w:rsid w:val="00B155F1"/>
    <w:rsid w:val="00B30D97"/>
    <w:rsid w:val="00B31074"/>
    <w:rsid w:val="00B3181A"/>
    <w:rsid w:val="00B35A7C"/>
    <w:rsid w:val="00B44ECD"/>
    <w:rsid w:val="00B450D1"/>
    <w:rsid w:val="00B521EF"/>
    <w:rsid w:val="00B53D47"/>
    <w:rsid w:val="00B54A25"/>
    <w:rsid w:val="00B57C37"/>
    <w:rsid w:val="00B618C3"/>
    <w:rsid w:val="00B63652"/>
    <w:rsid w:val="00B65FBF"/>
    <w:rsid w:val="00B668B0"/>
    <w:rsid w:val="00B70F5C"/>
    <w:rsid w:val="00B71873"/>
    <w:rsid w:val="00B75AE5"/>
    <w:rsid w:val="00B800C0"/>
    <w:rsid w:val="00B8132B"/>
    <w:rsid w:val="00B84C5A"/>
    <w:rsid w:val="00B858F5"/>
    <w:rsid w:val="00B93668"/>
    <w:rsid w:val="00B944B2"/>
    <w:rsid w:val="00B978FE"/>
    <w:rsid w:val="00BA0CEA"/>
    <w:rsid w:val="00BA2E41"/>
    <w:rsid w:val="00BA68C6"/>
    <w:rsid w:val="00BB12F1"/>
    <w:rsid w:val="00BB276E"/>
    <w:rsid w:val="00BB3FEE"/>
    <w:rsid w:val="00BB4C0A"/>
    <w:rsid w:val="00BB5EB0"/>
    <w:rsid w:val="00BB703E"/>
    <w:rsid w:val="00BB7E54"/>
    <w:rsid w:val="00BC245A"/>
    <w:rsid w:val="00BD0665"/>
    <w:rsid w:val="00BD0BA4"/>
    <w:rsid w:val="00BD16FA"/>
    <w:rsid w:val="00BD41C3"/>
    <w:rsid w:val="00BD488B"/>
    <w:rsid w:val="00BD7CCC"/>
    <w:rsid w:val="00BE002A"/>
    <w:rsid w:val="00BE0283"/>
    <w:rsid w:val="00BE1BC9"/>
    <w:rsid w:val="00BE5CDA"/>
    <w:rsid w:val="00BE608F"/>
    <w:rsid w:val="00BF128C"/>
    <w:rsid w:val="00BF23BB"/>
    <w:rsid w:val="00BF33DD"/>
    <w:rsid w:val="00BF4F06"/>
    <w:rsid w:val="00BF5755"/>
    <w:rsid w:val="00BF684B"/>
    <w:rsid w:val="00C016F3"/>
    <w:rsid w:val="00C1407F"/>
    <w:rsid w:val="00C15193"/>
    <w:rsid w:val="00C15609"/>
    <w:rsid w:val="00C15F6A"/>
    <w:rsid w:val="00C238FE"/>
    <w:rsid w:val="00C23EA7"/>
    <w:rsid w:val="00C256F3"/>
    <w:rsid w:val="00C270A2"/>
    <w:rsid w:val="00C315B5"/>
    <w:rsid w:val="00C35E28"/>
    <w:rsid w:val="00C426AF"/>
    <w:rsid w:val="00C42CF8"/>
    <w:rsid w:val="00C43CB5"/>
    <w:rsid w:val="00C44CDD"/>
    <w:rsid w:val="00C469C1"/>
    <w:rsid w:val="00C47492"/>
    <w:rsid w:val="00C50659"/>
    <w:rsid w:val="00C51B39"/>
    <w:rsid w:val="00C5338A"/>
    <w:rsid w:val="00C54EF9"/>
    <w:rsid w:val="00C56BBF"/>
    <w:rsid w:val="00C572AA"/>
    <w:rsid w:val="00C57A9A"/>
    <w:rsid w:val="00C6016A"/>
    <w:rsid w:val="00C60B3F"/>
    <w:rsid w:val="00C61161"/>
    <w:rsid w:val="00C623EB"/>
    <w:rsid w:val="00C64C6B"/>
    <w:rsid w:val="00C66E37"/>
    <w:rsid w:val="00C66F2E"/>
    <w:rsid w:val="00C675E4"/>
    <w:rsid w:val="00C6785C"/>
    <w:rsid w:val="00C70FD1"/>
    <w:rsid w:val="00C72B76"/>
    <w:rsid w:val="00C733AA"/>
    <w:rsid w:val="00C80B95"/>
    <w:rsid w:val="00C83027"/>
    <w:rsid w:val="00C84B8A"/>
    <w:rsid w:val="00C85E65"/>
    <w:rsid w:val="00C87CA1"/>
    <w:rsid w:val="00C911B4"/>
    <w:rsid w:val="00C91B3B"/>
    <w:rsid w:val="00C94262"/>
    <w:rsid w:val="00C95C23"/>
    <w:rsid w:val="00C976B9"/>
    <w:rsid w:val="00C976E1"/>
    <w:rsid w:val="00CA0078"/>
    <w:rsid w:val="00CA148E"/>
    <w:rsid w:val="00CA3A9A"/>
    <w:rsid w:val="00CA3B04"/>
    <w:rsid w:val="00CB6BC1"/>
    <w:rsid w:val="00CB7021"/>
    <w:rsid w:val="00CD3294"/>
    <w:rsid w:val="00CD4524"/>
    <w:rsid w:val="00CD784D"/>
    <w:rsid w:val="00CF3A1C"/>
    <w:rsid w:val="00CF3C6E"/>
    <w:rsid w:val="00CF40F8"/>
    <w:rsid w:val="00D008DA"/>
    <w:rsid w:val="00D0416F"/>
    <w:rsid w:val="00D05851"/>
    <w:rsid w:val="00D10FED"/>
    <w:rsid w:val="00D11736"/>
    <w:rsid w:val="00D12EE8"/>
    <w:rsid w:val="00D1348C"/>
    <w:rsid w:val="00D14CDF"/>
    <w:rsid w:val="00D15FF1"/>
    <w:rsid w:val="00D166F2"/>
    <w:rsid w:val="00D167F4"/>
    <w:rsid w:val="00D2092A"/>
    <w:rsid w:val="00D2216D"/>
    <w:rsid w:val="00D31A6F"/>
    <w:rsid w:val="00D350C4"/>
    <w:rsid w:val="00D353D1"/>
    <w:rsid w:val="00D367DB"/>
    <w:rsid w:val="00D36E05"/>
    <w:rsid w:val="00D4167F"/>
    <w:rsid w:val="00D417E8"/>
    <w:rsid w:val="00D44F27"/>
    <w:rsid w:val="00D45304"/>
    <w:rsid w:val="00D46165"/>
    <w:rsid w:val="00D461C7"/>
    <w:rsid w:val="00D50424"/>
    <w:rsid w:val="00D525C9"/>
    <w:rsid w:val="00D57D3E"/>
    <w:rsid w:val="00D64A22"/>
    <w:rsid w:val="00D76249"/>
    <w:rsid w:val="00D76497"/>
    <w:rsid w:val="00D8492D"/>
    <w:rsid w:val="00D94050"/>
    <w:rsid w:val="00D96FE6"/>
    <w:rsid w:val="00DA7D12"/>
    <w:rsid w:val="00DB36BA"/>
    <w:rsid w:val="00DC23CF"/>
    <w:rsid w:val="00DC6562"/>
    <w:rsid w:val="00DD5CA8"/>
    <w:rsid w:val="00DE130D"/>
    <w:rsid w:val="00DE24CF"/>
    <w:rsid w:val="00DE407C"/>
    <w:rsid w:val="00DE7C7D"/>
    <w:rsid w:val="00DF2992"/>
    <w:rsid w:val="00DF2D0C"/>
    <w:rsid w:val="00DF6E5B"/>
    <w:rsid w:val="00E00058"/>
    <w:rsid w:val="00E01B9D"/>
    <w:rsid w:val="00E01D1B"/>
    <w:rsid w:val="00E0226E"/>
    <w:rsid w:val="00E0468F"/>
    <w:rsid w:val="00E04F5E"/>
    <w:rsid w:val="00E0522E"/>
    <w:rsid w:val="00E11B9E"/>
    <w:rsid w:val="00E120F4"/>
    <w:rsid w:val="00E13BAC"/>
    <w:rsid w:val="00E17172"/>
    <w:rsid w:val="00E25188"/>
    <w:rsid w:val="00E3181C"/>
    <w:rsid w:val="00E3280A"/>
    <w:rsid w:val="00E372AF"/>
    <w:rsid w:val="00E37D68"/>
    <w:rsid w:val="00E40282"/>
    <w:rsid w:val="00E40EAE"/>
    <w:rsid w:val="00E436AC"/>
    <w:rsid w:val="00E44F7A"/>
    <w:rsid w:val="00E44FF8"/>
    <w:rsid w:val="00E5066A"/>
    <w:rsid w:val="00E52CF9"/>
    <w:rsid w:val="00E55A2A"/>
    <w:rsid w:val="00E605F8"/>
    <w:rsid w:val="00E61B18"/>
    <w:rsid w:val="00E63F2F"/>
    <w:rsid w:val="00E63F34"/>
    <w:rsid w:val="00E63FEA"/>
    <w:rsid w:val="00E67133"/>
    <w:rsid w:val="00E6715A"/>
    <w:rsid w:val="00E75DC9"/>
    <w:rsid w:val="00E81610"/>
    <w:rsid w:val="00E81F0A"/>
    <w:rsid w:val="00E84910"/>
    <w:rsid w:val="00E85B28"/>
    <w:rsid w:val="00E91976"/>
    <w:rsid w:val="00E91DA9"/>
    <w:rsid w:val="00E93554"/>
    <w:rsid w:val="00E947A6"/>
    <w:rsid w:val="00E97FC7"/>
    <w:rsid w:val="00EA0690"/>
    <w:rsid w:val="00EA3956"/>
    <w:rsid w:val="00EA7136"/>
    <w:rsid w:val="00EB325A"/>
    <w:rsid w:val="00EC02A5"/>
    <w:rsid w:val="00EC176B"/>
    <w:rsid w:val="00EC33CD"/>
    <w:rsid w:val="00EC5BE5"/>
    <w:rsid w:val="00EC7B1D"/>
    <w:rsid w:val="00EC7CA1"/>
    <w:rsid w:val="00ED2650"/>
    <w:rsid w:val="00ED2868"/>
    <w:rsid w:val="00ED721A"/>
    <w:rsid w:val="00EE1767"/>
    <w:rsid w:val="00EE393D"/>
    <w:rsid w:val="00EF01CF"/>
    <w:rsid w:val="00EF0BAB"/>
    <w:rsid w:val="00EF2E44"/>
    <w:rsid w:val="00EF6668"/>
    <w:rsid w:val="00EF6A47"/>
    <w:rsid w:val="00EF7AF9"/>
    <w:rsid w:val="00F00952"/>
    <w:rsid w:val="00F01495"/>
    <w:rsid w:val="00F0554B"/>
    <w:rsid w:val="00F0593F"/>
    <w:rsid w:val="00F10138"/>
    <w:rsid w:val="00F13F92"/>
    <w:rsid w:val="00F14DD3"/>
    <w:rsid w:val="00F2061E"/>
    <w:rsid w:val="00F20917"/>
    <w:rsid w:val="00F22ECA"/>
    <w:rsid w:val="00F240E8"/>
    <w:rsid w:val="00F244FA"/>
    <w:rsid w:val="00F30803"/>
    <w:rsid w:val="00F366A2"/>
    <w:rsid w:val="00F3741D"/>
    <w:rsid w:val="00F429B6"/>
    <w:rsid w:val="00F44F43"/>
    <w:rsid w:val="00F450C0"/>
    <w:rsid w:val="00F450E1"/>
    <w:rsid w:val="00F46B20"/>
    <w:rsid w:val="00F46D7A"/>
    <w:rsid w:val="00F50DF4"/>
    <w:rsid w:val="00F57AFE"/>
    <w:rsid w:val="00F6278E"/>
    <w:rsid w:val="00F63C41"/>
    <w:rsid w:val="00F63E96"/>
    <w:rsid w:val="00F701E3"/>
    <w:rsid w:val="00F71008"/>
    <w:rsid w:val="00F71F8C"/>
    <w:rsid w:val="00F86AD4"/>
    <w:rsid w:val="00F879AF"/>
    <w:rsid w:val="00F905AD"/>
    <w:rsid w:val="00F90E74"/>
    <w:rsid w:val="00F96AC0"/>
    <w:rsid w:val="00FA0113"/>
    <w:rsid w:val="00FA12B2"/>
    <w:rsid w:val="00FA6EC9"/>
    <w:rsid w:val="00FA7610"/>
    <w:rsid w:val="00FB02BD"/>
    <w:rsid w:val="00FB398F"/>
    <w:rsid w:val="00FB4EF8"/>
    <w:rsid w:val="00FB54AE"/>
    <w:rsid w:val="00FB709A"/>
    <w:rsid w:val="00FB730F"/>
    <w:rsid w:val="00FB78DD"/>
    <w:rsid w:val="00FC3EF3"/>
    <w:rsid w:val="00FC5D35"/>
    <w:rsid w:val="00FD2049"/>
    <w:rsid w:val="00FD2140"/>
    <w:rsid w:val="00FD5B5F"/>
    <w:rsid w:val="00FD5BDE"/>
    <w:rsid w:val="00FD68EC"/>
    <w:rsid w:val="00FE24A5"/>
    <w:rsid w:val="00FE31E5"/>
    <w:rsid w:val="00FE6441"/>
    <w:rsid w:val="00FF19AD"/>
    <w:rsid w:val="00FF1EB5"/>
    <w:rsid w:val="00FF292D"/>
    <w:rsid w:val="00FF298D"/>
    <w:rsid w:val="00FF4B55"/>
    <w:rsid w:val="00FF6287"/>
    <w:rsid w:val="00FF6A74"/>
    <w:rsid w:val="00FF73FB"/>
    <w:rsid w:val="00FF7556"/>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23444284">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48306216">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40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MethodologicalDetails?m=21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5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Tourism_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ystat.gov.cy/el/SubthemeStatistics?s=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panagidou@cystat.mof.gov.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Panagidou  Loukia</cp:lastModifiedBy>
  <cp:revision>181</cp:revision>
  <cp:lastPrinted>2023-03-14T09:15:00Z</cp:lastPrinted>
  <dcterms:created xsi:type="dcterms:W3CDTF">2022-06-09T08:07:00Z</dcterms:created>
  <dcterms:modified xsi:type="dcterms:W3CDTF">2023-04-13T06:13:00Z</dcterms:modified>
</cp:coreProperties>
</file>