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749696B5" w14:textId="4C09C0E4" w:rsidR="002A10AB" w:rsidRPr="00545E88" w:rsidRDefault="007B5F30" w:rsidP="002A10AB">
      <w:pPr>
        <w:jc w:val="right"/>
        <w:rPr>
          <w:rFonts w:ascii="Verdana" w:eastAsia="Malgun Gothic" w:hAnsi="Verdana"/>
          <w:sz w:val="18"/>
          <w:szCs w:val="18"/>
        </w:rPr>
      </w:pPr>
      <w:r>
        <w:rPr>
          <w:rFonts w:ascii="Verdana" w:hAnsi="Verdana"/>
          <w:sz w:val="18"/>
          <w:szCs w:val="18"/>
        </w:rPr>
        <w:t>18</w:t>
      </w:r>
      <w:r w:rsidR="002A10AB" w:rsidRPr="00545E88">
        <w:rPr>
          <w:rFonts w:ascii="Verdana" w:hAnsi="Verdana"/>
          <w:sz w:val="18"/>
          <w:szCs w:val="18"/>
        </w:rPr>
        <w:t xml:space="preserve"> </w:t>
      </w:r>
      <w:r>
        <w:rPr>
          <w:rFonts w:ascii="Verdana" w:hAnsi="Verdana"/>
          <w:sz w:val="18"/>
          <w:szCs w:val="18"/>
        </w:rPr>
        <w:t>April</w:t>
      </w:r>
      <w:r w:rsidR="002A10AB" w:rsidRPr="00545E88">
        <w:rPr>
          <w:rFonts w:ascii="Verdana" w:eastAsia="Malgun Gothic" w:hAnsi="Verdana"/>
          <w:sz w:val="18"/>
          <w:szCs w:val="18"/>
        </w:rPr>
        <w:t>, 202</w:t>
      </w:r>
      <w:r w:rsidR="008641E3" w:rsidRPr="00545E88">
        <w:rPr>
          <w:rFonts w:ascii="Verdana" w:eastAsia="Malgun Gothic" w:hAnsi="Verdana"/>
          <w:sz w:val="18"/>
          <w:szCs w:val="18"/>
        </w:rPr>
        <w:t>3</w:t>
      </w:r>
    </w:p>
    <w:p w14:paraId="50208800" w14:textId="77777777" w:rsidR="002A10AB" w:rsidRPr="00545E88" w:rsidRDefault="002A10AB" w:rsidP="002A10AB">
      <w:pPr>
        <w:jc w:val="both"/>
        <w:rPr>
          <w:rFonts w:ascii="Verdana" w:hAnsi="Verdana" w:cs="Arial"/>
          <w:sz w:val="18"/>
          <w:szCs w:val="18"/>
        </w:rPr>
      </w:pPr>
    </w:p>
    <w:p w14:paraId="0B0E57B9" w14:textId="77777777" w:rsidR="002A10AB" w:rsidRPr="00545E88" w:rsidRDefault="002A10AB" w:rsidP="002A10AB">
      <w:pPr>
        <w:jc w:val="center"/>
        <w:rPr>
          <w:rFonts w:ascii="Verdana" w:eastAsia="Malgun Gothic" w:hAnsi="Verdana" w:cs="Arial"/>
          <w:b/>
          <w:sz w:val="18"/>
          <w:szCs w:val="18"/>
        </w:rPr>
      </w:pPr>
    </w:p>
    <w:p w14:paraId="40480104" w14:textId="77777777" w:rsidR="002A10AB" w:rsidRPr="00545E88" w:rsidRDefault="002A10AB" w:rsidP="002A10AB">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A20374">
      <w:pPr>
        <w:jc w:val="center"/>
        <w:rPr>
          <w:rFonts w:ascii="Verdana" w:eastAsia="Malgun Gothic" w:hAnsi="Verdana" w:cs="Arial"/>
          <w:sz w:val="18"/>
          <w:szCs w:val="18"/>
        </w:rPr>
      </w:pPr>
    </w:p>
    <w:p w14:paraId="414B37F9" w14:textId="5F684799" w:rsidR="002A10AB" w:rsidRPr="00545E88" w:rsidRDefault="002A10AB" w:rsidP="00545E88">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7B5F30">
        <w:rPr>
          <w:rFonts w:ascii="Verdana" w:eastAsia="Malgun Gothic" w:hAnsi="Verdana" w:cs="Arial"/>
          <w:szCs w:val="22"/>
          <w:lang w:val="en-US"/>
        </w:rPr>
        <w:t>MARCH</w:t>
      </w:r>
      <w:r w:rsidRPr="00545E88">
        <w:rPr>
          <w:rFonts w:ascii="Verdana" w:eastAsia="Malgun Gothic" w:hAnsi="Verdana" w:cs="Arial"/>
          <w:szCs w:val="22"/>
          <w:lang w:val="en-US"/>
        </w:rPr>
        <w:t xml:space="preserve"> 202</w:t>
      </w:r>
      <w:r w:rsidR="00A20374" w:rsidRPr="00545E88">
        <w:rPr>
          <w:rFonts w:ascii="Verdana" w:eastAsia="Malgun Gothic" w:hAnsi="Verdana" w:cs="Arial"/>
          <w:szCs w:val="22"/>
          <w:lang w:val="en-US"/>
        </w:rPr>
        <w:t>3</w:t>
      </w:r>
    </w:p>
    <w:p w14:paraId="7DAF1DBA" w14:textId="17AF48B7" w:rsidR="002A10AB" w:rsidRPr="00545E88" w:rsidRDefault="002A10AB" w:rsidP="002A10AB">
      <w:pPr>
        <w:rPr>
          <w:rFonts w:ascii="Verdana" w:eastAsia="Malgun Gothic" w:hAnsi="Verdana" w:cs="Arial"/>
          <w:sz w:val="18"/>
          <w:szCs w:val="18"/>
        </w:rPr>
      </w:pPr>
    </w:p>
    <w:p w14:paraId="3A856062" w14:textId="77777777" w:rsidR="0055624D" w:rsidRPr="00545E88" w:rsidRDefault="0055624D" w:rsidP="002A10AB">
      <w:pPr>
        <w:rPr>
          <w:rFonts w:ascii="Verdana" w:eastAsia="Malgun Gothic" w:hAnsi="Verdana" w:cs="Arial"/>
          <w:sz w:val="18"/>
          <w:szCs w:val="18"/>
        </w:rPr>
      </w:pPr>
    </w:p>
    <w:p w14:paraId="23DC0A71" w14:textId="7BEDA922" w:rsidR="00B969D8" w:rsidRPr="00545E88" w:rsidRDefault="0055624D" w:rsidP="00B969D8">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545E88">
        <w:rPr>
          <w:rFonts w:ascii="Verdana" w:eastAsia="Malgun Gothic" w:hAnsi="Verdana" w:cs="Arial"/>
          <w:b/>
        </w:rPr>
        <w:t>+</w:t>
      </w:r>
      <w:r w:rsidR="007B5F30" w:rsidRPr="007B5F30">
        <w:rPr>
          <w:rFonts w:ascii="Verdana" w:eastAsia="Malgun Gothic" w:hAnsi="Verdana" w:cs="Arial"/>
          <w:b/>
        </w:rPr>
        <w:t>43,0</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545E88">
        <w:rPr>
          <w:rFonts w:ascii="Verdana" w:eastAsia="Malgun Gothic" w:hAnsi="Verdana" w:cs="Arial"/>
          <w:b/>
        </w:rPr>
        <w:t>+</w:t>
      </w:r>
      <w:r w:rsidR="007B5F30" w:rsidRPr="007B5F30">
        <w:rPr>
          <w:rFonts w:ascii="Verdana" w:eastAsia="Malgun Gothic" w:hAnsi="Verdana" w:cs="Arial"/>
          <w:b/>
        </w:rPr>
        <w:t>89,9</w:t>
      </w:r>
      <w:r w:rsidR="00B969D8" w:rsidRPr="00545E88">
        <w:rPr>
          <w:rFonts w:ascii="Verdana" w:eastAsia="Malgun Gothic" w:hAnsi="Verdana" w:cs="Arial"/>
          <w:b/>
        </w:rPr>
        <w:t>%</w:t>
      </w:r>
    </w:p>
    <w:p w14:paraId="43B6FBF1" w14:textId="37FCB3D7" w:rsidR="0055624D" w:rsidRPr="00545E88" w:rsidRDefault="0055624D" w:rsidP="0055624D">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55624D">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C01754">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2A10AB">
      <w:pPr>
        <w:tabs>
          <w:tab w:val="left" w:pos="1080"/>
          <w:tab w:val="left" w:pos="6840"/>
        </w:tabs>
        <w:jc w:val="both"/>
        <w:rPr>
          <w:rFonts w:ascii="Verdana" w:hAnsi="Verdana" w:cs="Arial"/>
          <w:sz w:val="18"/>
          <w:szCs w:val="18"/>
        </w:rPr>
      </w:pPr>
    </w:p>
    <w:p w14:paraId="2047917A" w14:textId="792D3767" w:rsidR="002A10AB" w:rsidRPr="00545E88" w:rsidRDefault="0055624D" w:rsidP="0055624D">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7B5F30" w:rsidRPr="007B5F30">
        <w:rPr>
          <w:rFonts w:ascii="Verdana" w:eastAsia="Malgun Gothic" w:hAnsi="Verdana"/>
          <w:sz w:val="18"/>
          <w:szCs w:val="18"/>
          <w:lang w:val="en-US"/>
        </w:rPr>
        <w:t>184.263</w:t>
      </w:r>
      <w:r w:rsidR="007B5F30">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7B5F30">
        <w:rPr>
          <w:rFonts w:ascii="Verdana" w:eastAsia="Malgun Gothic" w:hAnsi="Verdana"/>
          <w:sz w:val="18"/>
          <w:szCs w:val="18"/>
          <w:lang w:val="en-US"/>
        </w:rPr>
        <w:t>March</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compared to </w:t>
      </w:r>
      <w:r w:rsidR="007B5F30" w:rsidRPr="007B5F30">
        <w:rPr>
          <w:rFonts w:ascii="Verdana" w:eastAsia="Malgun Gothic" w:hAnsi="Verdana"/>
          <w:sz w:val="18"/>
          <w:szCs w:val="18"/>
          <w:lang w:val="en-US"/>
        </w:rPr>
        <w:t>128.840</w:t>
      </w:r>
      <w:r w:rsidRPr="00545E88">
        <w:rPr>
          <w:rFonts w:ascii="Verdana" w:eastAsia="Malgun Gothic" w:hAnsi="Verdana"/>
          <w:sz w:val="18"/>
          <w:szCs w:val="18"/>
          <w:lang w:val="en-US"/>
        </w:rPr>
        <w:t xml:space="preserve"> in </w:t>
      </w:r>
      <w:r w:rsidR="007B5F30">
        <w:rPr>
          <w:rFonts w:ascii="Verdana" w:eastAsia="Malgun Gothic" w:hAnsi="Verdana"/>
          <w:sz w:val="18"/>
          <w:szCs w:val="18"/>
          <w:lang w:val="en-US"/>
        </w:rPr>
        <w:t>March</w:t>
      </w:r>
      <w:r w:rsidRPr="00545E88">
        <w:rPr>
          <w:rFonts w:ascii="Verdana" w:eastAsia="Malgun Gothic" w:hAnsi="Verdana"/>
          <w:sz w:val="18"/>
          <w:szCs w:val="18"/>
          <w:lang w:val="en-US"/>
        </w:rPr>
        <w:t xml:space="preserve"> 202</w:t>
      </w:r>
      <w:r w:rsidR="00A20374"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recording an increase of </w:t>
      </w:r>
      <w:r w:rsidR="007B5F30" w:rsidRPr="00701CAD">
        <w:rPr>
          <w:rFonts w:ascii="Verdana" w:eastAsia="Malgun Gothic" w:hAnsi="Verdana"/>
          <w:sz w:val="18"/>
          <w:szCs w:val="18"/>
          <w:lang w:val="en-US"/>
        </w:rPr>
        <w:t>43,0</w:t>
      </w:r>
      <w:r w:rsidRPr="00545E88">
        <w:rPr>
          <w:rFonts w:ascii="Verdana" w:eastAsia="Malgun Gothic" w:hAnsi="Verdana"/>
          <w:sz w:val="18"/>
          <w:szCs w:val="18"/>
          <w:lang w:val="en-US"/>
        </w:rPr>
        <w:t xml:space="preserve">%. </w:t>
      </w:r>
    </w:p>
    <w:p w14:paraId="74A4C75D" w14:textId="77777777" w:rsidR="002A10AB" w:rsidRPr="00545E88" w:rsidRDefault="002A10AB" w:rsidP="002A10AB">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70813703" w14:textId="0F965D2E" w:rsidR="002A10AB" w:rsidRPr="00545E88" w:rsidRDefault="002A10AB" w:rsidP="002A10AB">
      <w:pPr>
        <w:pStyle w:val="BodyText"/>
        <w:ind w:right="176"/>
        <w:rPr>
          <w:rFonts w:ascii="Verdana" w:eastAsia="Malgun Gothic" w:hAnsi="Verdana"/>
          <w:sz w:val="18"/>
          <w:szCs w:val="18"/>
          <w:lang w:val="en-US"/>
        </w:rPr>
      </w:pPr>
      <w:r w:rsidRPr="00545E88">
        <w:rPr>
          <w:rFonts w:ascii="Verdana" w:eastAsia="Malgun Gothic" w:hAnsi="Verdana"/>
          <w:sz w:val="18"/>
          <w:szCs w:val="18"/>
          <w:lang w:val="en-US"/>
        </w:rPr>
        <w:t xml:space="preserve">For the period of January – </w:t>
      </w:r>
      <w:r w:rsidR="007B5F30">
        <w:rPr>
          <w:rFonts w:ascii="Verdana" w:eastAsia="Malgun Gothic" w:hAnsi="Verdana"/>
          <w:sz w:val="18"/>
          <w:szCs w:val="18"/>
          <w:lang w:val="en-US"/>
        </w:rPr>
        <w:t>March</w:t>
      </w:r>
      <w:r w:rsidRPr="00545E88">
        <w:rPr>
          <w:rFonts w:ascii="Verdana" w:eastAsia="Malgun Gothic" w:hAnsi="Verdana"/>
          <w:sz w:val="18"/>
          <w:szCs w:val="18"/>
          <w:lang w:val="en-US"/>
        </w:rPr>
        <w:t xml:space="preserve"> 202</w:t>
      </w:r>
      <w:r w:rsidR="004C434A" w:rsidRPr="00545E88">
        <w:rPr>
          <w:rFonts w:ascii="Verdana" w:eastAsia="Malgun Gothic" w:hAnsi="Verdana"/>
          <w:sz w:val="18"/>
          <w:szCs w:val="18"/>
          <w:lang w:val="en-US"/>
        </w:rPr>
        <w:t>3</w:t>
      </w:r>
      <w:r w:rsidRPr="00545E88">
        <w:rPr>
          <w:rFonts w:ascii="Verdana" w:eastAsia="Malgun Gothic" w:hAnsi="Verdana"/>
          <w:sz w:val="18"/>
          <w:szCs w:val="18"/>
          <w:lang w:val="en-US"/>
        </w:rPr>
        <w:t xml:space="preserve">, arrivals of tourists totaled </w:t>
      </w:r>
      <w:r w:rsidR="00701CAD" w:rsidRPr="00701CAD">
        <w:rPr>
          <w:rFonts w:ascii="Verdana" w:eastAsia="Malgun Gothic" w:hAnsi="Verdana"/>
          <w:sz w:val="18"/>
          <w:szCs w:val="18"/>
          <w:lang w:val="en-US"/>
        </w:rPr>
        <w:t>393.893</w:t>
      </w:r>
      <w:r w:rsidR="004C434A" w:rsidRPr="00545E88">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compared to </w:t>
      </w:r>
      <w:r w:rsidR="00701CAD" w:rsidRPr="00701CAD">
        <w:rPr>
          <w:rFonts w:ascii="Verdana" w:eastAsia="Malgun Gothic" w:hAnsi="Verdana"/>
          <w:sz w:val="18"/>
          <w:szCs w:val="18"/>
          <w:lang w:val="en-US"/>
        </w:rPr>
        <w:t>244.705</w:t>
      </w:r>
      <w:r w:rsidRPr="00545E88">
        <w:rPr>
          <w:rFonts w:ascii="Verdana" w:eastAsia="Malgun Gothic" w:hAnsi="Verdana"/>
          <w:sz w:val="18"/>
          <w:szCs w:val="18"/>
          <w:lang w:val="en-US"/>
        </w:rPr>
        <w:t xml:space="preserve"> in the corresponding period of 202</w:t>
      </w:r>
      <w:r w:rsidR="004C434A" w:rsidRPr="00545E88">
        <w:rPr>
          <w:rFonts w:ascii="Verdana" w:eastAsia="Malgun Gothic" w:hAnsi="Verdana"/>
          <w:sz w:val="18"/>
          <w:szCs w:val="18"/>
          <w:lang w:val="en-US"/>
        </w:rPr>
        <w:t>2</w:t>
      </w:r>
      <w:r w:rsidRPr="00545E88">
        <w:rPr>
          <w:rFonts w:ascii="Verdana" w:eastAsia="Malgun Gothic" w:hAnsi="Verdana"/>
          <w:sz w:val="18"/>
          <w:szCs w:val="18"/>
          <w:lang w:val="en-US"/>
        </w:rPr>
        <w:t xml:space="preserve">, </w:t>
      </w:r>
      <w:r w:rsidR="00B969D8" w:rsidRPr="00545E88">
        <w:rPr>
          <w:rFonts w:ascii="Verdana" w:eastAsia="Malgun Gothic" w:hAnsi="Verdana"/>
          <w:sz w:val="18"/>
          <w:szCs w:val="18"/>
          <w:lang w:val="en-US"/>
        </w:rPr>
        <w:t xml:space="preserve">recording an increase of </w:t>
      </w:r>
      <w:r w:rsidR="00701CAD" w:rsidRPr="00701CAD">
        <w:rPr>
          <w:rFonts w:ascii="Verdana" w:eastAsia="Malgun Gothic" w:hAnsi="Verdana"/>
          <w:sz w:val="18"/>
          <w:szCs w:val="18"/>
          <w:lang w:val="en-US"/>
        </w:rPr>
        <w:t>61,0</w:t>
      </w:r>
      <w:r w:rsidR="00B969D8" w:rsidRPr="00545E88">
        <w:rPr>
          <w:rFonts w:ascii="Verdana" w:eastAsia="Malgun Gothic" w:hAnsi="Verdana"/>
          <w:sz w:val="18"/>
          <w:szCs w:val="18"/>
          <w:lang w:val="en-US"/>
        </w:rPr>
        <w:t>%.</w:t>
      </w:r>
    </w:p>
    <w:p w14:paraId="72A5AB75" w14:textId="58AF8DA1" w:rsidR="00A711E9" w:rsidRDefault="00A711E9" w:rsidP="002A10AB">
      <w:pPr>
        <w:pStyle w:val="BodyText"/>
        <w:ind w:right="176"/>
        <w:rPr>
          <w:rFonts w:ascii="Verdana" w:eastAsia="Malgun Gothic" w:hAnsi="Verdana"/>
          <w:sz w:val="18"/>
          <w:szCs w:val="18"/>
          <w:lang w:val="en-US"/>
        </w:rPr>
      </w:pPr>
    </w:p>
    <w:p w14:paraId="43E17A77" w14:textId="77777777" w:rsidR="00107C54" w:rsidRDefault="00107C54" w:rsidP="002A10AB">
      <w:pPr>
        <w:pStyle w:val="BodyText"/>
        <w:ind w:right="176"/>
        <w:rPr>
          <w:rFonts w:ascii="Verdana" w:eastAsia="Malgun Gothic" w:hAnsi="Verdana"/>
          <w:sz w:val="18"/>
          <w:szCs w:val="18"/>
          <w:lang w:val="en-US"/>
        </w:rPr>
      </w:pPr>
    </w:p>
    <w:p w14:paraId="31540F33" w14:textId="6C2A3A3D" w:rsidR="00DF67AB" w:rsidRDefault="00107C54" w:rsidP="00107C54">
      <w:pPr>
        <w:pStyle w:val="BodyText"/>
        <w:ind w:right="176"/>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58192FD4" wp14:editId="7F401B7B">
            <wp:extent cx="6078220" cy="350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505200"/>
                    </a:xfrm>
                    <a:prstGeom prst="rect">
                      <a:avLst/>
                    </a:prstGeom>
                    <a:noFill/>
                  </pic:spPr>
                </pic:pic>
              </a:graphicData>
            </a:graphic>
          </wp:inline>
        </w:drawing>
      </w:r>
    </w:p>
    <w:p w14:paraId="1A5081C9" w14:textId="77777777" w:rsidR="00545E88" w:rsidRDefault="00545E88" w:rsidP="002A10AB">
      <w:pPr>
        <w:tabs>
          <w:tab w:val="left" w:pos="1080"/>
          <w:tab w:val="left" w:pos="6840"/>
        </w:tabs>
        <w:jc w:val="both"/>
        <w:rPr>
          <w:rFonts w:ascii="Verdana" w:eastAsia="Malgun Gothic" w:hAnsi="Verdana" w:cs="Arial"/>
          <w:sz w:val="18"/>
          <w:szCs w:val="18"/>
        </w:rPr>
      </w:pPr>
    </w:p>
    <w:p w14:paraId="444BF39A" w14:textId="77777777" w:rsidR="00533014" w:rsidRPr="00545E88" w:rsidRDefault="00533014" w:rsidP="002A10AB">
      <w:pPr>
        <w:tabs>
          <w:tab w:val="left" w:pos="1080"/>
          <w:tab w:val="left" w:pos="6840"/>
        </w:tabs>
        <w:jc w:val="both"/>
        <w:rPr>
          <w:rFonts w:ascii="Verdana" w:eastAsia="Malgun Gothic" w:hAnsi="Verdana" w:cs="Arial"/>
          <w:sz w:val="18"/>
          <w:szCs w:val="18"/>
        </w:rPr>
      </w:pPr>
    </w:p>
    <w:p w14:paraId="330D7A21" w14:textId="64001AA8" w:rsidR="002A10AB" w:rsidRPr="00545E88" w:rsidRDefault="002A10AB" w:rsidP="002A10AB">
      <w:pPr>
        <w:tabs>
          <w:tab w:val="left" w:pos="1080"/>
          <w:tab w:val="left" w:pos="6840"/>
        </w:tabs>
        <w:jc w:val="both"/>
        <w:rPr>
          <w:rFonts w:ascii="Verdana" w:eastAsia="Malgun Gothic" w:hAnsi="Verdana" w:cs="Arial"/>
          <w:sz w:val="18"/>
          <w:szCs w:val="18"/>
        </w:rPr>
      </w:pPr>
      <w:r w:rsidRPr="00545E88">
        <w:rPr>
          <w:rFonts w:ascii="Verdana" w:eastAsia="Malgun Gothic" w:hAnsi="Verdana" w:cs="Arial"/>
          <w:sz w:val="18"/>
          <w:szCs w:val="18"/>
        </w:rPr>
        <w:t xml:space="preserve">Arrivals from the United Kingdom were the main source of tourism for </w:t>
      </w:r>
      <w:r w:rsidR="007B5F30">
        <w:rPr>
          <w:rFonts w:ascii="Verdana" w:eastAsia="Malgun Gothic" w:hAnsi="Verdana" w:cs="Arial"/>
          <w:sz w:val="18"/>
          <w:szCs w:val="18"/>
        </w:rPr>
        <w:t>March</w:t>
      </w:r>
      <w:r w:rsidRPr="00545E88">
        <w:rPr>
          <w:rFonts w:ascii="Verdana" w:eastAsia="Malgun Gothic" w:hAnsi="Verdana" w:cs="Arial"/>
          <w:sz w:val="18"/>
          <w:szCs w:val="18"/>
        </w:rPr>
        <w:t xml:space="preserve"> 202</w:t>
      </w:r>
      <w:r w:rsidR="00277866" w:rsidRPr="00545E88">
        <w:rPr>
          <w:rFonts w:ascii="Verdana" w:eastAsia="Malgun Gothic" w:hAnsi="Verdana" w:cs="Arial"/>
          <w:sz w:val="18"/>
          <w:szCs w:val="18"/>
        </w:rPr>
        <w:t>3</w:t>
      </w:r>
      <w:r w:rsidRPr="00545E88">
        <w:rPr>
          <w:rFonts w:ascii="Verdana" w:eastAsia="Malgun Gothic" w:hAnsi="Verdana" w:cs="Arial"/>
          <w:sz w:val="18"/>
          <w:szCs w:val="18"/>
        </w:rPr>
        <w:t xml:space="preserve">, with a share of </w:t>
      </w:r>
      <w:r w:rsidR="00D90E33" w:rsidRPr="00D90E33">
        <w:rPr>
          <w:rFonts w:ascii="Verdana" w:eastAsia="Malgun Gothic" w:hAnsi="Verdana"/>
          <w:sz w:val="18"/>
          <w:szCs w:val="18"/>
        </w:rPr>
        <w:t>33</w:t>
      </w:r>
      <w:r w:rsidR="00D90E33" w:rsidRPr="00B65FBF">
        <w:rPr>
          <w:rFonts w:ascii="Verdana" w:eastAsia="Malgun Gothic" w:hAnsi="Verdana"/>
          <w:sz w:val="18"/>
          <w:szCs w:val="18"/>
        </w:rPr>
        <w:t>,</w:t>
      </w:r>
      <w:r w:rsidR="00D90E33" w:rsidRPr="00D90E33">
        <w:rPr>
          <w:rFonts w:ascii="Verdana" w:eastAsia="Malgun Gothic" w:hAnsi="Verdana"/>
          <w:sz w:val="18"/>
          <w:szCs w:val="18"/>
        </w:rPr>
        <w:t>8</w:t>
      </w:r>
      <w:r w:rsidR="00277866" w:rsidRPr="00545E88">
        <w:rPr>
          <w:rFonts w:ascii="Verdana" w:eastAsia="Malgun Gothic" w:hAnsi="Verdana"/>
          <w:sz w:val="18"/>
          <w:szCs w:val="18"/>
        </w:rPr>
        <w:t>% (</w:t>
      </w:r>
      <w:r w:rsidR="00D90E33" w:rsidRPr="00722E98">
        <w:rPr>
          <w:rFonts w:ascii="Verdana" w:eastAsia="Malgun Gothic" w:hAnsi="Verdana"/>
          <w:sz w:val="18"/>
          <w:szCs w:val="18"/>
        </w:rPr>
        <w:t>62.282</w:t>
      </w:r>
      <w:r w:rsidR="00277866" w:rsidRPr="00545E88">
        <w:rPr>
          <w:rFonts w:ascii="Verdana" w:eastAsia="Malgun Gothic" w:hAnsi="Verdana"/>
          <w:sz w:val="18"/>
          <w:szCs w:val="18"/>
        </w:rPr>
        <w:t xml:space="preserve">) </w:t>
      </w:r>
      <w:r w:rsidRPr="00545E88">
        <w:rPr>
          <w:rFonts w:ascii="Verdana" w:eastAsia="Malgun Gothic" w:hAnsi="Verdana" w:cs="Arial"/>
          <w:sz w:val="18"/>
          <w:szCs w:val="18"/>
        </w:rPr>
        <w:t xml:space="preserve">of total arrivals, followed by </w:t>
      </w:r>
      <w:r w:rsidR="00692E7F" w:rsidRPr="00545E88">
        <w:rPr>
          <w:rFonts w:ascii="Verdana" w:eastAsia="Malgun Gothic" w:hAnsi="Verdana" w:cs="Arial"/>
          <w:sz w:val="18"/>
          <w:szCs w:val="18"/>
        </w:rPr>
        <w:t xml:space="preserve">Israel </w:t>
      </w:r>
      <w:r w:rsidRPr="00545E88">
        <w:rPr>
          <w:rFonts w:ascii="Verdana" w:eastAsia="Malgun Gothic" w:hAnsi="Verdana" w:cs="Arial"/>
          <w:sz w:val="18"/>
          <w:szCs w:val="18"/>
        </w:rPr>
        <w:t xml:space="preserve">with </w:t>
      </w:r>
      <w:r w:rsidR="00D90E33" w:rsidRPr="00B65FBF">
        <w:rPr>
          <w:rFonts w:ascii="Verdana" w:eastAsia="Malgun Gothic" w:hAnsi="Verdana"/>
          <w:sz w:val="18"/>
          <w:szCs w:val="18"/>
        </w:rPr>
        <w:t>12,</w:t>
      </w:r>
      <w:r w:rsidR="00D90E33" w:rsidRPr="00D90E33">
        <w:rPr>
          <w:rFonts w:ascii="Verdana" w:eastAsia="Malgun Gothic" w:hAnsi="Verdana"/>
          <w:sz w:val="18"/>
          <w:szCs w:val="18"/>
        </w:rPr>
        <w:t>4</w:t>
      </w:r>
      <w:r w:rsidR="00277866" w:rsidRPr="00545E88">
        <w:rPr>
          <w:rFonts w:ascii="Verdana" w:eastAsia="Malgun Gothic" w:hAnsi="Verdana"/>
          <w:sz w:val="18"/>
          <w:szCs w:val="18"/>
        </w:rPr>
        <w:t>% (</w:t>
      </w:r>
      <w:r w:rsidR="00D90E33" w:rsidRPr="00722E98">
        <w:rPr>
          <w:rFonts w:ascii="Verdana" w:eastAsia="Malgun Gothic" w:hAnsi="Verdana"/>
          <w:sz w:val="18"/>
          <w:szCs w:val="18"/>
        </w:rPr>
        <w:t>22.813</w:t>
      </w:r>
      <w:r w:rsidR="00277866" w:rsidRPr="00545E88">
        <w:rPr>
          <w:rFonts w:ascii="Verdana" w:eastAsia="Malgun Gothic" w:hAnsi="Verdana"/>
          <w:sz w:val="18"/>
          <w:szCs w:val="18"/>
        </w:rPr>
        <w:t>)</w:t>
      </w:r>
      <w:r w:rsidR="00877B94" w:rsidRPr="00545E88">
        <w:rPr>
          <w:rFonts w:ascii="Verdana" w:eastAsia="Malgun Gothic" w:hAnsi="Verdana" w:cs="Arial"/>
          <w:sz w:val="18"/>
          <w:szCs w:val="18"/>
        </w:rPr>
        <w:t xml:space="preserve">, </w:t>
      </w:r>
      <w:r w:rsidR="00217784" w:rsidRPr="00545E88">
        <w:rPr>
          <w:rFonts w:ascii="Verdana" w:eastAsia="Malgun Gothic" w:hAnsi="Verdana" w:cs="Arial"/>
          <w:sz w:val="18"/>
          <w:szCs w:val="18"/>
        </w:rPr>
        <w:t xml:space="preserve">Greece </w:t>
      </w:r>
      <w:r w:rsidR="00877B94" w:rsidRPr="00545E88">
        <w:rPr>
          <w:rFonts w:ascii="Verdana" w:eastAsia="Malgun Gothic" w:hAnsi="Verdana" w:cs="Arial"/>
          <w:sz w:val="18"/>
          <w:szCs w:val="18"/>
        </w:rPr>
        <w:t xml:space="preserve">with </w:t>
      </w:r>
      <w:r w:rsidR="00D90E33" w:rsidRPr="00D90E33">
        <w:rPr>
          <w:rFonts w:ascii="Verdana" w:eastAsia="Malgun Gothic" w:hAnsi="Verdana"/>
          <w:sz w:val="18"/>
          <w:szCs w:val="18"/>
        </w:rPr>
        <w:t>8</w:t>
      </w:r>
      <w:r w:rsidR="00D90E33" w:rsidRPr="00B65FBF">
        <w:rPr>
          <w:rFonts w:ascii="Verdana" w:eastAsia="Malgun Gothic" w:hAnsi="Verdana"/>
          <w:sz w:val="18"/>
          <w:szCs w:val="18"/>
        </w:rPr>
        <w:t>,</w:t>
      </w:r>
      <w:r w:rsidR="00D90E33" w:rsidRPr="00D90E33">
        <w:rPr>
          <w:rFonts w:ascii="Verdana" w:eastAsia="Malgun Gothic" w:hAnsi="Verdana"/>
          <w:sz w:val="18"/>
          <w:szCs w:val="18"/>
        </w:rPr>
        <w:t>2</w:t>
      </w:r>
      <w:r w:rsidR="00277866" w:rsidRPr="00545E88">
        <w:rPr>
          <w:rFonts w:ascii="Verdana" w:eastAsia="Malgun Gothic" w:hAnsi="Verdana"/>
          <w:sz w:val="18"/>
          <w:szCs w:val="18"/>
        </w:rPr>
        <w:t>% (</w:t>
      </w:r>
      <w:r w:rsidR="00D90E33" w:rsidRPr="00722E98">
        <w:rPr>
          <w:rFonts w:ascii="Verdana" w:eastAsia="Malgun Gothic" w:hAnsi="Verdana"/>
          <w:sz w:val="18"/>
          <w:szCs w:val="18"/>
        </w:rPr>
        <w:t>15.122</w:t>
      </w:r>
      <w:r w:rsidR="00277866" w:rsidRPr="00545E88">
        <w:rPr>
          <w:rFonts w:ascii="Verdana" w:eastAsia="Malgun Gothic" w:hAnsi="Verdana"/>
          <w:sz w:val="18"/>
          <w:szCs w:val="18"/>
        </w:rPr>
        <w:t>)</w:t>
      </w:r>
      <w:r w:rsidR="00877B94" w:rsidRPr="00545E88">
        <w:rPr>
          <w:rFonts w:ascii="Verdana" w:eastAsia="Malgun Gothic" w:hAnsi="Verdana" w:cs="Arial"/>
          <w:sz w:val="18"/>
          <w:szCs w:val="18"/>
        </w:rPr>
        <w:t xml:space="preserve">, </w:t>
      </w:r>
      <w:r w:rsidR="00BD2BFD" w:rsidRPr="00545E88">
        <w:rPr>
          <w:rFonts w:ascii="Verdana" w:eastAsia="Malgun Gothic" w:hAnsi="Verdana" w:cs="Arial"/>
          <w:sz w:val="18"/>
          <w:szCs w:val="18"/>
        </w:rPr>
        <w:t xml:space="preserve">Poland </w:t>
      </w:r>
      <w:r w:rsidR="00567E4C" w:rsidRPr="00545E88">
        <w:rPr>
          <w:rFonts w:ascii="Verdana" w:eastAsia="Malgun Gothic" w:hAnsi="Verdana" w:cs="Arial"/>
          <w:sz w:val="18"/>
          <w:szCs w:val="18"/>
        </w:rPr>
        <w:t xml:space="preserve">with </w:t>
      </w:r>
      <w:r w:rsidR="00D90E33" w:rsidRPr="00D90E33">
        <w:rPr>
          <w:rFonts w:ascii="Verdana" w:eastAsia="Malgun Gothic" w:hAnsi="Verdana"/>
          <w:sz w:val="18"/>
          <w:szCs w:val="18"/>
        </w:rPr>
        <w:t>7</w:t>
      </w:r>
      <w:r w:rsidR="00D90E33" w:rsidRPr="00B65FBF">
        <w:rPr>
          <w:rFonts w:ascii="Verdana" w:eastAsia="Malgun Gothic" w:hAnsi="Verdana"/>
          <w:sz w:val="18"/>
          <w:szCs w:val="18"/>
        </w:rPr>
        <w:t>,</w:t>
      </w:r>
      <w:r w:rsidR="00D90E33" w:rsidRPr="00D90E33">
        <w:rPr>
          <w:rFonts w:ascii="Verdana" w:eastAsia="Malgun Gothic" w:hAnsi="Verdana"/>
          <w:sz w:val="18"/>
          <w:szCs w:val="18"/>
        </w:rPr>
        <w:t>6</w:t>
      </w:r>
      <w:r w:rsidR="00277866" w:rsidRPr="00545E88">
        <w:rPr>
          <w:rFonts w:ascii="Verdana" w:eastAsia="Malgun Gothic" w:hAnsi="Verdana"/>
          <w:sz w:val="18"/>
          <w:szCs w:val="18"/>
        </w:rPr>
        <w:t>% (</w:t>
      </w:r>
      <w:r w:rsidR="00D90E33" w:rsidRPr="00722E98">
        <w:rPr>
          <w:rFonts w:ascii="Verdana" w:eastAsia="Malgun Gothic" w:hAnsi="Verdana"/>
          <w:sz w:val="18"/>
          <w:szCs w:val="18"/>
        </w:rPr>
        <w:t>14.049</w:t>
      </w:r>
      <w:r w:rsidR="00277866" w:rsidRPr="00545E88">
        <w:rPr>
          <w:rFonts w:ascii="Verdana" w:eastAsia="Malgun Gothic" w:hAnsi="Verdana"/>
          <w:sz w:val="18"/>
          <w:szCs w:val="18"/>
        </w:rPr>
        <w:t xml:space="preserve">) </w:t>
      </w:r>
      <w:r w:rsidR="00AB0F78" w:rsidRPr="00545E88">
        <w:rPr>
          <w:rFonts w:ascii="Verdana" w:eastAsia="Malgun Gothic" w:hAnsi="Verdana" w:cs="Arial"/>
          <w:sz w:val="18"/>
          <w:szCs w:val="18"/>
        </w:rPr>
        <w:t xml:space="preserve">and </w:t>
      </w:r>
      <w:r w:rsidR="00BD2BFD" w:rsidRPr="00545E88">
        <w:rPr>
          <w:rFonts w:ascii="Verdana" w:eastAsia="Malgun Gothic" w:hAnsi="Verdana" w:cs="Arial"/>
          <w:sz w:val="18"/>
          <w:szCs w:val="18"/>
        </w:rPr>
        <w:t>Germany</w:t>
      </w:r>
      <w:r w:rsidRPr="00545E88">
        <w:rPr>
          <w:rFonts w:ascii="Verdana" w:eastAsia="Malgun Gothic" w:hAnsi="Verdana" w:cs="Arial"/>
          <w:sz w:val="18"/>
          <w:szCs w:val="18"/>
        </w:rPr>
        <w:t xml:space="preserve"> with </w:t>
      </w:r>
      <w:r w:rsidR="00D90E33" w:rsidRPr="00D90E33">
        <w:rPr>
          <w:rFonts w:ascii="Verdana" w:eastAsia="Malgun Gothic" w:hAnsi="Verdana"/>
          <w:sz w:val="18"/>
          <w:szCs w:val="18"/>
        </w:rPr>
        <w:t>7</w:t>
      </w:r>
      <w:r w:rsidR="00D90E33" w:rsidRPr="00B65FBF">
        <w:rPr>
          <w:rFonts w:ascii="Verdana" w:eastAsia="Malgun Gothic" w:hAnsi="Verdana"/>
          <w:sz w:val="18"/>
          <w:szCs w:val="18"/>
        </w:rPr>
        <w:t>,</w:t>
      </w:r>
      <w:r w:rsidR="00D90E33" w:rsidRPr="00D90E33">
        <w:rPr>
          <w:rFonts w:ascii="Verdana" w:eastAsia="Malgun Gothic" w:hAnsi="Verdana"/>
          <w:sz w:val="18"/>
          <w:szCs w:val="18"/>
        </w:rPr>
        <w:t>0</w:t>
      </w:r>
      <w:r w:rsidR="0019761C" w:rsidRPr="00545E88">
        <w:rPr>
          <w:rFonts w:ascii="Verdana" w:eastAsia="Malgun Gothic" w:hAnsi="Verdana"/>
          <w:sz w:val="18"/>
          <w:szCs w:val="18"/>
        </w:rPr>
        <w:t>% (</w:t>
      </w:r>
      <w:r w:rsidR="00D90E33" w:rsidRPr="00722E98">
        <w:rPr>
          <w:rFonts w:ascii="Verdana" w:eastAsia="Malgun Gothic" w:hAnsi="Verdana"/>
          <w:sz w:val="18"/>
          <w:szCs w:val="18"/>
        </w:rPr>
        <w:t>12.864</w:t>
      </w:r>
      <w:r w:rsidR="0019761C" w:rsidRPr="00545E88">
        <w:rPr>
          <w:rFonts w:ascii="Verdana" w:eastAsia="Malgun Gothic" w:hAnsi="Verdana"/>
          <w:sz w:val="18"/>
          <w:szCs w:val="18"/>
        </w:rPr>
        <w:t>)</w:t>
      </w:r>
      <w:r w:rsidRPr="00545E88">
        <w:rPr>
          <w:rFonts w:ascii="Verdana" w:eastAsia="Malgun Gothic" w:hAnsi="Verdana" w:cs="Arial"/>
          <w:sz w:val="18"/>
          <w:szCs w:val="18"/>
        </w:rPr>
        <w:t>.</w:t>
      </w:r>
    </w:p>
    <w:p w14:paraId="30BBA03D" w14:textId="77777777" w:rsidR="00545E88" w:rsidRDefault="00545E88" w:rsidP="002A10AB">
      <w:pPr>
        <w:tabs>
          <w:tab w:val="left" w:pos="6840"/>
        </w:tabs>
        <w:jc w:val="both"/>
        <w:rPr>
          <w:rFonts w:ascii="Verdana" w:eastAsia="Malgun Gothic" w:hAnsi="Verdana" w:cs="Arial"/>
          <w:sz w:val="18"/>
          <w:szCs w:val="18"/>
        </w:rPr>
      </w:pPr>
    </w:p>
    <w:p w14:paraId="5AFB7C87" w14:textId="77777777" w:rsidR="00545E88" w:rsidRDefault="00545E88" w:rsidP="002A10AB">
      <w:pPr>
        <w:tabs>
          <w:tab w:val="left" w:pos="6840"/>
        </w:tabs>
        <w:jc w:val="both"/>
        <w:rPr>
          <w:rFonts w:ascii="Verdana" w:eastAsia="Malgun Gothic" w:hAnsi="Verdana" w:cs="Arial"/>
          <w:sz w:val="18"/>
          <w:szCs w:val="18"/>
        </w:rPr>
      </w:pPr>
    </w:p>
    <w:p w14:paraId="00A387D1" w14:textId="77777777" w:rsidR="00545E88" w:rsidRDefault="00545E88" w:rsidP="002A10AB">
      <w:pPr>
        <w:tabs>
          <w:tab w:val="left" w:pos="6840"/>
        </w:tabs>
        <w:jc w:val="both"/>
        <w:rPr>
          <w:rFonts w:ascii="Verdana" w:eastAsia="Malgun Gothic" w:hAnsi="Verdana" w:cs="Arial"/>
          <w:sz w:val="18"/>
          <w:szCs w:val="18"/>
        </w:rPr>
      </w:pPr>
    </w:p>
    <w:p w14:paraId="27132373" w14:textId="7CE53808" w:rsidR="002A10AB" w:rsidRPr="00545E88" w:rsidRDefault="002A10AB" w:rsidP="002A10AB">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2443B5FD" w14:textId="6C5C3CD4" w:rsidR="002A10AB" w:rsidRPr="00545E88" w:rsidRDefault="002A10AB" w:rsidP="002A10AB">
      <w:pPr>
        <w:ind w:right="176"/>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FF3B26" w:rsidRPr="00FF3B26">
        <w:rPr>
          <w:rFonts w:ascii="Verdana" w:eastAsia="Malgun Gothic" w:hAnsi="Verdana" w:cs="Arial"/>
          <w:sz w:val="18"/>
          <w:szCs w:val="18"/>
        </w:rPr>
        <w:t>71,6</w:t>
      </w:r>
      <w:r w:rsidRPr="00545E88">
        <w:rPr>
          <w:rFonts w:ascii="Verdana" w:eastAsia="Malgun Gothic" w:hAnsi="Verdana" w:cs="Arial"/>
          <w:sz w:val="18"/>
          <w:szCs w:val="18"/>
        </w:rPr>
        <w:t xml:space="preserve">% of tourists, the purpose of their trip in </w:t>
      </w:r>
      <w:r w:rsidR="007B5F30">
        <w:rPr>
          <w:rFonts w:ascii="Verdana" w:eastAsia="Malgun Gothic" w:hAnsi="Verdana" w:cs="Arial"/>
          <w:sz w:val="18"/>
          <w:szCs w:val="18"/>
          <w:lang w:val="en-GB"/>
        </w:rPr>
        <w:t>March</w:t>
      </w:r>
      <w:r w:rsidRPr="00545E88">
        <w:rPr>
          <w:rFonts w:ascii="Verdana" w:eastAsia="Malgun Gothic" w:hAnsi="Verdana" w:cs="Arial"/>
          <w:sz w:val="18"/>
          <w:szCs w:val="18"/>
          <w:lang w:val="en-GB"/>
        </w:rPr>
        <w:t xml:space="preserve"> </w:t>
      </w:r>
      <w:r w:rsidRPr="00545E88">
        <w:rPr>
          <w:rFonts w:ascii="Verdana" w:eastAsia="Malgun Gothic" w:hAnsi="Verdana" w:cs="Arial"/>
          <w:sz w:val="18"/>
          <w:szCs w:val="18"/>
        </w:rPr>
        <w:t>202</w:t>
      </w:r>
      <w:r w:rsidR="00516C5F" w:rsidRPr="00545E88">
        <w:rPr>
          <w:rFonts w:ascii="Verdana" w:eastAsia="Malgun Gothic" w:hAnsi="Verdana" w:cs="Arial"/>
          <w:sz w:val="18"/>
          <w:szCs w:val="18"/>
        </w:rPr>
        <w:t>3</w:t>
      </w:r>
      <w:r w:rsidRPr="00545E88">
        <w:rPr>
          <w:rFonts w:ascii="Verdana" w:eastAsia="Malgun Gothic" w:hAnsi="Verdana" w:cs="Arial"/>
          <w:sz w:val="18"/>
          <w:szCs w:val="18"/>
        </w:rPr>
        <w:t xml:space="preserve"> was holidays, for </w:t>
      </w:r>
      <w:r w:rsidR="00FF3B26" w:rsidRPr="00FF3B26">
        <w:rPr>
          <w:rFonts w:ascii="Verdana" w:eastAsia="Times New Roman" w:hAnsi="Verdana" w:cs="Arial"/>
          <w:sz w:val="18"/>
          <w:szCs w:val="18"/>
        </w:rPr>
        <w:t>14,9</w:t>
      </w:r>
      <w:r w:rsidRPr="00545E88">
        <w:rPr>
          <w:rFonts w:ascii="Verdana" w:eastAsia="Malgun Gothic" w:hAnsi="Verdana" w:cs="Arial"/>
          <w:sz w:val="18"/>
          <w:szCs w:val="18"/>
        </w:rPr>
        <w:t xml:space="preserve">% visit to friends and relatives and for </w:t>
      </w:r>
      <w:r w:rsidR="00FF3B26" w:rsidRPr="00FF3B26">
        <w:rPr>
          <w:rFonts w:ascii="Verdana" w:eastAsia="Malgun Gothic" w:hAnsi="Verdana" w:cs="Arial"/>
          <w:sz w:val="18"/>
          <w:szCs w:val="18"/>
        </w:rPr>
        <w:t>13,3</w:t>
      </w:r>
      <w:r w:rsidRPr="00545E88">
        <w:rPr>
          <w:rFonts w:ascii="Verdana" w:eastAsia="Malgun Gothic" w:hAnsi="Verdana" w:cs="Arial"/>
          <w:sz w:val="18"/>
          <w:szCs w:val="18"/>
        </w:rPr>
        <w:t xml:space="preserve">% business. Respectively, in </w:t>
      </w:r>
      <w:r w:rsidR="007B5F30">
        <w:rPr>
          <w:rFonts w:ascii="Verdana" w:eastAsia="Malgun Gothic" w:hAnsi="Verdana" w:cs="Arial"/>
          <w:sz w:val="18"/>
          <w:szCs w:val="18"/>
        </w:rPr>
        <w:t>March</w:t>
      </w:r>
      <w:r w:rsidRPr="00545E88">
        <w:rPr>
          <w:rFonts w:ascii="Verdana" w:eastAsia="Malgun Gothic" w:hAnsi="Verdana" w:cs="Arial"/>
          <w:sz w:val="18"/>
          <w:szCs w:val="18"/>
        </w:rPr>
        <w:t xml:space="preserve"> 202</w:t>
      </w:r>
      <w:r w:rsidR="00516C5F" w:rsidRPr="00545E88">
        <w:rPr>
          <w:rFonts w:ascii="Verdana" w:eastAsia="Malgun Gothic" w:hAnsi="Verdana" w:cs="Arial"/>
          <w:sz w:val="18"/>
          <w:szCs w:val="18"/>
        </w:rPr>
        <w:t>2</w:t>
      </w:r>
      <w:r w:rsidRPr="00545E88">
        <w:rPr>
          <w:rFonts w:ascii="Verdana" w:eastAsia="Malgun Gothic" w:hAnsi="Verdana" w:cs="Arial"/>
          <w:sz w:val="18"/>
          <w:szCs w:val="18"/>
        </w:rPr>
        <w:t xml:space="preserve">, </w:t>
      </w:r>
      <w:r w:rsidR="00FF3B26" w:rsidRPr="00FF3B26">
        <w:rPr>
          <w:rFonts w:ascii="Verdana" w:eastAsia="Times New Roman" w:hAnsi="Verdana" w:cs="Arial"/>
          <w:sz w:val="18"/>
          <w:szCs w:val="18"/>
        </w:rPr>
        <w:t>71,9</w:t>
      </w:r>
      <w:r w:rsidRPr="00545E88">
        <w:rPr>
          <w:rFonts w:ascii="Verdana" w:eastAsia="Malgun Gothic" w:hAnsi="Verdana" w:cs="Arial"/>
          <w:sz w:val="18"/>
          <w:szCs w:val="18"/>
        </w:rPr>
        <w:t xml:space="preserve">% of tourists visited Cyprus for holidays, </w:t>
      </w:r>
      <w:r w:rsidR="00FF3B26" w:rsidRPr="00FF3B26">
        <w:rPr>
          <w:rFonts w:ascii="Verdana" w:eastAsia="Malgun Gothic" w:hAnsi="Verdana" w:cs="Arial"/>
          <w:sz w:val="18"/>
          <w:szCs w:val="18"/>
        </w:rPr>
        <w:t>16,3</w:t>
      </w:r>
      <w:r w:rsidRPr="00545E88">
        <w:rPr>
          <w:rFonts w:ascii="Verdana" w:eastAsia="Malgun Gothic" w:hAnsi="Verdana" w:cs="Arial"/>
          <w:sz w:val="18"/>
          <w:szCs w:val="18"/>
        </w:rPr>
        <w:t xml:space="preserve">% visited friends or relatives and </w:t>
      </w:r>
      <w:r w:rsidR="00FF3B26" w:rsidRPr="00FF3B26">
        <w:rPr>
          <w:rFonts w:ascii="Verdana" w:eastAsia="Malgun Gothic" w:hAnsi="Verdana" w:cs="Arial"/>
          <w:sz w:val="18"/>
          <w:szCs w:val="18"/>
        </w:rPr>
        <w:t>11,8</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 1)</w:t>
      </w:r>
      <w:r w:rsidRPr="00545E88">
        <w:rPr>
          <w:rFonts w:ascii="Verdana" w:eastAsia="Malgun Gothic" w:hAnsi="Verdana" w:cs="Arial"/>
          <w:sz w:val="18"/>
          <w:szCs w:val="18"/>
        </w:rPr>
        <w:t>.</w:t>
      </w:r>
    </w:p>
    <w:p w14:paraId="54A98220" w14:textId="77777777" w:rsidR="002A10AB" w:rsidRPr="00545E88" w:rsidRDefault="002A10AB" w:rsidP="002A10AB">
      <w:pPr>
        <w:tabs>
          <w:tab w:val="left" w:pos="1080"/>
          <w:tab w:val="left" w:pos="6840"/>
        </w:tabs>
        <w:ind w:right="176"/>
        <w:jc w:val="both"/>
        <w:rPr>
          <w:rFonts w:ascii="Verdana" w:eastAsia="Malgun Gothic" w:hAnsi="Verdana" w:cs="Arial"/>
          <w:sz w:val="18"/>
          <w:szCs w:val="18"/>
        </w:rPr>
      </w:pPr>
    </w:p>
    <w:p w14:paraId="2D8F0D74" w14:textId="77777777" w:rsidR="002A10AB" w:rsidRPr="00545E88" w:rsidRDefault="002A10AB" w:rsidP="002A10AB">
      <w:pPr>
        <w:tabs>
          <w:tab w:val="left" w:pos="1080"/>
          <w:tab w:val="left" w:pos="6840"/>
        </w:tabs>
        <w:jc w:val="both"/>
        <w:rPr>
          <w:rFonts w:ascii="Verdana" w:eastAsia="Malgun Gothic" w:hAnsi="Verdana" w:cs="Arial"/>
          <w:sz w:val="18"/>
          <w:szCs w:val="18"/>
          <w:u w:val="single"/>
        </w:rPr>
      </w:pPr>
    </w:p>
    <w:tbl>
      <w:tblPr>
        <w:tblW w:w="5000" w:type="pct"/>
        <w:jc w:val="center"/>
        <w:tblBorders>
          <w:bottom w:val="single" w:sz="4" w:space="0" w:color="2F5496" w:themeColor="accent1" w:themeShade="BF"/>
        </w:tblBorders>
        <w:tblLayout w:type="fixed"/>
        <w:tblLook w:val="04A0" w:firstRow="1" w:lastRow="0" w:firstColumn="1" w:lastColumn="0" w:noHBand="0" w:noVBand="1"/>
      </w:tblPr>
      <w:tblGrid>
        <w:gridCol w:w="4357"/>
        <w:gridCol w:w="362"/>
        <w:gridCol w:w="1417"/>
        <w:gridCol w:w="1655"/>
        <w:gridCol w:w="1797"/>
      </w:tblGrid>
      <w:tr w:rsidR="00FB3AF2" w:rsidRPr="00545E88" w14:paraId="5CF90C6A" w14:textId="77777777" w:rsidTr="00545E88">
        <w:trPr>
          <w:trHeight w:val="389"/>
          <w:jc w:val="center"/>
        </w:trPr>
        <w:tc>
          <w:tcPr>
            <w:tcW w:w="5000" w:type="pct"/>
            <w:gridSpan w:val="5"/>
            <w:tcBorders>
              <w:bottom w:val="single" w:sz="4" w:space="0" w:color="2F5496" w:themeColor="accent1" w:themeShade="BF"/>
            </w:tcBorders>
            <w:shd w:val="clear" w:color="FFFFFF" w:fill="FFFFFF"/>
            <w:vAlign w:val="center"/>
            <w:hideMark/>
          </w:tcPr>
          <w:p w14:paraId="44D93CAA" w14:textId="2B03E6D8" w:rsidR="00FB3AF2" w:rsidRPr="00545E88" w:rsidRDefault="00FB3AF2" w:rsidP="00424235">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Table</w:t>
            </w:r>
            <w:r w:rsidRPr="00545E88">
              <w:rPr>
                <w:rFonts w:ascii="Verdana" w:eastAsia="Times New Roman" w:hAnsi="Verdana" w:cs="Arial"/>
                <w:b/>
                <w:bCs/>
                <w:color w:val="365F91"/>
                <w:sz w:val="18"/>
                <w:szCs w:val="18"/>
                <w:lang w:val="el-GR"/>
              </w:rPr>
              <w:t xml:space="preserve"> 1</w:t>
            </w:r>
          </w:p>
        </w:tc>
      </w:tr>
      <w:tr w:rsidR="00FB3AF2" w:rsidRPr="00545E88" w14:paraId="32852DAE" w14:textId="77777777" w:rsidTr="00545E88">
        <w:trPr>
          <w:trHeight w:val="278"/>
          <w:jc w:val="center"/>
        </w:trPr>
        <w:tc>
          <w:tcPr>
            <w:tcW w:w="2461" w:type="pct"/>
            <w:gridSpan w:val="2"/>
            <w:vMerge w:val="restart"/>
            <w:tcBorders>
              <w:top w:val="single" w:sz="4" w:space="0" w:color="2F5496" w:themeColor="accent1" w:themeShade="BF"/>
            </w:tcBorders>
            <w:vAlign w:val="center"/>
            <w:hideMark/>
          </w:tcPr>
          <w:p w14:paraId="595E235C" w14:textId="51894842" w:rsidR="00FB3AF2" w:rsidRPr="00545E88" w:rsidRDefault="00AB108F" w:rsidP="00424235">
            <w:pPr>
              <w:rPr>
                <w:rFonts w:ascii="Verdana" w:eastAsia="Times New Roman" w:hAnsi="Verdana" w:cs="Arial"/>
                <w:b/>
                <w:bCs/>
                <w:color w:val="365F91"/>
                <w:sz w:val="18"/>
                <w:szCs w:val="18"/>
                <w:lang w:val="el-GR"/>
              </w:rPr>
            </w:pPr>
            <w:r w:rsidRPr="00545E88">
              <w:rPr>
                <w:rFonts w:ascii="Verdana" w:eastAsia="Times New Roman" w:hAnsi="Verdana" w:cs="Arial"/>
                <w:b/>
                <w:bCs/>
                <w:color w:val="365F91"/>
                <w:sz w:val="18"/>
                <w:szCs w:val="18"/>
              </w:rPr>
              <w:t>Purpose of visit</w:t>
            </w:r>
          </w:p>
        </w:tc>
        <w:tc>
          <w:tcPr>
            <w:tcW w:w="2539" w:type="pct"/>
            <w:gridSpan w:val="3"/>
            <w:tcBorders>
              <w:top w:val="single" w:sz="4" w:space="0" w:color="2F5496" w:themeColor="accent1" w:themeShade="BF"/>
              <w:bottom w:val="single" w:sz="4" w:space="0" w:color="2F5496" w:themeColor="accent1" w:themeShade="BF"/>
            </w:tcBorders>
            <w:vAlign w:val="center"/>
            <w:hideMark/>
          </w:tcPr>
          <w:p w14:paraId="0B7F6CFF" w14:textId="443D566A" w:rsidR="00FB3AF2" w:rsidRPr="00545E88" w:rsidRDefault="00AB108F" w:rsidP="00424235">
            <w:pPr>
              <w:jc w:val="center"/>
              <w:rPr>
                <w:rFonts w:ascii="Verdana" w:eastAsia="Times New Roman" w:hAnsi="Verdana" w:cs="Arial"/>
                <w:b/>
                <w:bCs/>
                <w:color w:val="365F91"/>
                <w:sz w:val="18"/>
                <w:szCs w:val="18"/>
                <w:lang w:val="el-GR"/>
              </w:rPr>
            </w:pPr>
            <w:r w:rsidRPr="00545E88">
              <w:rPr>
                <w:rFonts w:ascii="Verdana" w:eastAsia="Times New Roman" w:hAnsi="Verdana" w:cs="Arial"/>
                <w:b/>
                <w:bCs/>
                <w:color w:val="366092"/>
                <w:sz w:val="18"/>
                <w:szCs w:val="18"/>
              </w:rPr>
              <w:t>Percentage (%)</w:t>
            </w:r>
            <w:r w:rsidRPr="00545E88">
              <w:rPr>
                <w:rFonts w:ascii="Verdana" w:eastAsia="Times New Roman" w:hAnsi="Verdana" w:cs="Arial"/>
                <w:b/>
                <w:bCs/>
                <w:color w:val="366092"/>
                <w:sz w:val="18"/>
                <w:szCs w:val="18"/>
                <w:lang w:val="el-GR"/>
              </w:rPr>
              <w:t xml:space="preserve"> </w:t>
            </w:r>
          </w:p>
        </w:tc>
      </w:tr>
      <w:tr w:rsidR="00FB3AF2" w:rsidRPr="00545E88" w14:paraId="3FABEF67" w14:textId="77777777" w:rsidTr="00545E88">
        <w:trPr>
          <w:trHeight w:val="615"/>
          <w:jc w:val="center"/>
        </w:trPr>
        <w:tc>
          <w:tcPr>
            <w:tcW w:w="2461" w:type="pct"/>
            <w:gridSpan w:val="2"/>
            <w:vMerge/>
            <w:tcBorders>
              <w:bottom w:val="single" w:sz="4" w:space="0" w:color="2F5496" w:themeColor="accent1" w:themeShade="BF"/>
            </w:tcBorders>
            <w:vAlign w:val="center"/>
            <w:hideMark/>
          </w:tcPr>
          <w:p w14:paraId="3A364B25" w14:textId="77777777" w:rsidR="00FB3AF2" w:rsidRPr="00545E88" w:rsidRDefault="00FB3AF2" w:rsidP="00424235">
            <w:pPr>
              <w:rPr>
                <w:rFonts w:ascii="Verdana" w:eastAsia="Times New Roman" w:hAnsi="Verdana" w:cs="Arial"/>
                <w:b/>
                <w:bCs/>
                <w:color w:val="365F91"/>
                <w:sz w:val="18"/>
                <w:szCs w:val="18"/>
                <w:lang w:val="el-GR"/>
              </w:rPr>
            </w:pPr>
          </w:p>
        </w:tc>
        <w:tc>
          <w:tcPr>
            <w:tcW w:w="739" w:type="pct"/>
            <w:tcBorders>
              <w:bottom w:val="single" w:sz="4" w:space="0" w:color="2F5496" w:themeColor="accent1" w:themeShade="BF"/>
            </w:tcBorders>
            <w:vAlign w:val="center"/>
            <w:hideMark/>
          </w:tcPr>
          <w:p w14:paraId="4FEDA99A" w14:textId="4509B0D8" w:rsidR="00FB3AF2" w:rsidRPr="00545E88" w:rsidRDefault="00FF3B26" w:rsidP="00424235">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00BC5E3F"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1</w:t>
            </w:r>
          </w:p>
        </w:tc>
        <w:tc>
          <w:tcPr>
            <w:tcW w:w="863" w:type="pct"/>
            <w:tcBorders>
              <w:top w:val="single" w:sz="4" w:space="0" w:color="2F5496" w:themeColor="accent1" w:themeShade="BF"/>
              <w:bottom w:val="single" w:sz="4" w:space="0" w:color="2F5496" w:themeColor="accent1" w:themeShade="BF"/>
            </w:tcBorders>
            <w:shd w:val="clear" w:color="FFFFFF" w:fill="FFFFFF"/>
            <w:vAlign w:val="center"/>
            <w:hideMark/>
          </w:tcPr>
          <w:p w14:paraId="6B9046A5" w14:textId="02D0D49D" w:rsidR="00FB3AF2" w:rsidRPr="00545E88" w:rsidRDefault="00FF3B26" w:rsidP="00424235">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2</w:t>
            </w:r>
          </w:p>
        </w:tc>
        <w:tc>
          <w:tcPr>
            <w:tcW w:w="937" w:type="pct"/>
            <w:tcBorders>
              <w:top w:val="single" w:sz="4" w:space="0" w:color="2F5496" w:themeColor="accent1" w:themeShade="BF"/>
              <w:bottom w:val="single" w:sz="4" w:space="0" w:color="2F5496" w:themeColor="accent1" w:themeShade="BF"/>
            </w:tcBorders>
            <w:shd w:val="clear" w:color="FFFFFF" w:fill="FFFFFF"/>
            <w:vAlign w:val="center"/>
          </w:tcPr>
          <w:p w14:paraId="18F30FA5" w14:textId="64E48A55" w:rsidR="00FB3AF2" w:rsidRPr="00545E88" w:rsidRDefault="00FF3B26" w:rsidP="00424235">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Mar</w:t>
            </w:r>
            <w:r w:rsidRPr="00545E88">
              <w:rPr>
                <w:rFonts w:ascii="Verdana" w:eastAsia="Times New Roman" w:hAnsi="Verdana" w:cs="Arial"/>
                <w:b/>
                <w:bCs/>
                <w:color w:val="365F91"/>
                <w:sz w:val="18"/>
                <w:szCs w:val="18"/>
              </w:rPr>
              <w:t xml:space="preserve"> </w:t>
            </w:r>
            <w:r w:rsidR="00FB3AF2" w:rsidRPr="00545E88">
              <w:rPr>
                <w:rFonts w:ascii="Verdana" w:eastAsia="Times New Roman" w:hAnsi="Verdana" w:cs="Arial"/>
                <w:b/>
                <w:bCs/>
                <w:color w:val="365F91"/>
                <w:sz w:val="18"/>
                <w:szCs w:val="18"/>
                <w:lang w:val="el-GR"/>
              </w:rPr>
              <w:t>2</w:t>
            </w:r>
            <w:r w:rsidR="00803FE9" w:rsidRPr="00545E88">
              <w:rPr>
                <w:rFonts w:ascii="Verdana" w:eastAsia="Times New Roman" w:hAnsi="Verdana" w:cs="Arial"/>
                <w:b/>
                <w:bCs/>
                <w:color w:val="365F91"/>
                <w:sz w:val="18"/>
                <w:szCs w:val="18"/>
              </w:rPr>
              <w:t>3</w:t>
            </w:r>
          </w:p>
        </w:tc>
      </w:tr>
      <w:tr w:rsidR="00FF3B26" w:rsidRPr="00545E88" w14:paraId="4BE7916D" w14:textId="77777777" w:rsidTr="00545E88">
        <w:trPr>
          <w:trHeight w:val="375"/>
          <w:jc w:val="center"/>
        </w:trPr>
        <w:tc>
          <w:tcPr>
            <w:tcW w:w="2272" w:type="pct"/>
            <w:tcBorders>
              <w:top w:val="single" w:sz="4" w:space="0" w:color="2F5496" w:themeColor="accent1" w:themeShade="BF"/>
            </w:tcBorders>
            <w:shd w:val="clear" w:color="FFFFFF" w:fill="FFFFFF"/>
            <w:vAlign w:val="center"/>
            <w:hideMark/>
          </w:tcPr>
          <w:p w14:paraId="420C20AE" w14:textId="7265559A" w:rsidR="00FF3B26" w:rsidRPr="00545E88" w:rsidRDefault="00FF3B26" w:rsidP="00FF3B26">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Holidays</w:t>
            </w:r>
          </w:p>
        </w:tc>
        <w:tc>
          <w:tcPr>
            <w:tcW w:w="928" w:type="pct"/>
            <w:gridSpan w:val="2"/>
            <w:tcBorders>
              <w:top w:val="single" w:sz="4" w:space="0" w:color="2F5496" w:themeColor="accent1" w:themeShade="BF"/>
            </w:tcBorders>
            <w:shd w:val="clear" w:color="FFFFFF" w:fill="FFFFFF"/>
            <w:vAlign w:val="center"/>
          </w:tcPr>
          <w:p w14:paraId="664E7A04" w14:textId="10C48FB3" w:rsidR="00FF3B26" w:rsidRPr="00545E88" w:rsidRDefault="00FF3B26" w:rsidP="00FF3B26">
            <w:pPr>
              <w:ind w:right="431" w:firstLineChars="100" w:firstLine="180"/>
              <w:jc w:val="right"/>
              <w:rPr>
                <w:rFonts w:ascii="Verdana" w:eastAsia="Times New Roman" w:hAnsi="Verdana" w:cs="Arial"/>
                <w:color w:val="365F91"/>
                <w:sz w:val="18"/>
                <w:szCs w:val="18"/>
                <w:highlight w:val="yellow"/>
                <w:lang w:val="el-GR"/>
              </w:rPr>
            </w:pPr>
            <w:r w:rsidRPr="00685C3E">
              <w:rPr>
                <w:rFonts w:ascii="Verdana" w:eastAsia="Times New Roman" w:hAnsi="Verdana" w:cs="Arial"/>
                <w:color w:val="365F91"/>
                <w:sz w:val="18"/>
                <w:szCs w:val="18"/>
                <w:lang w:val="el-GR"/>
              </w:rPr>
              <w:t>25,2</w:t>
            </w:r>
          </w:p>
        </w:tc>
        <w:tc>
          <w:tcPr>
            <w:tcW w:w="863" w:type="pct"/>
            <w:tcBorders>
              <w:top w:val="single" w:sz="4" w:space="0" w:color="2F5496" w:themeColor="accent1" w:themeShade="BF"/>
            </w:tcBorders>
            <w:shd w:val="clear" w:color="FFFFFF" w:fill="FFFFFF"/>
            <w:noWrap/>
            <w:vAlign w:val="center"/>
          </w:tcPr>
          <w:p w14:paraId="6BABDE3E" w14:textId="514104C6" w:rsidR="00FF3B26" w:rsidRPr="00545E88" w:rsidRDefault="00FF3B26" w:rsidP="00FF3B26">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71,9</w:t>
            </w:r>
          </w:p>
        </w:tc>
        <w:tc>
          <w:tcPr>
            <w:tcW w:w="937" w:type="pct"/>
            <w:tcBorders>
              <w:top w:val="single" w:sz="4" w:space="0" w:color="2F5496" w:themeColor="accent1" w:themeShade="BF"/>
            </w:tcBorders>
            <w:shd w:val="clear" w:color="000000" w:fill="FFFFFF"/>
            <w:vAlign w:val="center"/>
          </w:tcPr>
          <w:p w14:paraId="3B79D4DA" w14:textId="11D386CF" w:rsidR="00FF3B26" w:rsidRPr="00545E88" w:rsidRDefault="00FF3B26" w:rsidP="00FF3B26">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rPr>
              <w:t>71,6</w:t>
            </w:r>
          </w:p>
        </w:tc>
      </w:tr>
      <w:tr w:rsidR="00FF3B26" w:rsidRPr="00545E88" w14:paraId="4533B3DC" w14:textId="77777777" w:rsidTr="00545E88">
        <w:trPr>
          <w:trHeight w:val="375"/>
          <w:jc w:val="center"/>
        </w:trPr>
        <w:tc>
          <w:tcPr>
            <w:tcW w:w="2272" w:type="pct"/>
            <w:shd w:val="clear" w:color="FFFFFF" w:fill="FFFFFF"/>
            <w:noWrap/>
            <w:vAlign w:val="center"/>
            <w:hideMark/>
          </w:tcPr>
          <w:p w14:paraId="0DC2E176" w14:textId="2261A5BC" w:rsidR="00FF3B26" w:rsidRPr="00545E88" w:rsidRDefault="00FF3B26" w:rsidP="00FF3B26">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Visiting friends &amp; relatives</w:t>
            </w:r>
          </w:p>
        </w:tc>
        <w:tc>
          <w:tcPr>
            <w:tcW w:w="928" w:type="pct"/>
            <w:gridSpan w:val="2"/>
            <w:shd w:val="clear" w:color="FFFFFF" w:fill="FFFFFF"/>
            <w:noWrap/>
            <w:vAlign w:val="center"/>
          </w:tcPr>
          <w:p w14:paraId="08501DB3" w14:textId="1D182CF7" w:rsidR="00FF3B26" w:rsidRPr="00545E88" w:rsidRDefault="00FF3B26" w:rsidP="00FF3B26">
            <w:pPr>
              <w:ind w:right="431" w:firstLineChars="100" w:firstLine="180"/>
              <w:jc w:val="right"/>
              <w:rPr>
                <w:rFonts w:ascii="Verdana" w:eastAsia="Times New Roman" w:hAnsi="Verdana" w:cs="Arial"/>
                <w:color w:val="365F91"/>
                <w:sz w:val="18"/>
                <w:szCs w:val="18"/>
                <w:highlight w:val="yellow"/>
                <w:lang w:val="el-GR"/>
              </w:rPr>
            </w:pPr>
            <w:r w:rsidRPr="00685C3E">
              <w:rPr>
                <w:rFonts w:ascii="Verdana" w:eastAsia="Times New Roman" w:hAnsi="Verdana" w:cs="Arial"/>
                <w:color w:val="365F91"/>
                <w:sz w:val="18"/>
                <w:szCs w:val="18"/>
              </w:rPr>
              <w:t>35,2</w:t>
            </w:r>
          </w:p>
        </w:tc>
        <w:tc>
          <w:tcPr>
            <w:tcW w:w="863" w:type="pct"/>
            <w:shd w:val="clear" w:color="FFFFFF" w:fill="FFFFFF"/>
            <w:noWrap/>
            <w:vAlign w:val="center"/>
          </w:tcPr>
          <w:p w14:paraId="0490077D" w14:textId="66429632" w:rsidR="00FF3B26" w:rsidRPr="00545E88" w:rsidRDefault="00FF3B26" w:rsidP="00FF3B26">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16,3</w:t>
            </w:r>
          </w:p>
        </w:tc>
        <w:tc>
          <w:tcPr>
            <w:tcW w:w="937" w:type="pct"/>
            <w:shd w:val="clear" w:color="000000" w:fill="FFFFFF"/>
            <w:vAlign w:val="center"/>
          </w:tcPr>
          <w:p w14:paraId="247C0760" w14:textId="53A374BE" w:rsidR="00FF3B26" w:rsidRPr="00545E88" w:rsidRDefault="00FF3B26" w:rsidP="00FF3B26">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rPr>
              <w:t>14,9</w:t>
            </w:r>
          </w:p>
        </w:tc>
      </w:tr>
      <w:tr w:rsidR="00FF3B26" w:rsidRPr="00545E88" w14:paraId="387CFB37" w14:textId="77777777" w:rsidTr="00545E88">
        <w:trPr>
          <w:trHeight w:val="375"/>
          <w:jc w:val="center"/>
        </w:trPr>
        <w:tc>
          <w:tcPr>
            <w:tcW w:w="2272" w:type="pct"/>
            <w:shd w:val="clear" w:color="FFFFFF" w:fill="FFFFFF"/>
            <w:vAlign w:val="center"/>
            <w:hideMark/>
          </w:tcPr>
          <w:p w14:paraId="6B87CB6C" w14:textId="1195DE57" w:rsidR="00FF3B26" w:rsidRPr="00545E88" w:rsidRDefault="00FF3B26" w:rsidP="00FF3B26">
            <w:pPr>
              <w:ind w:left="162"/>
              <w:rPr>
                <w:rFonts w:ascii="Verdana" w:eastAsia="Times New Roman" w:hAnsi="Verdana" w:cs="Arial"/>
                <w:color w:val="365F91"/>
                <w:sz w:val="18"/>
                <w:szCs w:val="18"/>
                <w:lang w:val="el-GR"/>
              </w:rPr>
            </w:pPr>
            <w:r w:rsidRPr="00545E88">
              <w:rPr>
                <w:rFonts w:ascii="Verdana" w:eastAsia="Times New Roman" w:hAnsi="Verdana" w:cs="Arial"/>
                <w:color w:val="365F91"/>
                <w:sz w:val="18"/>
                <w:szCs w:val="18"/>
              </w:rPr>
              <w:t>Business</w:t>
            </w:r>
          </w:p>
        </w:tc>
        <w:tc>
          <w:tcPr>
            <w:tcW w:w="928" w:type="pct"/>
            <w:gridSpan w:val="2"/>
            <w:shd w:val="clear" w:color="FFFFFF" w:fill="FFFFFF"/>
            <w:vAlign w:val="center"/>
          </w:tcPr>
          <w:p w14:paraId="5393D988" w14:textId="7ED853A5" w:rsidR="00FF3B26" w:rsidRPr="00545E88" w:rsidRDefault="00FF3B26" w:rsidP="00FF3B26">
            <w:pPr>
              <w:ind w:right="431" w:firstLineChars="100" w:firstLine="180"/>
              <w:jc w:val="right"/>
              <w:rPr>
                <w:rFonts w:ascii="Verdana" w:eastAsia="Times New Roman" w:hAnsi="Verdana" w:cs="Arial"/>
                <w:color w:val="365F91"/>
                <w:sz w:val="18"/>
                <w:szCs w:val="18"/>
                <w:highlight w:val="yellow"/>
                <w:lang w:val="el-GR"/>
              </w:rPr>
            </w:pPr>
            <w:r w:rsidRPr="00685C3E">
              <w:rPr>
                <w:rFonts w:ascii="Verdana" w:eastAsia="Times New Roman" w:hAnsi="Verdana" w:cs="Arial"/>
                <w:color w:val="365F91"/>
                <w:sz w:val="18"/>
                <w:szCs w:val="18"/>
              </w:rPr>
              <w:t>39,4</w:t>
            </w:r>
          </w:p>
        </w:tc>
        <w:tc>
          <w:tcPr>
            <w:tcW w:w="863" w:type="pct"/>
            <w:shd w:val="clear" w:color="FFFFFF" w:fill="FFFFFF"/>
            <w:noWrap/>
            <w:vAlign w:val="center"/>
          </w:tcPr>
          <w:p w14:paraId="6A0D1470" w14:textId="49DF6D12" w:rsidR="00FF3B26" w:rsidRPr="00545E88" w:rsidRDefault="00FF3B26" w:rsidP="00FF3B26">
            <w:pPr>
              <w:ind w:right="431" w:firstLineChars="100" w:firstLine="180"/>
              <w:jc w:val="right"/>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11,8</w:t>
            </w:r>
          </w:p>
        </w:tc>
        <w:tc>
          <w:tcPr>
            <w:tcW w:w="937" w:type="pct"/>
            <w:shd w:val="clear" w:color="000000" w:fill="FFFFFF"/>
            <w:vAlign w:val="center"/>
          </w:tcPr>
          <w:p w14:paraId="12D60B52" w14:textId="0497359D" w:rsidR="00FF3B26" w:rsidRPr="00545E88" w:rsidRDefault="00FF3B26" w:rsidP="00FF3B26">
            <w:pPr>
              <w:ind w:right="431" w:firstLineChars="100" w:firstLine="180"/>
              <w:jc w:val="right"/>
              <w:rPr>
                <w:rFonts w:ascii="Verdana" w:hAnsi="Verdana" w:cs="Calibri"/>
                <w:color w:val="365F91"/>
                <w:sz w:val="18"/>
                <w:szCs w:val="18"/>
                <w:lang w:val="el-GR"/>
              </w:rPr>
            </w:pPr>
            <w:r>
              <w:rPr>
                <w:rFonts w:ascii="Verdana" w:hAnsi="Verdana" w:cs="Calibri"/>
                <w:color w:val="365F91"/>
                <w:sz w:val="18"/>
                <w:szCs w:val="18"/>
              </w:rPr>
              <w:t>13,3</w:t>
            </w:r>
          </w:p>
        </w:tc>
      </w:tr>
    </w:tbl>
    <w:p w14:paraId="6DC942CD" w14:textId="77777777" w:rsidR="002A10AB" w:rsidRPr="00545E88" w:rsidRDefault="002A10AB" w:rsidP="002A10AB">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D55760">
      <w:pPr>
        <w:tabs>
          <w:tab w:val="left" w:pos="1080"/>
          <w:tab w:val="left" w:pos="6840"/>
        </w:tabs>
        <w:rPr>
          <w:rFonts w:ascii="Verdana" w:eastAsia="Malgun Gothic" w:hAnsi="Verdana" w:cs="Arial"/>
          <w:b/>
          <w:sz w:val="18"/>
          <w:szCs w:val="18"/>
          <w:u w:val="single"/>
        </w:rPr>
      </w:pPr>
    </w:p>
    <w:p w14:paraId="614D1D1E" w14:textId="7CFAE909" w:rsidR="00044CF1" w:rsidRPr="00545E88" w:rsidRDefault="00044CF1" w:rsidP="005A7CB0">
      <w:pPr>
        <w:rPr>
          <w:rFonts w:ascii="Verdana" w:eastAsia="Malgun Gothic" w:hAnsi="Verdana" w:cs="Arial"/>
          <w:b/>
          <w:bCs/>
          <w:sz w:val="18"/>
          <w:szCs w:val="18"/>
          <w:u w:val="single"/>
          <w:lang w:val="el-GR"/>
        </w:rPr>
      </w:pPr>
      <w:r w:rsidRPr="00545E88">
        <w:rPr>
          <w:rFonts w:ascii="Verdana" w:eastAsia="Malgun Gothic" w:hAnsi="Verdana" w:cs="Arial"/>
          <w:b/>
          <w:bCs/>
          <w:sz w:val="18"/>
          <w:szCs w:val="18"/>
          <w:u w:val="single"/>
          <w:lang w:val="el-GR"/>
        </w:rPr>
        <w:t>Returns of Residents of Cyprus</w:t>
      </w:r>
    </w:p>
    <w:p w14:paraId="008965E6" w14:textId="77777777" w:rsidR="00044CF1" w:rsidRPr="00545E88" w:rsidRDefault="00044CF1" w:rsidP="005A7CB0">
      <w:pPr>
        <w:tabs>
          <w:tab w:val="left" w:pos="1080"/>
          <w:tab w:val="left" w:pos="6840"/>
        </w:tabs>
        <w:rPr>
          <w:rFonts w:ascii="Verdana" w:eastAsia="Malgun Gothic" w:hAnsi="Verdana" w:cs="Arial"/>
          <w:b/>
          <w:sz w:val="18"/>
          <w:szCs w:val="18"/>
        </w:rPr>
      </w:pPr>
    </w:p>
    <w:p w14:paraId="3216C780" w14:textId="22D2AA5B" w:rsidR="00044CF1" w:rsidRPr="00545E88" w:rsidRDefault="001C0938" w:rsidP="00044CF1">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471EA2" w:rsidRPr="00471EA2">
        <w:rPr>
          <w:rFonts w:ascii="Verdana" w:eastAsia="Malgun Gothic" w:hAnsi="Verdana"/>
          <w:sz w:val="18"/>
          <w:szCs w:val="18"/>
          <w:lang w:eastAsia="x-none"/>
        </w:rPr>
        <w:t>113.805</w:t>
      </w:r>
      <w:r w:rsidRPr="00545E88">
        <w:rPr>
          <w:rFonts w:ascii="Verdana" w:eastAsia="Arial" w:hAnsi="Verdana" w:cs="Arial"/>
          <w:sz w:val="18"/>
          <w:szCs w:val="18"/>
        </w:rPr>
        <w:t xml:space="preserve"> </w:t>
      </w:r>
      <w:r w:rsidRPr="00545E88">
        <w:rPr>
          <w:rFonts w:ascii="Verdana" w:eastAsia="Malgun Gothic" w:hAnsi="Verdana"/>
          <w:sz w:val="18"/>
          <w:szCs w:val="18"/>
          <w:lang w:eastAsia="x-none"/>
        </w:rPr>
        <w:t xml:space="preserve">residents of Cyprus returned from a trip abroad in </w:t>
      </w:r>
      <w:r w:rsidR="007B5F30">
        <w:rPr>
          <w:rFonts w:ascii="Verdana" w:eastAsia="Malgun Gothic" w:hAnsi="Verdana"/>
          <w:sz w:val="18"/>
          <w:szCs w:val="18"/>
          <w:lang w:eastAsia="x-none"/>
        </w:rPr>
        <w:t>March</w:t>
      </w:r>
      <w:r w:rsidRPr="00545E88">
        <w:rPr>
          <w:rFonts w:ascii="Verdana" w:eastAsia="Malgun Gothic" w:hAnsi="Verdana"/>
          <w:sz w:val="18"/>
          <w:szCs w:val="18"/>
          <w:lang w:eastAsia="x-none"/>
        </w:rPr>
        <w:t xml:space="preserve"> 2023</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471EA2" w:rsidRPr="00471EA2">
        <w:rPr>
          <w:rFonts w:ascii="Verdana" w:eastAsia="Malgun Gothic" w:hAnsi="Verdana"/>
          <w:sz w:val="18"/>
          <w:szCs w:val="18"/>
          <w:lang w:eastAsia="x-none"/>
        </w:rPr>
        <w:t>59.918</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an increase of </w:t>
      </w:r>
      <w:r w:rsidR="00471EA2">
        <w:rPr>
          <w:rFonts w:ascii="Verdana" w:eastAsia="Malgun Gothic" w:hAnsi="Verdana"/>
          <w:sz w:val="18"/>
          <w:szCs w:val="18"/>
          <w:lang w:eastAsia="x-none"/>
        </w:rPr>
        <w:t>89</w:t>
      </w:r>
      <w:r w:rsidR="00044CF1" w:rsidRPr="00545E88">
        <w:rPr>
          <w:rFonts w:ascii="Verdana" w:eastAsia="Malgun Gothic" w:hAnsi="Verdana"/>
          <w:sz w:val="18"/>
          <w:szCs w:val="18"/>
          <w:lang w:eastAsia="x-none"/>
        </w:rPr>
        <w:t>,</w:t>
      </w:r>
      <w:r w:rsidR="00471EA2">
        <w:rPr>
          <w:rFonts w:ascii="Verdana" w:eastAsia="Malgun Gothic" w:hAnsi="Verdana"/>
          <w:sz w:val="18"/>
          <w:szCs w:val="18"/>
          <w:lang w:eastAsia="x-none"/>
        </w:rPr>
        <w:t>9</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44CF1">
      <w:pPr>
        <w:tabs>
          <w:tab w:val="left" w:pos="1080"/>
          <w:tab w:val="left" w:pos="6840"/>
        </w:tabs>
        <w:jc w:val="both"/>
        <w:rPr>
          <w:rFonts w:ascii="Verdana" w:eastAsia="Malgun Gothic" w:hAnsi="Verdana"/>
          <w:sz w:val="18"/>
          <w:szCs w:val="18"/>
          <w:lang w:eastAsia="x-none"/>
        </w:rPr>
      </w:pPr>
    </w:p>
    <w:p w14:paraId="209A932C" w14:textId="36316D7B" w:rsidR="00044CF1" w:rsidRDefault="001C0938" w:rsidP="00471EA2">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7B5F30">
        <w:rPr>
          <w:rFonts w:ascii="Verdana" w:eastAsia="Malgun Gothic" w:hAnsi="Verdana"/>
          <w:sz w:val="18"/>
          <w:szCs w:val="18"/>
          <w:lang w:eastAsia="x-none"/>
        </w:rPr>
        <w:t>March</w:t>
      </w:r>
      <w:r w:rsidR="00D35A7E" w:rsidRPr="00D35A7E">
        <w:rPr>
          <w:rFonts w:ascii="Verdana" w:eastAsia="Malgun Gothic" w:hAnsi="Verdana"/>
          <w:sz w:val="18"/>
          <w:szCs w:val="18"/>
          <w:lang w:eastAsia="x-none"/>
        </w:rPr>
        <w:t xml:space="preserve"> 2023</w:t>
      </w:r>
      <w:r w:rsidRPr="00545E88">
        <w:rPr>
          <w:rFonts w:ascii="Verdana" w:eastAsia="Malgun Gothic" w:hAnsi="Verdana"/>
          <w:sz w:val="18"/>
          <w:szCs w:val="18"/>
          <w:lang w:eastAsia="x-none"/>
        </w:rPr>
        <w:t xml:space="preserve"> were Greece with a share of </w:t>
      </w:r>
      <w:r w:rsidR="00471EA2" w:rsidRPr="00471EA2">
        <w:rPr>
          <w:rFonts w:ascii="Verdana" w:eastAsia="Malgun Gothic" w:hAnsi="Verdana"/>
          <w:sz w:val="18"/>
          <w:szCs w:val="18"/>
          <w:lang w:eastAsia="x-none"/>
        </w:rPr>
        <w:t>30,3</w:t>
      </w:r>
      <w:r w:rsidRPr="00545E88">
        <w:rPr>
          <w:rFonts w:ascii="Verdana" w:eastAsia="Malgun Gothic" w:hAnsi="Verdana"/>
          <w:sz w:val="18"/>
          <w:szCs w:val="18"/>
          <w:lang w:eastAsia="x-none"/>
        </w:rPr>
        <w:t>% (</w:t>
      </w:r>
      <w:r w:rsidR="00471EA2" w:rsidRPr="00471EA2">
        <w:rPr>
          <w:rFonts w:ascii="Verdana" w:eastAsia="Malgun Gothic" w:hAnsi="Verdana"/>
          <w:sz w:val="18"/>
          <w:szCs w:val="18"/>
          <w:lang w:eastAsia="x-none"/>
        </w:rPr>
        <w:t>34.455</w:t>
      </w:r>
      <w:r w:rsidRPr="00545E88">
        <w:rPr>
          <w:rFonts w:ascii="Verdana" w:eastAsia="Malgun Gothic" w:hAnsi="Verdana"/>
          <w:sz w:val="18"/>
          <w:szCs w:val="18"/>
          <w:lang w:eastAsia="x-none"/>
        </w:rPr>
        <w:t xml:space="preserve">), the United Kingdom with </w:t>
      </w:r>
      <w:r w:rsidR="00471EA2" w:rsidRPr="00471EA2">
        <w:rPr>
          <w:rFonts w:ascii="Verdana" w:eastAsia="Malgun Gothic" w:hAnsi="Verdana"/>
          <w:sz w:val="18"/>
          <w:szCs w:val="18"/>
          <w:lang w:eastAsia="x-none"/>
        </w:rPr>
        <w:t>14,4%</w:t>
      </w:r>
      <w:r w:rsidR="00EE7EC5" w:rsidRPr="00EE7EC5">
        <w:rPr>
          <w:rFonts w:ascii="Verdana" w:eastAsia="Malgun Gothic" w:hAnsi="Verdana"/>
          <w:sz w:val="18"/>
          <w:szCs w:val="18"/>
          <w:lang w:eastAsia="x-none"/>
        </w:rPr>
        <w:t xml:space="preserve"> </w:t>
      </w:r>
      <w:r w:rsidR="00471EA2" w:rsidRPr="00471EA2">
        <w:rPr>
          <w:rFonts w:ascii="Verdana" w:eastAsia="Malgun Gothic" w:hAnsi="Verdana"/>
          <w:sz w:val="18"/>
          <w:szCs w:val="18"/>
          <w:lang w:eastAsia="x-none"/>
        </w:rPr>
        <w:t>(16.386)</w:t>
      </w:r>
      <w:r w:rsidR="00675097">
        <w:rPr>
          <w:rFonts w:ascii="Verdana" w:eastAsia="Malgun Gothic" w:hAnsi="Verdana"/>
          <w:sz w:val="18"/>
          <w:szCs w:val="18"/>
          <w:lang w:eastAsia="x-none"/>
        </w:rPr>
        <w:t>,</w:t>
      </w:r>
      <w:r w:rsidR="00675097" w:rsidRPr="00675097">
        <w:rPr>
          <w:rFonts w:ascii="Verdana" w:eastAsia="Malgun Gothic" w:hAnsi="Verdana"/>
          <w:sz w:val="18"/>
          <w:szCs w:val="18"/>
          <w:lang w:eastAsia="x-none"/>
        </w:rPr>
        <w:t xml:space="preserve"> </w:t>
      </w:r>
      <w:r w:rsidR="00675097" w:rsidRPr="00545E88">
        <w:rPr>
          <w:rFonts w:ascii="Verdana" w:eastAsia="Malgun Gothic" w:hAnsi="Verdana"/>
          <w:sz w:val="18"/>
          <w:szCs w:val="18"/>
          <w:lang w:eastAsia="x-none"/>
        </w:rPr>
        <w:t xml:space="preserve">Bulgaria with </w:t>
      </w:r>
      <w:r w:rsidR="00675097" w:rsidRPr="00471EA2">
        <w:rPr>
          <w:rFonts w:ascii="Verdana" w:eastAsia="Malgun Gothic" w:hAnsi="Verdana"/>
          <w:sz w:val="18"/>
          <w:szCs w:val="18"/>
          <w:lang w:eastAsia="x-none"/>
        </w:rPr>
        <w:t>4,0%</w:t>
      </w:r>
      <w:r w:rsidR="00675097">
        <w:rPr>
          <w:rFonts w:ascii="Verdana" w:eastAsia="Malgun Gothic" w:hAnsi="Verdana"/>
          <w:sz w:val="18"/>
          <w:szCs w:val="18"/>
          <w:lang w:eastAsia="x-none"/>
        </w:rPr>
        <w:t xml:space="preserve"> </w:t>
      </w:r>
      <w:r w:rsidR="00675097" w:rsidRPr="00471EA2">
        <w:rPr>
          <w:rFonts w:ascii="Verdana" w:eastAsia="Malgun Gothic" w:hAnsi="Verdana"/>
          <w:sz w:val="18"/>
          <w:szCs w:val="18"/>
          <w:lang w:eastAsia="x-none"/>
        </w:rPr>
        <w:t>(4.527)</w:t>
      </w:r>
      <w:r w:rsidR="00675097">
        <w:rPr>
          <w:rFonts w:ascii="Verdana" w:eastAsia="Malgun Gothic" w:hAnsi="Verdana"/>
          <w:sz w:val="18"/>
          <w:szCs w:val="18"/>
          <w:lang w:eastAsia="x-none"/>
        </w:rPr>
        <w:t xml:space="preserve"> </w:t>
      </w:r>
      <w:r w:rsidR="00471EA2">
        <w:rPr>
          <w:rFonts w:ascii="Verdana" w:eastAsia="Malgun Gothic" w:hAnsi="Verdana"/>
          <w:sz w:val="18"/>
          <w:szCs w:val="18"/>
          <w:lang w:eastAsia="x-none"/>
        </w:rPr>
        <w:t>and</w:t>
      </w:r>
      <w:r w:rsidRPr="00545E88">
        <w:rPr>
          <w:rFonts w:ascii="Verdana" w:eastAsia="Malgun Gothic" w:hAnsi="Verdana"/>
          <w:sz w:val="18"/>
          <w:szCs w:val="18"/>
          <w:lang w:eastAsia="x-none"/>
        </w:rPr>
        <w:t xml:space="preserve"> </w:t>
      </w:r>
      <w:r w:rsidR="00675097">
        <w:rPr>
          <w:rFonts w:ascii="Verdana" w:eastAsia="Malgun Gothic" w:hAnsi="Verdana"/>
          <w:sz w:val="18"/>
          <w:szCs w:val="18"/>
          <w:lang w:eastAsia="x-none"/>
        </w:rPr>
        <w:t xml:space="preserve">Italy </w:t>
      </w:r>
      <w:r w:rsidR="00675097" w:rsidRPr="00675097">
        <w:rPr>
          <w:rFonts w:ascii="Verdana" w:eastAsia="Malgun Gothic" w:hAnsi="Verdana"/>
          <w:sz w:val="18"/>
          <w:szCs w:val="18"/>
          <w:lang w:eastAsia="x-none"/>
        </w:rPr>
        <w:t xml:space="preserve">with </w:t>
      </w:r>
      <w:r w:rsidR="00675097">
        <w:rPr>
          <w:rFonts w:ascii="Verdana" w:eastAsia="Malgun Gothic" w:hAnsi="Verdana"/>
          <w:sz w:val="18"/>
          <w:szCs w:val="18"/>
          <w:lang w:eastAsia="x-none"/>
        </w:rPr>
        <w:t>3</w:t>
      </w:r>
      <w:r w:rsidR="00675097" w:rsidRPr="00675097">
        <w:rPr>
          <w:rFonts w:ascii="Verdana" w:eastAsia="Malgun Gothic" w:hAnsi="Verdana"/>
          <w:sz w:val="18"/>
          <w:szCs w:val="18"/>
          <w:lang w:eastAsia="x-none"/>
        </w:rPr>
        <w:t>,</w:t>
      </w:r>
      <w:r w:rsidR="00675097">
        <w:rPr>
          <w:rFonts w:ascii="Verdana" w:eastAsia="Malgun Gothic" w:hAnsi="Verdana"/>
          <w:sz w:val="18"/>
          <w:szCs w:val="18"/>
          <w:lang w:eastAsia="x-none"/>
        </w:rPr>
        <w:t>5</w:t>
      </w:r>
      <w:r w:rsidR="00675097" w:rsidRPr="00675097">
        <w:rPr>
          <w:rFonts w:ascii="Verdana" w:eastAsia="Malgun Gothic" w:hAnsi="Verdana"/>
          <w:sz w:val="18"/>
          <w:szCs w:val="18"/>
          <w:lang w:eastAsia="x-none"/>
        </w:rPr>
        <w:t>% (3</w:t>
      </w:r>
      <w:r w:rsidR="00675097">
        <w:rPr>
          <w:rFonts w:ascii="Verdana" w:eastAsia="Malgun Gothic" w:hAnsi="Verdana"/>
          <w:sz w:val="18"/>
          <w:szCs w:val="18"/>
          <w:lang w:eastAsia="x-none"/>
        </w:rPr>
        <w:t>.</w:t>
      </w:r>
      <w:r w:rsidR="00675097" w:rsidRPr="00675097">
        <w:rPr>
          <w:rFonts w:ascii="Verdana" w:eastAsia="Malgun Gothic" w:hAnsi="Verdana"/>
          <w:sz w:val="18"/>
          <w:szCs w:val="18"/>
          <w:lang w:eastAsia="x-none"/>
        </w:rPr>
        <w:t>959)</w:t>
      </w:r>
      <w:r w:rsidR="00675097">
        <w:rPr>
          <w:rFonts w:ascii="Verdana" w:eastAsia="Malgun Gothic" w:hAnsi="Verdana"/>
          <w:sz w:val="18"/>
          <w:szCs w:val="18"/>
          <w:lang w:eastAsia="x-none"/>
        </w:rPr>
        <w:t>.</w:t>
      </w:r>
    </w:p>
    <w:p w14:paraId="03F5134D" w14:textId="77777777" w:rsidR="001C0938" w:rsidRPr="00545E88" w:rsidRDefault="001C0938" w:rsidP="00044CF1">
      <w:pPr>
        <w:tabs>
          <w:tab w:val="left" w:pos="1080"/>
          <w:tab w:val="left" w:pos="6840"/>
        </w:tabs>
        <w:jc w:val="both"/>
        <w:rPr>
          <w:rFonts w:ascii="Verdana" w:eastAsia="Malgun Gothic" w:hAnsi="Verdana"/>
          <w:sz w:val="18"/>
          <w:szCs w:val="18"/>
          <w:lang w:eastAsia="x-none"/>
        </w:rPr>
      </w:pPr>
    </w:p>
    <w:p w14:paraId="650CBCE0" w14:textId="754F0084" w:rsidR="00044CF1" w:rsidRPr="00D379F8" w:rsidRDefault="00044CF1" w:rsidP="00044CF1">
      <w:pPr>
        <w:tabs>
          <w:tab w:val="left" w:pos="1080"/>
          <w:tab w:val="left" w:pos="6840"/>
        </w:tabs>
        <w:jc w:val="both"/>
        <w:rPr>
          <w:rFonts w:ascii="Verdana" w:eastAsia="Malgun Gothic" w:hAnsi="Verdana"/>
          <w:sz w:val="18"/>
          <w:szCs w:val="18"/>
          <w:lang w:eastAsia="x-none"/>
        </w:rPr>
      </w:pPr>
    </w:p>
    <w:p w14:paraId="34B6B890" w14:textId="74AB8E30" w:rsidR="00044CF1" w:rsidRPr="00137E6A" w:rsidRDefault="003B39D9" w:rsidP="00545E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6A9A172E" wp14:editId="58DB6B2D">
            <wp:extent cx="6059805" cy="3230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6E946B52" w14:textId="4FB22708" w:rsidR="00044CF1" w:rsidRDefault="00044CF1" w:rsidP="00044CF1">
      <w:pPr>
        <w:tabs>
          <w:tab w:val="left" w:pos="1080"/>
          <w:tab w:val="left" w:pos="6840"/>
        </w:tabs>
        <w:jc w:val="both"/>
        <w:rPr>
          <w:rFonts w:ascii="Verdana" w:eastAsia="Malgun Gothic" w:hAnsi="Verdana" w:cs="Arial"/>
          <w:sz w:val="18"/>
          <w:szCs w:val="18"/>
        </w:rPr>
      </w:pPr>
    </w:p>
    <w:p w14:paraId="03AA1601" w14:textId="77777777" w:rsidR="00D463C1" w:rsidRPr="00545E88" w:rsidRDefault="00D463C1" w:rsidP="00044CF1">
      <w:pPr>
        <w:tabs>
          <w:tab w:val="left" w:pos="1080"/>
          <w:tab w:val="left" w:pos="6840"/>
        </w:tabs>
        <w:jc w:val="both"/>
        <w:rPr>
          <w:rFonts w:ascii="Verdana" w:eastAsia="Malgun Gothic" w:hAnsi="Verdana" w:cs="Arial"/>
          <w:sz w:val="18"/>
          <w:szCs w:val="18"/>
        </w:rPr>
      </w:pPr>
    </w:p>
    <w:p w14:paraId="7192FF44" w14:textId="09B2FE04" w:rsidR="00044CF1" w:rsidRPr="00545E88" w:rsidRDefault="00216634" w:rsidP="00044CF1">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7B5F30">
        <w:rPr>
          <w:rFonts w:ascii="Verdana" w:eastAsia="Malgun Gothic" w:hAnsi="Verdana" w:cs="Arial"/>
          <w:sz w:val="18"/>
          <w:szCs w:val="18"/>
        </w:rPr>
        <w:t>March</w:t>
      </w:r>
      <w:r w:rsidRPr="00216634">
        <w:rPr>
          <w:rFonts w:ascii="Verdana" w:eastAsia="Malgun Gothic" w:hAnsi="Verdana" w:cs="Arial"/>
          <w:sz w:val="18"/>
          <w:szCs w:val="18"/>
        </w:rPr>
        <w:t xml:space="preserve"> 2023 was mainly holidays, with a percentage of 68,</w:t>
      </w:r>
      <w:r w:rsidR="009E36AE">
        <w:rPr>
          <w:rFonts w:ascii="Verdana" w:eastAsia="Malgun Gothic" w:hAnsi="Verdana" w:cs="Arial"/>
          <w:sz w:val="18"/>
          <w:szCs w:val="18"/>
        </w:rPr>
        <w:t>2</w:t>
      </w:r>
      <w:r w:rsidRPr="00216634">
        <w:rPr>
          <w:rFonts w:ascii="Verdana" w:eastAsia="Malgun Gothic" w:hAnsi="Verdana" w:cs="Arial"/>
          <w:sz w:val="18"/>
          <w:szCs w:val="18"/>
        </w:rPr>
        <w:t xml:space="preserve">%, whilst business reasons held a percentage of </w:t>
      </w:r>
      <w:r w:rsidR="009E36AE" w:rsidRPr="009E36AE">
        <w:rPr>
          <w:rFonts w:ascii="Verdana" w:eastAsia="Malgun Gothic" w:hAnsi="Verdana" w:cs="Arial"/>
          <w:sz w:val="18"/>
          <w:szCs w:val="18"/>
        </w:rPr>
        <w:t>26,1</w:t>
      </w:r>
      <w:r w:rsidRPr="00216634">
        <w:rPr>
          <w:rFonts w:ascii="Verdana" w:eastAsia="Malgun Gothic" w:hAnsi="Verdana" w:cs="Arial"/>
          <w:sz w:val="18"/>
          <w:szCs w:val="18"/>
        </w:rPr>
        <w:t xml:space="preserve">%, studies </w:t>
      </w:r>
      <w:r w:rsidR="009E36AE">
        <w:rPr>
          <w:rFonts w:ascii="Verdana" w:eastAsia="Malgun Gothic" w:hAnsi="Verdana" w:cs="Arial"/>
          <w:sz w:val="18"/>
          <w:szCs w:val="18"/>
        </w:rPr>
        <w:t>4</w:t>
      </w:r>
      <w:r w:rsidRPr="00216634">
        <w:rPr>
          <w:rFonts w:ascii="Verdana" w:eastAsia="Malgun Gothic" w:hAnsi="Verdana" w:cs="Arial"/>
          <w:sz w:val="18"/>
          <w:szCs w:val="18"/>
        </w:rPr>
        <w:t>,</w:t>
      </w:r>
      <w:r w:rsidR="009E36AE">
        <w:rPr>
          <w:rFonts w:ascii="Verdana" w:eastAsia="Malgun Gothic" w:hAnsi="Verdana" w:cs="Arial"/>
          <w:sz w:val="18"/>
          <w:szCs w:val="18"/>
        </w:rPr>
        <w:t>0</w:t>
      </w:r>
      <w:r w:rsidRPr="00216634">
        <w:rPr>
          <w:rFonts w:ascii="Verdana" w:eastAsia="Malgun Gothic" w:hAnsi="Verdana" w:cs="Arial"/>
          <w:sz w:val="18"/>
          <w:szCs w:val="18"/>
        </w:rPr>
        <w:t>% and other reasons 1,</w:t>
      </w:r>
      <w:r w:rsidR="009E36AE">
        <w:rPr>
          <w:rFonts w:ascii="Verdana" w:eastAsia="Malgun Gothic" w:hAnsi="Verdana" w:cs="Arial"/>
          <w:sz w:val="18"/>
          <w:szCs w:val="18"/>
        </w:rPr>
        <w:t>8</w:t>
      </w:r>
      <w:r w:rsidRPr="00216634">
        <w:rPr>
          <w:rFonts w:ascii="Verdana" w:eastAsia="Malgun Gothic" w:hAnsi="Verdana" w:cs="Arial"/>
          <w:sz w:val="18"/>
          <w:szCs w:val="18"/>
        </w:rPr>
        <w:t>%.</w:t>
      </w:r>
    </w:p>
    <w:p w14:paraId="5CEAD200" w14:textId="77777777" w:rsidR="00DF072E" w:rsidRPr="00545E88" w:rsidRDefault="00DF072E" w:rsidP="00044CF1">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44CF1">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44CF1">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500497">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500497">
      <w:pPr>
        <w:tabs>
          <w:tab w:val="left" w:pos="1080"/>
          <w:tab w:val="left" w:pos="6840"/>
        </w:tabs>
        <w:rPr>
          <w:rFonts w:ascii="Verdana" w:eastAsia="Malgun Gothic" w:hAnsi="Verdana" w:cs="Arial"/>
          <w:b/>
          <w:sz w:val="18"/>
          <w:szCs w:val="18"/>
          <w:u w:val="single"/>
        </w:rPr>
      </w:pPr>
    </w:p>
    <w:p w14:paraId="24CE3697" w14:textId="2AAD5630" w:rsidR="008434A7" w:rsidRDefault="008434A7" w:rsidP="00500497">
      <w:pPr>
        <w:tabs>
          <w:tab w:val="left" w:pos="1080"/>
          <w:tab w:val="left" w:pos="6840"/>
        </w:tabs>
        <w:rPr>
          <w:rFonts w:ascii="Verdana" w:eastAsia="Malgun Gothic" w:hAnsi="Verdana" w:cs="Arial"/>
          <w:b/>
          <w:sz w:val="18"/>
          <w:szCs w:val="18"/>
          <w:u w:val="single"/>
        </w:rPr>
      </w:pPr>
    </w:p>
    <w:p w14:paraId="56D0453B" w14:textId="0EFCC174" w:rsidR="00545E88" w:rsidRDefault="00545E88" w:rsidP="00500497">
      <w:pPr>
        <w:tabs>
          <w:tab w:val="left" w:pos="1080"/>
          <w:tab w:val="left" w:pos="6840"/>
        </w:tabs>
        <w:rPr>
          <w:rFonts w:ascii="Verdana" w:eastAsia="Malgun Gothic" w:hAnsi="Verdana" w:cs="Arial"/>
          <w:b/>
          <w:sz w:val="18"/>
          <w:szCs w:val="18"/>
          <w:u w:val="single"/>
        </w:rPr>
      </w:pPr>
    </w:p>
    <w:p w14:paraId="11962A87" w14:textId="04616788" w:rsidR="00545E88" w:rsidRDefault="00545E88" w:rsidP="00500497">
      <w:pPr>
        <w:tabs>
          <w:tab w:val="left" w:pos="1080"/>
          <w:tab w:val="left" w:pos="6840"/>
        </w:tabs>
        <w:rPr>
          <w:rFonts w:ascii="Verdana" w:eastAsia="Malgun Gothic" w:hAnsi="Verdana" w:cs="Arial"/>
          <w:b/>
          <w:sz w:val="18"/>
          <w:szCs w:val="18"/>
          <w:u w:val="single"/>
        </w:rPr>
      </w:pPr>
    </w:p>
    <w:p w14:paraId="27CD770B" w14:textId="77777777" w:rsidR="007D2772" w:rsidRDefault="007D2772" w:rsidP="00500497">
      <w:pPr>
        <w:tabs>
          <w:tab w:val="left" w:pos="1080"/>
          <w:tab w:val="left" w:pos="6840"/>
        </w:tabs>
        <w:rPr>
          <w:rFonts w:ascii="Verdana" w:eastAsia="Malgun Gothic" w:hAnsi="Verdana" w:cs="Arial"/>
          <w:b/>
          <w:sz w:val="18"/>
          <w:szCs w:val="18"/>
          <w:u w:val="single"/>
        </w:rPr>
      </w:pPr>
    </w:p>
    <w:p w14:paraId="22E3F448" w14:textId="77777777" w:rsidR="00216634" w:rsidRDefault="00216634" w:rsidP="00500497">
      <w:pPr>
        <w:tabs>
          <w:tab w:val="left" w:pos="1080"/>
          <w:tab w:val="left" w:pos="6840"/>
        </w:tabs>
        <w:rPr>
          <w:rFonts w:ascii="Verdana" w:eastAsia="Malgun Gothic" w:hAnsi="Verdana" w:cs="Arial"/>
          <w:b/>
          <w:sz w:val="18"/>
          <w:szCs w:val="18"/>
          <w:u w:val="single"/>
        </w:rPr>
      </w:pPr>
    </w:p>
    <w:p w14:paraId="5C4E44BC" w14:textId="41AFD2CA" w:rsidR="00545E88" w:rsidRDefault="00545E88" w:rsidP="00500497">
      <w:pPr>
        <w:tabs>
          <w:tab w:val="left" w:pos="1080"/>
          <w:tab w:val="left" w:pos="6840"/>
        </w:tabs>
        <w:rPr>
          <w:rFonts w:ascii="Verdana" w:eastAsia="Malgun Gothic" w:hAnsi="Verdana" w:cs="Arial"/>
          <w:b/>
          <w:sz w:val="18"/>
          <w:szCs w:val="18"/>
          <w:u w:val="single"/>
        </w:rPr>
      </w:pPr>
    </w:p>
    <w:p w14:paraId="113657D7" w14:textId="77777777" w:rsidR="00545E88" w:rsidRPr="00545E88" w:rsidRDefault="00545E88" w:rsidP="00500497">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2A10AB">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261A7790" w14:textId="77777777" w:rsidR="002A10AB" w:rsidRPr="00545E88" w:rsidRDefault="002A10AB" w:rsidP="002A10AB">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2A10AB">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2A10AB">
      <w:pPr>
        <w:jc w:val="both"/>
        <w:rPr>
          <w:rFonts w:ascii="Verdana" w:hAnsi="Verdana"/>
          <w:b/>
          <w:i/>
          <w:sz w:val="18"/>
          <w:szCs w:val="18"/>
        </w:rPr>
      </w:pPr>
    </w:p>
    <w:p w14:paraId="63DB28BD" w14:textId="77777777" w:rsidR="002A10AB" w:rsidRPr="00545E88" w:rsidRDefault="002A10AB" w:rsidP="002A10AB">
      <w:pPr>
        <w:ind w:right="176"/>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2A10AB">
      <w:pPr>
        <w:ind w:right="176"/>
        <w:jc w:val="both"/>
        <w:rPr>
          <w:rFonts w:ascii="Verdana" w:hAnsi="Verdana"/>
          <w:b/>
          <w:i/>
          <w:sz w:val="18"/>
          <w:szCs w:val="18"/>
        </w:rPr>
      </w:pPr>
    </w:p>
    <w:p w14:paraId="24C97B0C" w14:textId="77777777" w:rsidR="002A10AB" w:rsidRPr="00545E88" w:rsidRDefault="002A10AB" w:rsidP="002A10AB">
      <w:pPr>
        <w:ind w:right="176"/>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2A10AB">
      <w:pPr>
        <w:tabs>
          <w:tab w:val="left" w:pos="945"/>
        </w:tabs>
        <w:jc w:val="both"/>
        <w:rPr>
          <w:rFonts w:ascii="Verdana" w:eastAsia="Malgun Gothic" w:hAnsi="Verdana" w:cs="Arial"/>
          <w:sz w:val="18"/>
          <w:szCs w:val="18"/>
        </w:rPr>
      </w:pPr>
    </w:p>
    <w:p w14:paraId="20A0F3D1" w14:textId="36DDB76D" w:rsidR="00EC3153" w:rsidRPr="00216634" w:rsidRDefault="00EC3153" w:rsidP="002A10AB">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2A10AB">
      <w:pPr>
        <w:tabs>
          <w:tab w:val="left" w:pos="945"/>
        </w:tabs>
        <w:jc w:val="both"/>
        <w:rPr>
          <w:rFonts w:ascii="Verdana" w:eastAsia="Malgun Gothic" w:hAnsi="Verdana" w:cs="Arial"/>
          <w:sz w:val="18"/>
          <w:szCs w:val="18"/>
        </w:rPr>
      </w:pPr>
    </w:p>
    <w:p w14:paraId="06162BC2" w14:textId="2BF5D780" w:rsidR="002A10AB" w:rsidRPr="00545E88" w:rsidRDefault="002A10AB" w:rsidP="002A10AB">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2A10AB">
      <w:pPr>
        <w:ind w:right="176"/>
        <w:jc w:val="both"/>
        <w:rPr>
          <w:rFonts w:ascii="Verdana" w:hAnsi="Verdana"/>
          <w:sz w:val="18"/>
          <w:szCs w:val="18"/>
        </w:rPr>
      </w:pPr>
    </w:p>
    <w:p w14:paraId="459D4548" w14:textId="06D15280" w:rsidR="00197A90" w:rsidRPr="00545E88" w:rsidRDefault="00197A90" w:rsidP="00197A90">
      <w:pPr>
        <w:ind w:right="176"/>
        <w:jc w:val="both"/>
        <w:rPr>
          <w:rFonts w:ascii="Verdana" w:hAnsi="Verdana"/>
          <w:sz w:val="18"/>
          <w:szCs w:val="18"/>
        </w:rPr>
      </w:pPr>
      <w:r w:rsidRPr="00545E88">
        <w:rPr>
          <w:rFonts w:ascii="Verdana" w:hAnsi="Verdana"/>
          <w:sz w:val="18"/>
          <w:szCs w:val="18"/>
        </w:rPr>
        <w:t>The data are obtained from the Passengers Survey which is carried out at the points of arrival in Larnaca and Paphos airports. Additionally, data are also collected from administrative sources, such as the monthly arrivals from ports.</w:t>
      </w:r>
    </w:p>
    <w:p w14:paraId="42DB22F5" w14:textId="1C9A5D77" w:rsidR="002A10AB" w:rsidRPr="00545E88" w:rsidRDefault="002A10AB" w:rsidP="00BD087F">
      <w:pPr>
        <w:ind w:right="176"/>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2A10AB">
      <w:pPr>
        <w:ind w:right="176"/>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2A10AB">
      <w:pPr>
        <w:ind w:right="176"/>
        <w:jc w:val="both"/>
        <w:rPr>
          <w:rFonts w:ascii="Verdana" w:hAnsi="Verdana"/>
          <w:sz w:val="18"/>
          <w:szCs w:val="18"/>
        </w:rPr>
      </w:pPr>
    </w:p>
    <w:p w14:paraId="4F931CBB" w14:textId="77777777" w:rsidR="002A10AB" w:rsidRPr="00545E88" w:rsidRDefault="002A10AB" w:rsidP="002A10AB">
      <w:pPr>
        <w:ind w:right="176"/>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2A10AB">
      <w:pPr>
        <w:tabs>
          <w:tab w:val="left" w:pos="360"/>
          <w:tab w:val="left" w:pos="6840"/>
        </w:tabs>
        <w:ind w:right="-79"/>
        <w:jc w:val="both"/>
        <w:rPr>
          <w:rFonts w:ascii="Verdana" w:eastAsia="Malgun Gothic" w:hAnsi="Verdana" w:cs="Arial"/>
          <w:bCs/>
          <w:iCs/>
          <w:sz w:val="18"/>
          <w:szCs w:val="18"/>
        </w:rPr>
      </w:pPr>
    </w:p>
    <w:p w14:paraId="10BE7375" w14:textId="77777777" w:rsidR="002A10AB" w:rsidRPr="00545E88" w:rsidRDefault="002A10AB" w:rsidP="002A10AB">
      <w:pPr>
        <w:tabs>
          <w:tab w:val="left" w:pos="360"/>
          <w:tab w:val="left" w:pos="6840"/>
        </w:tabs>
        <w:ind w:right="-79"/>
        <w:jc w:val="both"/>
        <w:rPr>
          <w:rFonts w:ascii="Verdana" w:eastAsia="Malgun Gothic" w:hAnsi="Verdana" w:cs="Arial"/>
          <w:bCs/>
          <w:iCs/>
          <w:sz w:val="18"/>
          <w:szCs w:val="18"/>
        </w:rPr>
      </w:pPr>
    </w:p>
    <w:p w14:paraId="75600A2B" w14:textId="77777777" w:rsidR="002A10AB" w:rsidRPr="00545E88" w:rsidRDefault="002A10AB" w:rsidP="002A10AB">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2A10AB">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2A10AB">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2A10AB">
      <w:pPr>
        <w:ind w:right="-79"/>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2A10AB">
      <w:pPr>
        <w:ind w:right="-79"/>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2A10AB">
      <w:pPr>
        <w:ind w:right="-79"/>
        <w:jc w:val="both"/>
        <w:rPr>
          <w:rFonts w:ascii="Verdana" w:eastAsia="Malgun Gothic" w:hAnsi="Verdana" w:cs="Arial"/>
          <w:sz w:val="18"/>
          <w:szCs w:val="18"/>
        </w:rPr>
      </w:pPr>
    </w:p>
    <w:p w14:paraId="79B28F02" w14:textId="77777777" w:rsidR="002A10AB" w:rsidRPr="00545E88" w:rsidRDefault="002A10AB" w:rsidP="002A10AB">
      <w:pPr>
        <w:ind w:right="-79"/>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2A10AB">
      <w:pPr>
        <w:tabs>
          <w:tab w:val="left" w:pos="360"/>
          <w:tab w:val="left" w:pos="6840"/>
        </w:tabs>
        <w:ind w:right="-79"/>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2A10AB">
      <w:pPr>
        <w:jc w:val="both"/>
        <w:rPr>
          <w:rFonts w:ascii="Verdana" w:eastAsia="Malgun Gothic" w:hAnsi="Verdana" w:cs="Arial"/>
          <w:sz w:val="18"/>
          <w:szCs w:val="18"/>
          <w:lang w:val="pt-PT"/>
        </w:rPr>
      </w:pPr>
    </w:p>
    <w:p w14:paraId="77EE8272" w14:textId="77777777" w:rsidR="007437AB" w:rsidRPr="00545E88" w:rsidRDefault="007437AB" w:rsidP="006F1E66">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even" r:id="rId15"/>
      <w:headerReference w:type="default" r:id="rId16"/>
      <w:footerReference w:type="even" r:id="rId17"/>
      <w:footerReference w:type="default" r:id="rId18"/>
      <w:headerReference w:type="first" r:id="rId19"/>
      <w:footerReference w:type="first" r:id="rId20"/>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0918" w14:textId="77777777" w:rsidR="001F3B0A" w:rsidRDefault="001F3B0A" w:rsidP="00FB398F">
      <w:r>
        <w:separator/>
      </w:r>
    </w:p>
  </w:endnote>
  <w:endnote w:type="continuationSeparator" w:id="0">
    <w:p w14:paraId="56C25531" w14:textId="77777777" w:rsidR="001F3B0A" w:rsidRDefault="001F3B0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3628" w14:textId="77777777" w:rsidR="001F3B0A" w:rsidRDefault="001F3B0A" w:rsidP="00FB398F">
      <w:r>
        <w:separator/>
      </w:r>
    </w:p>
  </w:footnote>
  <w:footnote w:type="continuationSeparator" w:id="0">
    <w:p w14:paraId="080B3D00" w14:textId="77777777" w:rsidR="001F3B0A" w:rsidRDefault="001F3B0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5291"/>
    <w:rsid w:val="000563D3"/>
    <w:rsid w:val="00057E44"/>
    <w:rsid w:val="00061299"/>
    <w:rsid w:val="00070576"/>
    <w:rsid w:val="00071DDF"/>
    <w:rsid w:val="00072754"/>
    <w:rsid w:val="000752BB"/>
    <w:rsid w:val="00081ADF"/>
    <w:rsid w:val="00084A02"/>
    <w:rsid w:val="00084BF7"/>
    <w:rsid w:val="000870E9"/>
    <w:rsid w:val="000932CF"/>
    <w:rsid w:val="00096ED8"/>
    <w:rsid w:val="000A1A88"/>
    <w:rsid w:val="000A2B5C"/>
    <w:rsid w:val="000A3601"/>
    <w:rsid w:val="000A5389"/>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61CF3"/>
    <w:rsid w:val="00162C00"/>
    <w:rsid w:val="001639EF"/>
    <w:rsid w:val="0016589F"/>
    <w:rsid w:val="00166FC4"/>
    <w:rsid w:val="00176558"/>
    <w:rsid w:val="0017756A"/>
    <w:rsid w:val="0017769A"/>
    <w:rsid w:val="001776EA"/>
    <w:rsid w:val="00183DFC"/>
    <w:rsid w:val="00184384"/>
    <w:rsid w:val="00186717"/>
    <w:rsid w:val="00187FFC"/>
    <w:rsid w:val="0019761C"/>
    <w:rsid w:val="00197A90"/>
    <w:rsid w:val="001A2018"/>
    <w:rsid w:val="001A3DD4"/>
    <w:rsid w:val="001A44F5"/>
    <w:rsid w:val="001A4FC9"/>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61AA"/>
    <w:rsid w:val="001E7D09"/>
    <w:rsid w:val="001F3B0A"/>
    <w:rsid w:val="0020309E"/>
    <w:rsid w:val="00205BA0"/>
    <w:rsid w:val="00210B58"/>
    <w:rsid w:val="00213CB4"/>
    <w:rsid w:val="00216634"/>
    <w:rsid w:val="00217784"/>
    <w:rsid w:val="00222423"/>
    <w:rsid w:val="00225B28"/>
    <w:rsid w:val="002313AC"/>
    <w:rsid w:val="00231DE5"/>
    <w:rsid w:val="00235FB2"/>
    <w:rsid w:val="00237BC1"/>
    <w:rsid w:val="00237BC8"/>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F04"/>
    <w:rsid w:val="00267554"/>
    <w:rsid w:val="0027122D"/>
    <w:rsid w:val="00277866"/>
    <w:rsid w:val="0028338F"/>
    <w:rsid w:val="00285C24"/>
    <w:rsid w:val="002915C4"/>
    <w:rsid w:val="00291BC1"/>
    <w:rsid w:val="002A10AB"/>
    <w:rsid w:val="002A1D1C"/>
    <w:rsid w:val="002A4D64"/>
    <w:rsid w:val="002A6FD2"/>
    <w:rsid w:val="002B6554"/>
    <w:rsid w:val="002C26AD"/>
    <w:rsid w:val="002D05F0"/>
    <w:rsid w:val="002D342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4EF"/>
    <w:rsid w:val="00350654"/>
    <w:rsid w:val="003522BB"/>
    <w:rsid w:val="00352F6C"/>
    <w:rsid w:val="003556EA"/>
    <w:rsid w:val="0035796D"/>
    <w:rsid w:val="00364377"/>
    <w:rsid w:val="003707C5"/>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BBD"/>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929C2"/>
    <w:rsid w:val="00493FDD"/>
    <w:rsid w:val="0049586B"/>
    <w:rsid w:val="004A3E44"/>
    <w:rsid w:val="004A7983"/>
    <w:rsid w:val="004B2896"/>
    <w:rsid w:val="004B38E9"/>
    <w:rsid w:val="004B3FBA"/>
    <w:rsid w:val="004B556F"/>
    <w:rsid w:val="004B6599"/>
    <w:rsid w:val="004C35CE"/>
    <w:rsid w:val="004C434A"/>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2AC"/>
    <w:rsid w:val="0050269F"/>
    <w:rsid w:val="00505503"/>
    <w:rsid w:val="0051107B"/>
    <w:rsid w:val="0051222D"/>
    <w:rsid w:val="00512F9C"/>
    <w:rsid w:val="00516C5F"/>
    <w:rsid w:val="00527CDB"/>
    <w:rsid w:val="005317FB"/>
    <w:rsid w:val="00533014"/>
    <w:rsid w:val="00533C9F"/>
    <w:rsid w:val="005341C9"/>
    <w:rsid w:val="005369CA"/>
    <w:rsid w:val="00536DE9"/>
    <w:rsid w:val="00540668"/>
    <w:rsid w:val="00541E08"/>
    <w:rsid w:val="00545E88"/>
    <w:rsid w:val="0055624D"/>
    <w:rsid w:val="0055789A"/>
    <w:rsid w:val="005652D1"/>
    <w:rsid w:val="005660A0"/>
    <w:rsid w:val="00566A4F"/>
    <w:rsid w:val="00567974"/>
    <w:rsid w:val="00567D64"/>
    <w:rsid w:val="00567E4C"/>
    <w:rsid w:val="00572BC2"/>
    <w:rsid w:val="00587799"/>
    <w:rsid w:val="005938ED"/>
    <w:rsid w:val="0059478C"/>
    <w:rsid w:val="005978D4"/>
    <w:rsid w:val="005A7CB0"/>
    <w:rsid w:val="005B2A67"/>
    <w:rsid w:val="005B3DCD"/>
    <w:rsid w:val="005B4ABF"/>
    <w:rsid w:val="005B4AD4"/>
    <w:rsid w:val="005B5CC7"/>
    <w:rsid w:val="005C2798"/>
    <w:rsid w:val="005C36C3"/>
    <w:rsid w:val="005C56EE"/>
    <w:rsid w:val="005C5D4B"/>
    <w:rsid w:val="005D1714"/>
    <w:rsid w:val="005D2D39"/>
    <w:rsid w:val="005D7638"/>
    <w:rsid w:val="005F0F2C"/>
    <w:rsid w:val="005F12F5"/>
    <w:rsid w:val="005F24E9"/>
    <w:rsid w:val="005F4B4F"/>
    <w:rsid w:val="005F7C7D"/>
    <w:rsid w:val="0060256A"/>
    <w:rsid w:val="006044B7"/>
    <w:rsid w:val="006071CE"/>
    <w:rsid w:val="006075B5"/>
    <w:rsid w:val="0061018C"/>
    <w:rsid w:val="0061094E"/>
    <w:rsid w:val="00613440"/>
    <w:rsid w:val="00613BE3"/>
    <w:rsid w:val="00621C82"/>
    <w:rsid w:val="0062327B"/>
    <w:rsid w:val="00623CB8"/>
    <w:rsid w:val="00632777"/>
    <w:rsid w:val="00633750"/>
    <w:rsid w:val="006339F8"/>
    <w:rsid w:val="00634491"/>
    <w:rsid w:val="0063679C"/>
    <w:rsid w:val="00637055"/>
    <w:rsid w:val="00641D59"/>
    <w:rsid w:val="00643DD6"/>
    <w:rsid w:val="00644507"/>
    <w:rsid w:val="00646880"/>
    <w:rsid w:val="00647D2A"/>
    <w:rsid w:val="006537BB"/>
    <w:rsid w:val="0065711B"/>
    <w:rsid w:val="006613EB"/>
    <w:rsid w:val="00671785"/>
    <w:rsid w:val="00672BA9"/>
    <w:rsid w:val="00673005"/>
    <w:rsid w:val="00675097"/>
    <w:rsid w:val="006804BE"/>
    <w:rsid w:val="00683783"/>
    <w:rsid w:val="006844A3"/>
    <w:rsid w:val="0069008E"/>
    <w:rsid w:val="0069087E"/>
    <w:rsid w:val="00691191"/>
    <w:rsid w:val="006925C4"/>
    <w:rsid w:val="00692E7F"/>
    <w:rsid w:val="0069309C"/>
    <w:rsid w:val="006A02B7"/>
    <w:rsid w:val="006B46D5"/>
    <w:rsid w:val="006B46F4"/>
    <w:rsid w:val="006B6B20"/>
    <w:rsid w:val="006B7229"/>
    <w:rsid w:val="006C4909"/>
    <w:rsid w:val="006C7AF3"/>
    <w:rsid w:val="006D112A"/>
    <w:rsid w:val="006D6548"/>
    <w:rsid w:val="006E0E20"/>
    <w:rsid w:val="006E4256"/>
    <w:rsid w:val="006E4BBA"/>
    <w:rsid w:val="006E5F43"/>
    <w:rsid w:val="006E60A6"/>
    <w:rsid w:val="006F0932"/>
    <w:rsid w:val="006F0F69"/>
    <w:rsid w:val="006F116B"/>
    <w:rsid w:val="006F117F"/>
    <w:rsid w:val="006F13DF"/>
    <w:rsid w:val="006F1E66"/>
    <w:rsid w:val="00701CAD"/>
    <w:rsid w:val="00702F26"/>
    <w:rsid w:val="0070313E"/>
    <w:rsid w:val="00703799"/>
    <w:rsid w:val="00705C5C"/>
    <w:rsid w:val="00711475"/>
    <w:rsid w:val="00715046"/>
    <w:rsid w:val="0072548A"/>
    <w:rsid w:val="007277A6"/>
    <w:rsid w:val="007437AB"/>
    <w:rsid w:val="00751E80"/>
    <w:rsid w:val="007534F8"/>
    <w:rsid w:val="007545AD"/>
    <w:rsid w:val="00763722"/>
    <w:rsid w:val="00764BC1"/>
    <w:rsid w:val="00770869"/>
    <w:rsid w:val="007737EB"/>
    <w:rsid w:val="007738AA"/>
    <w:rsid w:val="00780A62"/>
    <w:rsid w:val="00783241"/>
    <w:rsid w:val="007838EC"/>
    <w:rsid w:val="00784BDC"/>
    <w:rsid w:val="00792F28"/>
    <w:rsid w:val="0079543F"/>
    <w:rsid w:val="00795880"/>
    <w:rsid w:val="007A4367"/>
    <w:rsid w:val="007B0867"/>
    <w:rsid w:val="007B1AC1"/>
    <w:rsid w:val="007B5A08"/>
    <w:rsid w:val="007B5F30"/>
    <w:rsid w:val="007B693D"/>
    <w:rsid w:val="007D2772"/>
    <w:rsid w:val="007D6DFF"/>
    <w:rsid w:val="007E041B"/>
    <w:rsid w:val="007E199A"/>
    <w:rsid w:val="007E2415"/>
    <w:rsid w:val="007E39F3"/>
    <w:rsid w:val="007E68F4"/>
    <w:rsid w:val="007F31BA"/>
    <w:rsid w:val="007F4078"/>
    <w:rsid w:val="0080014B"/>
    <w:rsid w:val="00801793"/>
    <w:rsid w:val="00803642"/>
    <w:rsid w:val="00803C3F"/>
    <w:rsid w:val="00803FE9"/>
    <w:rsid w:val="00806EA2"/>
    <w:rsid w:val="00812A2B"/>
    <w:rsid w:val="00814A4C"/>
    <w:rsid w:val="0081789A"/>
    <w:rsid w:val="00831AAB"/>
    <w:rsid w:val="0083574E"/>
    <w:rsid w:val="0083640C"/>
    <w:rsid w:val="0084157B"/>
    <w:rsid w:val="00842BFB"/>
    <w:rsid w:val="008434A7"/>
    <w:rsid w:val="00846B85"/>
    <w:rsid w:val="00847DC3"/>
    <w:rsid w:val="00847F49"/>
    <w:rsid w:val="008535C5"/>
    <w:rsid w:val="00853765"/>
    <w:rsid w:val="0085516F"/>
    <w:rsid w:val="008573F6"/>
    <w:rsid w:val="00861278"/>
    <w:rsid w:val="0086373F"/>
    <w:rsid w:val="008641E3"/>
    <w:rsid w:val="00867186"/>
    <w:rsid w:val="00870AF6"/>
    <w:rsid w:val="00877B94"/>
    <w:rsid w:val="00881268"/>
    <w:rsid w:val="0088394A"/>
    <w:rsid w:val="008860BD"/>
    <w:rsid w:val="00887073"/>
    <w:rsid w:val="00887399"/>
    <w:rsid w:val="0088779E"/>
    <w:rsid w:val="008912AF"/>
    <w:rsid w:val="00892114"/>
    <w:rsid w:val="00892CB9"/>
    <w:rsid w:val="008935CB"/>
    <w:rsid w:val="008935FE"/>
    <w:rsid w:val="008A0953"/>
    <w:rsid w:val="008B0E7E"/>
    <w:rsid w:val="008B5FF0"/>
    <w:rsid w:val="008B65BD"/>
    <w:rsid w:val="008B7900"/>
    <w:rsid w:val="008C4A21"/>
    <w:rsid w:val="008C71BF"/>
    <w:rsid w:val="008C7FE0"/>
    <w:rsid w:val="008D5717"/>
    <w:rsid w:val="008E44A9"/>
    <w:rsid w:val="008E6B4D"/>
    <w:rsid w:val="008E6BFF"/>
    <w:rsid w:val="008F21AF"/>
    <w:rsid w:val="008F2400"/>
    <w:rsid w:val="008F61BA"/>
    <w:rsid w:val="008F6E3C"/>
    <w:rsid w:val="008F7C55"/>
    <w:rsid w:val="00902F21"/>
    <w:rsid w:val="0090338C"/>
    <w:rsid w:val="00914A23"/>
    <w:rsid w:val="00915A58"/>
    <w:rsid w:val="00930754"/>
    <w:rsid w:val="00931164"/>
    <w:rsid w:val="00934F68"/>
    <w:rsid w:val="009355AC"/>
    <w:rsid w:val="00935933"/>
    <w:rsid w:val="00935F38"/>
    <w:rsid w:val="00937586"/>
    <w:rsid w:val="00947889"/>
    <w:rsid w:val="00956FF1"/>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1401"/>
    <w:rsid w:val="009E247C"/>
    <w:rsid w:val="009E31BA"/>
    <w:rsid w:val="009E36AE"/>
    <w:rsid w:val="009E3BDE"/>
    <w:rsid w:val="009F0528"/>
    <w:rsid w:val="009F0806"/>
    <w:rsid w:val="009F0B47"/>
    <w:rsid w:val="009F233B"/>
    <w:rsid w:val="00A05D16"/>
    <w:rsid w:val="00A0659F"/>
    <w:rsid w:val="00A079BA"/>
    <w:rsid w:val="00A20374"/>
    <w:rsid w:val="00A33875"/>
    <w:rsid w:val="00A360A1"/>
    <w:rsid w:val="00A3630F"/>
    <w:rsid w:val="00A402B3"/>
    <w:rsid w:val="00A544B7"/>
    <w:rsid w:val="00A618CF"/>
    <w:rsid w:val="00A62770"/>
    <w:rsid w:val="00A62EEB"/>
    <w:rsid w:val="00A660FF"/>
    <w:rsid w:val="00A6625A"/>
    <w:rsid w:val="00A711E9"/>
    <w:rsid w:val="00A73395"/>
    <w:rsid w:val="00A82B4C"/>
    <w:rsid w:val="00A83EBB"/>
    <w:rsid w:val="00A846F0"/>
    <w:rsid w:val="00A93A4C"/>
    <w:rsid w:val="00A94D5D"/>
    <w:rsid w:val="00AA1D9B"/>
    <w:rsid w:val="00AA2543"/>
    <w:rsid w:val="00AA3804"/>
    <w:rsid w:val="00AA55C2"/>
    <w:rsid w:val="00AB0ACA"/>
    <w:rsid w:val="00AB0F78"/>
    <w:rsid w:val="00AB108F"/>
    <w:rsid w:val="00AB1D41"/>
    <w:rsid w:val="00AC5E9A"/>
    <w:rsid w:val="00AC704B"/>
    <w:rsid w:val="00AD35A7"/>
    <w:rsid w:val="00AD553E"/>
    <w:rsid w:val="00AD5848"/>
    <w:rsid w:val="00AE5ADA"/>
    <w:rsid w:val="00AF6145"/>
    <w:rsid w:val="00AF6F1D"/>
    <w:rsid w:val="00B01386"/>
    <w:rsid w:val="00B01BB5"/>
    <w:rsid w:val="00B042F0"/>
    <w:rsid w:val="00B04886"/>
    <w:rsid w:val="00B04AF4"/>
    <w:rsid w:val="00B05214"/>
    <w:rsid w:val="00B0736F"/>
    <w:rsid w:val="00B30D97"/>
    <w:rsid w:val="00B31738"/>
    <w:rsid w:val="00B3181A"/>
    <w:rsid w:val="00B35A7C"/>
    <w:rsid w:val="00B450D1"/>
    <w:rsid w:val="00B529F2"/>
    <w:rsid w:val="00B53D47"/>
    <w:rsid w:val="00B54A25"/>
    <w:rsid w:val="00B618C3"/>
    <w:rsid w:val="00B63652"/>
    <w:rsid w:val="00B668B0"/>
    <w:rsid w:val="00B70F5C"/>
    <w:rsid w:val="00B71873"/>
    <w:rsid w:val="00B7375D"/>
    <w:rsid w:val="00B75AE5"/>
    <w:rsid w:val="00B800C0"/>
    <w:rsid w:val="00B8132B"/>
    <w:rsid w:val="00B8443E"/>
    <w:rsid w:val="00B84C5A"/>
    <w:rsid w:val="00B858F5"/>
    <w:rsid w:val="00B85ADA"/>
    <w:rsid w:val="00B873E7"/>
    <w:rsid w:val="00B93668"/>
    <w:rsid w:val="00B969D8"/>
    <w:rsid w:val="00BA6540"/>
    <w:rsid w:val="00BA68C6"/>
    <w:rsid w:val="00BB12F1"/>
    <w:rsid w:val="00BB276E"/>
    <w:rsid w:val="00BB3FEE"/>
    <w:rsid w:val="00BB5EB0"/>
    <w:rsid w:val="00BB7A27"/>
    <w:rsid w:val="00BC245A"/>
    <w:rsid w:val="00BC340C"/>
    <w:rsid w:val="00BC5E3F"/>
    <w:rsid w:val="00BD087F"/>
    <w:rsid w:val="00BD16FA"/>
    <w:rsid w:val="00BD2BFD"/>
    <w:rsid w:val="00BD41C3"/>
    <w:rsid w:val="00BD488B"/>
    <w:rsid w:val="00BD7CCC"/>
    <w:rsid w:val="00BE002A"/>
    <w:rsid w:val="00BE1BC9"/>
    <w:rsid w:val="00BE5CDA"/>
    <w:rsid w:val="00BE608F"/>
    <w:rsid w:val="00BF23BB"/>
    <w:rsid w:val="00BF33DD"/>
    <w:rsid w:val="00BF5755"/>
    <w:rsid w:val="00BF684B"/>
    <w:rsid w:val="00C016F3"/>
    <w:rsid w:val="00C01754"/>
    <w:rsid w:val="00C068E9"/>
    <w:rsid w:val="00C0728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81EAA"/>
    <w:rsid w:val="00C83027"/>
    <w:rsid w:val="00C84B8A"/>
    <w:rsid w:val="00C85E65"/>
    <w:rsid w:val="00C87CA1"/>
    <w:rsid w:val="00C911B4"/>
    <w:rsid w:val="00C91B3B"/>
    <w:rsid w:val="00C94262"/>
    <w:rsid w:val="00C976E1"/>
    <w:rsid w:val="00CA148E"/>
    <w:rsid w:val="00CA300C"/>
    <w:rsid w:val="00CA3A9A"/>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5851"/>
    <w:rsid w:val="00D10FED"/>
    <w:rsid w:val="00D11736"/>
    <w:rsid w:val="00D12EE8"/>
    <w:rsid w:val="00D15FF1"/>
    <w:rsid w:val="00D167F4"/>
    <w:rsid w:val="00D2092A"/>
    <w:rsid w:val="00D20BBF"/>
    <w:rsid w:val="00D22065"/>
    <w:rsid w:val="00D2216D"/>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5191"/>
    <w:rsid w:val="00D825DA"/>
    <w:rsid w:val="00D843F4"/>
    <w:rsid w:val="00D90E33"/>
    <w:rsid w:val="00DA4A21"/>
    <w:rsid w:val="00DA77DB"/>
    <w:rsid w:val="00DC23CF"/>
    <w:rsid w:val="00DC6562"/>
    <w:rsid w:val="00DD1CF9"/>
    <w:rsid w:val="00DD5F69"/>
    <w:rsid w:val="00DE130D"/>
    <w:rsid w:val="00DE24CF"/>
    <w:rsid w:val="00DE407C"/>
    <w:rsid w:val="00DE4BC5"/>
    <w:rsid w:val="00DE7C7D"/>
    <w:rsid w:val="00DF072E"/>
    <w:rsid w:val="00DF2992"/>
    <w:rsid w:val="00DF2A55"/>
    <w:rsid w:val="00DF2D0C"/>
    <w:rsid w:val="00DF3EE5"/>
    <w:rsid w:val="00DF67AB"/>
    <w:rsid w:val="00E01B9D"/>
    <w:rsid w:val="00E04F5E"/>
    <w:rsid w:val="00E0522E"/>
    <w:rsid w:val="00E120F4"/>
    <w:rsid w:val="00E155F9"/>
    <w:rsid w:val="00E156BA"/>
    <w:rsid w:val="00E17172"/>
    <w:rsid w:val="00E216A0"/>
    <w:rsid w:val="00E24738"/>
    <w:rsid w:val="00E3181C"/>
    <w:rsid w:val="00E3280A"/>
    <w:rsid w:val="00E372AF"/>
    <w:rsid w:val="00E37D68"/>
    <w:rsid w:val="00E40EAE"/>
    <w:rsid w:val="00E42114"/>
    <w:rsid w:val="00E436AC"/>
    <w:rsid w:val="00E44FF8"/>
    <w:rsid w:val="00E5066A"/>
    <w:rsid w:val="00E52CF9"/>
    <w:rsid w:val="00E55970"/>
    <w:rsid w:val="00E63F34"/>
    <w:rsid w:val="00E6715A"/>
    <w:rsid w:val="00E75DC9"/>
    <w:rsid w:val="00E81610"/>
    <w:rsid w:val="00E84910"/>
    <w:rsid w:val="00E85B28"/>
    <w:rsid w:val="00E91976"/>
    <w:rsid w:val="00E947A6"/>
    <w:rsid w:val="00E97FC7"/>
    <w:rsid w:val="00EA0690"/>
    <w:rsid w:val="00EA3956"/>
    <w:rsid w:val="00EA5571"/>
    <w:rsid w:val="00EB17A9"/>
    <w:rsid w:val="00EC02A5"/>
    <w:rsid w:val="00EC176B"/>
    <w:rsid w:val="00EC3153"/>
    <w:rsid w:val="00EC33CD"/>
    <w:rsid w:val="00EC5BE5"/>
    <w:rsid w:val="00ED2650"/>
    <w:rsid w:val="00ED319D"/>
    <w:rsid w:val="00ED721A"/>
    <w:rsid w:val="00EE393D"/>
    <w:rsid w:val="00EE7EC5"/>
    <w:rsid w:val="00EF01CF"/>
    <w:rsid w:val="00EF6A66"/>
    <w:rsid w:val="00EF7AF9"/>
    <w:rsid w:val="00F01495"/>
    <w:rsid w:val="00F01EE6"/>
    <w:rsid w:val="00F04C59"/>
    <w:rsid w:val="00F10138"/>
    <w:rsid w:val="00F12DF4"/>
    <w:rsid w:val="00F13F92"/>
    <w:rsid w:val="00F16447"/>
    <w:rsid w:val="00F22ECA"/>
    <w:rsid w:val="00F240E8"/>
    <w:rsid w:val="00F244FA"/>
    <w:rsid w:val="00F273AA"/>
    <w:rsid w:val="00F3363A"/>
    <w:rsid w:val="00F34156"/>
    <w:rsid w:val="00F366A2"/>
    <w:rsid w:val="00F44F43"/>
    <w:rsid w:val="00F450E1"/>
    <w:rsid w:val="00F45BBF"/>
    <w:rsid w:val="00F50DF4"/>
    <w:rsid w:val="00F57AFE"/>
    <w:rsid w:val="00F6170B"/>
    <w:rsid w:val="00F6278E"/>
    <w:rsid w:val="00F63C41"/>
    <w:rsid w:val="00F63E96"/>
    <w:rsid w:val="00F701E3"/>
    <w:rsid w:val="00F715F0"/>
    <w:rsid w:val="00F71F8C"/>
    <w:rsid w:val="00F80362"/>
    <w:rsid w:val="00F8143B"/>
    <w:rsid w:val="00F836DD"/>
    <w:rsid w:val="00F86AD4"/>
    <w:rsid w:val="00F92EE4"/>
    <w:rsid w:val="00FA0113"/>
    <w:rsid w:val="00FA12B2"/>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24A5"/>
    <w:rsid w:val="00FE31E5"/>
    <w:rsid w:val="00FE4D8B"/>
    <w:rsid w:val="00FF18EC"/>
    <w:rsid w:val="00FF19AD"/>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145</cp:revision>
  <cp:lastPrinted>2022-10-13T06:38:00Z</cp:lastPrinted>
  <dcterms:created xsi:type="dcterms:W3CDTF">2022-06-09T08:02:00Z</dcterms:created>
  <dcterms:modified xsi:type="dcterms:W3CDTF">2023-04-13T07:25:00Z</dcterms:modified>
</cp:coreProperties>
</file>