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52A5E" w14:textId="77777777" w:rsidR="002A10AB" w:rsidRDefault="002A10AB" w:rsidP="002A10AB">
      <w:pPr>
        <w:jc w:val="right"/>
      </w:pPr>
    </w:p>
    <w:p w14:paraId="78EA376C" w14:textId="77777777" w:rsidR="002A10AB" w:rsidRDefault="002A10AB" w:rsidP="00D65191">
      <w:pPr>
        <w:jc w:val="both"/>
      </w:pPr>
    </w:p>
    <w:p w14:paraId="2A6EC9E3" w14:textId="77777777" w:rsidR="002A10AB" w:rsidRDefault="002A10AB" w:rsidP="002A10AB">
      <w:pPr>
        <w:jc w:val="right"/>
      </w:pPr>
    </w:p>
    <w:p w14:paraId="00772FE7" w14:textId="77777777" w:rsidR="002A10AB" w:rsidRDefault="002A10AB" w:rsidP="002A10AB">
      <w:pPr>
        <w:jc w:val="right"/>
      </w:pPr>
    </w:p>
    <w:p w14:paraId="749696B5" w14:textId="7BC89683" w:rsidR="002A10AB" w:rsidRDefault="00B7375D" w:rsidP="002A10AB">
      <w:pPr>
        <w:jc w:val="right"/>
        <w:rPr>
          <w:rFonts w:eastAsia="Malgun Gothic"/>
        </w:rPr>
      </w:pPr>
      <w:r>
        <w:t>24</w:t>
      </w:r>
      <w:r w:rsidR="002A10AB">
        <w:t xml:space="preserve"> </w:t>
      </w:r>
      <w:r>
        <w:t>June</w:t>
      </w:r>
      <w:r w:rsidR="002A10AB">
        <w:rPr>
          <w:rFonts w:eastAsia="Malgun Gothic"/>
        </w:rPr>
        <w:t>, 2022</w:t>
      </w:r>
    </w:p>
    <w:p w14:paraId="50208800" w14:textId="77777777" w:rsidR="002A10AB" w:rsidRDefault="002A10AB" w:rsidP="002A10AB">
      <w:pPr>
        <w:jc w:val="both"/>
        <w:rPr>
          <w:rFonts w:ascii="Arial" w:hAnsi="Arial" w:cs="Arial"/>
          <w:sz w:val="18"/>
          <w:szCs w:val="18"/>
        </w:rPr>
      </w:pPr>
    </w:p>
    <w:p w14:paraId="0B0E57B9" w14:textId="77777777" w:rsidR="002A10AB" w:rsidRDefault="002A10AB" w:rsidP="002A10AB">
      <w:pPr>
        <w:jc w:val="center"/>
        <w:rPr>
          <w:rFonts w:ascii="Verdana" w:eastAsia="Malgun Gothic" w:hAnsi="Verdana" w:cs="Arial"/>
          <w:b/>
          <w:sz w:val="24"/>
          <w:szCs w:val="24"/>
        </w:rPr>
      </w:pPr>
    </w:p>
    <w:p w14:paraId="40480104" w14:textId="77777777" w:rsidR="002A10AB" w:rsidRDefault="002A10AB" w:rsidP="002A10AB">
      <w:pPr>
        <w:jc w:val="center"/>
        <w:rPr>
          <w:rFonts w:ascii="Verdana" w:eastAsia="Malgun Gothic" w:hAnsi="Verdana" w:cs="Arial"/>
          <w:b/>
          <w:sz w:val="24"/>
          <w:szCs w:val="24"/>
        </w:rPr>
      </w:pPr>
      <w:r>
        <w:rPr>
          <w:rFonts w:ascii="Verdana" w:eastAsia="Malgun Gothic" w:hAnsi="Verdana" w:cs="Arial"/>
          <w:b/>
          <w:sz w:val="24"/>
          <w:szCs w:val="24"/>
        </w:rPr>
        <w:t>PRESS RELEASE</w:t>
      </w:r>
    </w:p>
    <w:p w14:paraId="255BC1C2" w14:textId="77777777" w:rsidR="002A10AB" w:rsidRDefault="002A10AB" w:rsidP="002A10AB">
      <w:pPr>
        <w:rPr>
          <w:rFonts w:ascii="Verdana" w:eastAsia="Malgun Gothic" w:hAnsi="Verdana" w:cs="Arial"/>
        </w:rPr>
      </w:pPr>
    </w:p>
    <w:p w14:paraId="4C24F802" w14:textId="77777777" w:rsidR="002A10AB" w:rsidRDefault="002A10AB" w:rsidP="002A10AB">
      <w:pPr>
        <w:rPr>
          <w:rFonts w:ascii="Verdana" w:eastAsia="Malgun Gothic" w:hAnsi="Verdana" w:cs="Arial"/>
        </w:rPr>
      </w:pPr>
    </w:p>
    <w:p w14:paraId="414B37F9" w14:textId="56481C99" w:rsidR="002A10AB" w:rsidRDefault="002A10AB" w:rsidP="002A10AB">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 xml:space="preserve">TOURIST ARRIVALS: </w:t>
      </w:r>
      <w:r w:rsidR="00715046">
        <w:rPr>
          <w:rFonts w:ascii="Verdana" w:eastAsia="Malgun Gothic" w:hAnsi="Verdana" w:cs="Arial"/>
          <w:szCs w:val="22"/>
          <w:lang w:val="en-US"/>
        </w:rPr>
        <w:t>MAY</w:t>
      </w:r>
      <w:r>
        <w:rPr>
          <w:rFonts w:ascii="Verdana" w:eastAsia="Malgun Gothic" w:hAnsi="Verdana" w:cs="Arial"/>
          <w:szCs w:val="22"/>
          <w:lang w:val="en-US"/>
        </w:rPr>
        <w:t xml:space="preserve"> 2022</w:t>
      </w:r>
    </w:p>
    <w:p w14:paraId="7DAF1DBA" w14:textId="77777777" w:rsidR="002A10AB" w:rsidRDefault="002A10AB" w:rsidP="002A10AB">
      <w:pPr>
        <w:rPr>
          <w:rFonts w:ascii="Verdana" w:eastAsia="Malgun Gothic" w:hAnsi="Verdana" w:cs="Arial"/>
        </w:rPr>
      </w:pPr>
    </w:p>
    <w:p w14:paraId="42145358" w14:textId="77777777" w:rsidR="002A10AB" w:rsidRDefault="002A10AB" w:rsidP="002A10AB">
      <w:pPr>
        <w:tabs>
          <w:tab w:val="left" w:pos="1080"/>
          <w:tab w:val="left" w:pos="6840"/>
        </w:tabs>
        <w:jc w:val="center"/>
        <w:rPr>
          <w:rFonts w:ascii="Verdana" w:eastAsia="Malgun Gothic" w:hAnsi="Verdana" w:cs="Arial"/>
          <w:b/>
          <w:sz w:val="18"/>
          <w:szCs w:val="18"/>
        </w:rPr>
      </w:pPr>
    </w:p>
    <w:p w14:paraId="20CE2AAA" w14:textId="77777777" w:rsidR="002A10AB" w:rsidRDefault="002A10AB" w:rsidP="002A10AB">
      <w:pPr>
        <w:tabs>
          <w:tab w:val="left" w:pos="1080"/>
          <w:tab w:val="left" w:pos="6840"/>
        </w:tabs>
        <w:jc w:val="both"/>
        <w:rPr>
          <w:rFonts w:ascii="Arial" w:hAnsi="Arial" w:cs="Arial"/>
          <w:sz w:val="20"/>
          <w:szCs w:val="20"/>
        </w:rPr>
      </w:pPr>
    </w:p>
    <w:p w14:paraId="2047917A" w14:textId="718271F5" w:rsidR="002A10AB" w:rsidRDefault="002A10AB" w:rsidP="002A10AB">
      <w:pPr>
        <w:pStyle w:val="BodyText"/>
        <w:ind w:right="176"/>
        <w:rPr>
          <w:rFonts w:ascii="Verdana" w:eastAsia="Malgun Gothic" w:hAnsi="Verdana"/>
          <w:sz w:val="18"/>
          <w:szCs w:val="18"/>
          <w:lang w:val="en-US"/>
        </w:rPr>
      </w:pPr>
      <w:r>
        <w:rPr>
          <w:rFonts w:ascii="Verdana" w:eastAsia="Malgun Gothic" w:hAnsi="Verdana"/>
          <w:sz w:val="18"/>
          <w:szCs w:val="18"/>
          <w:lang w:val="en-US"/>
        </w:rPr>
        <w:t xml:space="preserve">The arrivals of tourists reached </w:t>
      </w:r>
      <w:r w:rsidR="00715046" w:rsidRPr="00715046">
        <w:rPr>
          <w:rFonts w:ascii="Verdana" w:eastAsia="Malgun Gothic" w:hAnsi="Verdana"/>
          <w:sz w:val="18"/>
          <w:szCs w:val="18"/>
          <w:lang w:val="en-US"/>
        </w:rPr>
        <w:t>315.018</w:t>
      </w:r>
      <w:r>
        <w:rPr>
          <w:rFonts w:ascii="Verdana" w:eastAsia="Malgun Gothic" w:hAnsi="Verdana"/>
          <w:sz w:val="18"/>
          <w:szCs w:val="18"/>
          <w:lang w:val="en-US"/>
        </w:rPr>
        <w:t xml:space="preserve"> in </w:t>
      </w:r>
      <w:r w:rsidR="00715046">
        <w:rPr>
          <w:rFonts w:ascii="Verdana" w:eastAsia="Malgun Gothic" w:hAnsi="Verdana"/>
          <w:sz w:val="18"/>
          <w:szCs w:val="18"/>
          <w:lang w:val="en-US"/>
        </w:rPr>
        <w:t>May</w:t>
      </w:r>
      <w:r>
        <w:rPr>
          <w:rFonts w:ascii="Verdana" w:eastAsia="Malgun Gothic" w:hAnsi="Verdana"/>
          <w:sz w:val="18"/>
          <w:szCs w:val="18"/>
          <w:lang w:val="en-US"/>
        </w:rPr>
        <w:t xml:space="preserve"> 2022 compared to </w:t>
      </w:r>
      <w:r w:rsidR="00715046" w:rsidRPr="00715046">
        <w:rPr>
          <w:rFonts w:ascii="Verdana" w:eastAsia="Malgun Gothic" w:hAnsi="Verdana"/>
          <w:sz w:val="18"/>
          <w:szCs w:val="18"/>
          <w:lang w:val="en-US"/>
        </w:rPr>
        <w:t>100.852</w:t>
      </w:r>
      <w:r>
        <w:rPr>
          <w:rFonts w:ascii="Verdana" w:eastAsia="Malgun Gothic" w:hAnsi="Verdana"/>
          <w:sz w:val="18"/>
          <w:szCs w:val="18"/>
          <w:lang w:val="en-US"/>
        </w:rPr>
        <w:t xml:space="preserve"> arrivals that were recorded in </w:t>
      </w:r>
      <w:r w:rsidR="00715046">
        <w:rPr>
          <w:rFonts w:ascii="Verdana" w:eastAsia="Malgun Gothic" w:hAnsi="Verdana"/>
          <w:sz w:val="18"/>
          <w:szCs w:val="18"/>
          <w:lang w:val="en-US"/>
        </w:rPr>
        <w:t>May</w:t>
      </w:r>
      <w:r>
        <w:rPr>
          <w:rFonts w:ascii="Verdana" w:eastAsia="Malgun Gothic" w:hAnsi="Verdana"/>
          <w:sz w:val="18"/>
          <w:szCs w:val="18"/>
          <w:lang w:val="en-US"/>
        </w:rPr>
        <w:t xml:space="preserve"> 2021.</w:t>
      </w:r>
    </w:p>
    <w:p w14:paraId="74A4C75D" w14:textId="77777777" w:rsidR="002A10AB" w:rsidRDefault="002A10AB" w:rsidP="002A10AB">
      <w:pPr>
        <w:pStyle w:val="BodyText"/>
        <w:ind w:right="176"/>
        <w:rPr>
          <w:rFonts w:ascii="Verdana" w:eastAsia="Malgun Gothic" w:hAnsi="Verdana"/>
          <w:sz w:val="18"/>
          <w:szCs w:val="18"/>
          <w:lang w:val="en-US"/>
        </w:rPr>
      </w:pPr>
      <w:r>
        <w:rPr>
          <w:rFonts w:ascii="Verdana" w:eastAsia="Malgun Gothic" w:hAnsi="Verdana"/>
          <w:sz w:val="18"/>
          <w:szCs w:val="18"/>
          <w:lang w:val="en-US"/>
        </w:rPr>
        <w:t xml:space="preserve"> </w:t>
      </w:r>
    </w:p>
    <w:p w14:paraId="70813703" w14:textId="763954A3" w:rsidR="002A10AB" w:rsidRDefault="002A10AB" w:rsidP="002A10AB">
      <w:pPr>
        <w:pStyle w:val="BodyText"/>
        <w:ind w:right="176"/>
        <w:rPr>
          <w:rFonts w:ascii="Verdana" w:eastAsia="Malgun Gothic" w:hAnsi="Verdana"/>
          <w:sz w:val="18"/>
          <w:szCs w:val="18"/>
          <w:lang w:val="en-US"/>
        </w:rPr>
      </w:pPr>
      <w:r>
        <w:rPr>
          <w:rFonts w:ascii="Verdana" w:eastAsia="Malgun Gothic" w:hAnsi="Verdana"/>
          <w:sz w:val="18"/>
          <w:szCs w:val="18"/>
          <w:lang w:val="en-US"/>
        </w:rPr>
        <w:t xml:space="preserve">For the period of January – </w:t>
      </w:r>
      <w:r w:rsidR="00715046">
        <w:rPr>
          <w:rFonts w:ascii="Verdana" w:eastAsia="Malgun Gothic" w:hAnsi="Verdana"/>
          <w:sz w:val="18"/>
          <w:szCs w:val="18"/>
          <w:lang w:val="en-US"/>
        </w:rPr>
        <w:t>May</w:t>
      </w:r>
      <w:r>
        <w:rPr>
          <w:rFonts w:ascii="Verdana" w:eastAsia="Malgun Gothic" w:hAnsi="Verdana"/>
          <w:sz w:val="18"/>
          <w:szCs w:val="18"/>
          <w:lang w:val="en-US"/>
        </w:rPr>
        <w:t xml:space="preserve"> 2022, arrivals of tourists totaled </w:t>
      </w:r>
      <w:r w:rsidR="00715046" w:rsidRPr="00715046">
        <w:rPr>
          <w:rFonts w:ascii="Verdana" w:eastAsia="Malgun Gothic" w:hAnsi="Verdana"/>
          <w:sz w:val="18"/>
          <w:szCs w:val="18"/>
          <w:lang w:val="en-US"/>
        </w:rPr>
        <w:t>849.058</w:t>
      </w:r>
      <w:r>
        <w:rPr>
          <w:rFonts w:ascii="Verdana" w:eastAsia="Malgun Gothic" w:hAnsi="Verdana"/>
          <w:sz w:val="18"/>
          <w:szCs w:val="18"/>
          <w:lang w:val="en-US"/>
        </w:rPr>
        <w:t xml:space="preserve"> compared to </w:t>
      </w:r>
      <w:r w:rsidR="00715046" w:rsidRPr="00715046">
        <w:rPr>
          <w:rFonts w:ascii="Verdana" w:eastAsia="Malgun Gothic" w:hAnsi="Verdana"/>
          <w:sz w:val="18"/>
          <w:szCs w:val="18"/>
          <w:lang w:val="en-US"/>
        </w:rPr>
        <w:t>156.825</w:t>
      </w:r>
      <w:r>
        <w:rPr>
          <w:rFonts w:ascii="Verdana" w:eastAsia="Malgun Gothic" w:hAnsi="Verdana"/>
          <w:sz w:val="18"/>
          <w:szCs w:val="18"/>
          <w:lang w:val="en-US"/>
        </w:rPr>
        <w:t xml:space="preserve"> in the corresponding period of 2021, </w:t>
      </w:r>
      <w:r w:rsidR="00715046" w:rsidRPr="00715046">
        <w:rPr>
          <w:rFonts w:ascii="Verdana" w:eastAsia="Malgun Gothic" w:hAnsi="Verdana"/>
          <w:sz w:val="18"/>
          <w:szCs w:val="18"/>
          <w:lang w:val="en-US"/>
        </w:rPr>
        <w:t xml:space="preserve">246.556 </w:t>
      </w:r>
      <w:r w:rsidR="00533C9F">
        <w:rPr>
          <w:rFonts w:ascii="Verdana" w:eastAsia="Malgun Gothic" w:hAnsi="Verdana"/>
          <w:sz w:val="18"/>
          <w:szCs w:val="18"/>
          <w:lang w:val="en-US"/>
        </w:rPr>
        <w:t>in</w:t>
      </w:r>
      <w:r>
        <w:rPr>
          <w:rFonts w:ascii="Verdana" w:eastAsia="Malgun Gothic" w:hAnsi="Verdana"/>
          <w:sz w:val="18"/>
          <w:szCs w:val="18"/>
          <w:lang w:val="en-US"/>
        </w:rPr>
        <w:t xml:space="preserve"> the period of January – </w:t>
      </w:r>
      <w:r w:rsidR="00715046">
        <w:rPr>
          <w:rFonts w:ascii="Verdana" w:eastAsia="Malgun Gothic" w:hAnsi="Verdana"/>
          <w:sz w:val="18"/>
          <w:szCs w:val="18"/>
          <w:lang w:val="en-US"/>
        </w:rPr>
        <w:t>May</w:t>
      </w:r>
      <w:r>
        <w:rPr>
          <w:rFonts w:ascii="Verdana" w:eastAsia="Malgun Gothic" w:hAnsi="Verdana"/>
          <w:sz w:val="18"/>
          <w:szCs w:val="18"/>
          <w:lang w:val="en-US"/>
        </w:rPr>
        <w:t xml:space="preserve"> 2020 and </w:t>
      </w:r>
      <w:r w:rsidR="00715046" w:rsidRPr="00715046">
        <w:rPr>
          <w:rFonts w:ascii="Verdana" w:eastAsia="Malgun Gothic" w:hAnsi="Verdana"/>
          <w:sz w:val="18"/>
          <w:szCs w:val="18"/>
          <w:lang w:val="en-US"/>
        </w:rPr>
        <w:t>1.121.361</w:t>
      </w:r>
      <w:r>
        <w:rPr>
          <w:rFonts w:ascii="Verdana" w:eastAsia="Malgun Gothic" w:hAnsi="Verdana"/>
          <w:sz w:val="18"/>
          <w:szCs w:val="18"/>
          <w:lang w:val="en-US"/>
        </w:rPr>
        <w:t xml:space="preserve"> arrivals </w:t>
      </w:r>
      <w:r w:rsidR="00935933">
        <w:rPr>
          <w:rFonts w:ascii="Verdana" w:eastAsia="Malgun Gothic" w:hAnsi="Verdana"/>
          <w:sz w:val="18"/>
          <w:szCs w:val="18"/>
          <w:lang w:val="en-US"/>
        </w:rPr>
        <w:t>in</w:t>
      </w:r>
      <w:r>
        <w:rPr>
          <w:rFonts w:ascii="Verdana" w:eastAsia="Malgun Gothic" w:hAnsi="Verdana"/>
          <w:sz w:val="18"/>
          <w:szCs w:val="18"/>
          <w:lang w:val="en-US"/>
        </w:rPr>
        <w:t xml:space="preserve"> the period of January – </w:t>
      </w:r>
      <w:r w:rsidR="00715046">
        <w:rPr>
          <w:rFonts w:ascii="Verdana" w:eastAsia="Malgun Gothic" w:hAnsi="Verdana"/>
          <w:sz w:val="18"/>
          <w:szCs w:val="18"/>
          <w:lang w:val="en-US"/>
        </w:rPr>
        <w:t>May</w:t>
      </w:r>
      <w:r>
        <w:rPr>
          <w:rFonts w:ascii="Verdana" w:eastAsia="Malgun Gothic" w:hAnsi="Verdana"/>
          <w:sz w:val="18"/>
          <w:szCs w:val="18"/>
          <w:lang w:val="en-US"/>
        </w:rPr>
        <w:t xml:space="preserve"> 2019.</w:t>
      </w:r>
    </w:p>
    <w:p w14:paraId="28287497" w14:textId="77777777" w:rsidR="002A10AB" w:rsidRDefault="002A10AB" w:rsidP="002A10AB">
      <w:pPr>
        <w:pStyle w:val="BodyText"/>
        <w:ind w:right="176"/>
        <w:rPr>
          <w:rFonts w:ascii="Verdana" w:eastAsia="Malgun Gothic" w:hAnsi="Verdana"/>
          <w:sz w:val="18"/>
          <w:szCs w:val="18"/>
          <w:lang w:val="en-US"/>
        </w:rPr>
      </w:pPr>
    </w:p>
    <w:p w14:paraId="330D7A21" w14:textId="2F743D00" w:rsidR="002A10AB" w:rsidRDefault="002A10AB" w:rsidP="002A10AB">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 xml:space="preserve">Arrivals from the United Kingdom were the main source of tourism for </w:t>
      </w:r>
      <w:r w:rsidR="00715046">
        <w:rPr>
          <w:rFonts w:ascii="Verdana" w:eastAsia="Malgun Gothic" w:hAnsi="Verdana" w:cs="Arial"/>
          <w:sz w:val="18"/>
          <w:szCs w:val="18"/>
        </w:rPr>
        <w:t>May</w:t>
      </w:r>
      <w:r>
        <w:rPr>
          <w:rFonts w:ascii="Verdana" w:eastAsia="Malgun Gothic" w:hAnsi="Verdana" w:cs="Arial"/>
          <w:sz w:val="18"/>
          <w:szCs w:val="18"/>
        </w:rPr>
        <w:t xml:space="preserve"> 2022, with a share of </w:t>
      </w:r>
      <w:r>
        <w:rPr>
          <w:rFonts w:ascii="Verdana" w:eastAsia="Malgun Gothic" w:hAnsi="Verdana"/>
          <w:sz w:val="18"/>
          <w:szCs w:val="18"/>
        </w:rPr>
        <w:t>40,1</w:t>
      </w:r>
      <w:r>
        <w:rPr>
          <w:rFonts w:ascii="Verdana" w:eastAsia="Malgun Gothic" w:hAnsi="Verdana" w:cs="Arial"/>
          <w:sz w:val="18"/>
          <w:szCs w:val="18"/>
        </w:rPr>
        <w:t>% (</w:t>
      </w:r>
      <w:r w:rsidR="00DF3EE5" w:rsidRPr="00C675E4">
        <w:rPr>
          <w:rFonts w:ascii="Verdana" w:eastAsia="Malgun Gothic" w:hAnsi="Verdana"/>
          <w:sz w:val="18"/>
          <w:szCs w:val="18"/>
        </w:rPr>
        <w:t>126</w:t>
      </w:r>
      <w:r w:rsidR="00DF3EE5" w:rsidRPr="00DF3EE5">
        <w:rPr>
          <w:rFonts w:ascii="Verdana" w:eastAsia="Malgun Gothic" w:hAnsi="Verdana"/>
          <w:sz w:val="18"/>
          <w:szCs w:val="18"/>
        </w:rPr>
        <w:t>.</w:t>
      </w:r>
      <w:r w:rsidR="00DF3EE5" w:rsidRPr="00C675E4">
        <w:rPr>
          <w:rFonts w:ascii="Verdana" w:eastAsia="Malgun Gothic" w:hAnsi="Verdana"/>
          <w:sz w:val="18"/>
          <w:szCs w:val="18"/>
        </w:rPr>
        <w:t>324</w:t>
      </w:r>
      <w:r>
        <w:rPr>
          <w:rFonts w:ascii="Verdana" w:eastAsia="Malgun Gothic" w:hAnsi="Verdana" w:cs="Arial"/>
          <w:sz w:val="18"/>
          <w:szCs w:val="18"/>
        </w:rPr>
        <w:t xml:space="preserve">) of total arrivals, followed by </w:t>
      </w:r>
      <w:r w:rsidR="00DF3EE5">
        <w:rPr>
          <w:rFonts w:ascii="Verdana" w:eastAsia="Malgun Gothic" w:hAnsi="Verdana" w:cs="Arial"/>
          <w:sz w:val="18"/>
          <w:szCs w:val="18"/>
        </w:rPr>
        <w:t xml:space="preserve">Poland </w:t>
      </w:r>
      <w:r>
        <w:rPr>
          <w:rFonts w:ascii="Verdana" w:eastAsia="Malgun Gothic" w:hAnsi="Verdana" w:cs="Arial"/>
          <w:sz w:val="18"/>
          <w:szCs w:val="18"/>
        </w:rPr>
        <w:t xml:space="preserve">with </w:t>
      </w:r>
      <w:r w:rsidR="00DF3EE5" w:rsidRPr="00DF3EE5">
        <w:rPr>
          <w:rFonts w:ascii="Verdana" w:eastAsia="Malgun Gothic" w:hAnsi="Verdana"/>
          <w:sz w:val="18"/>
          <w:szCs w:val="18"/>
        </w:rPr>
        <w:t>7</w:t>
      </w:r>
      <w:r w:rsidR="00DF3EE5" w:rsidRPr="00A420B1">
        <w:rPr>
          <w:rFonts w:ascii="Verdana" w:eastAsia="Malgun Gothic" w:hAnsi="Verdana"/>
          <w:sz w:val="18"/>
          <w:szCs w:val="18"/>
        </w:rPr>
        <w:t>,</w:t>
      </w:r>
      <w:r w:rsidR="00DF3EE5" w:rsidRPr="00DF3EE5">
        <w:rPr>
          <w:rFonts w:ascii="Verdana" w:eastAsia="Malgun Gothic" w:hAnsi="Verdana"/>
          <w:sz w:val="18"/>
          <w:szCs w:val="18"/>
        </w:rPr>
        <w:t>4</w:t>
      </w:r>
      <w:r>
        <w:rPr>
          <w:rFonts w:ascii="Verdana" w:eastAsia="Malgun Gothic" w:hAnsi="Verdana" w:cs="Arial"/>
          <w:sz w:val="18"/>
          <w:szCs w:val="18"/>
        </w:rPr>
        <w:t>% (</w:t>
      </w:r>
      <w:r w:rsidR="00DF3EE5" w:rsidRPr="00C675E4">
        <w:rPr>
          <w:rFonts w:ascii="Verdana" w:eastAsia="Malgun Gothic" w:hAnsi="Verdana"/>
          <w:sz w:val="18"/>
          <w:szCs w:val="18"/>
        </w:rPr>
        <w:t>23</w:t>
      </w:r>
      <w:r w:rsidR="00DF3EE5" w:rsidRPr="00DF3EE5">
        <w:rPr>
          <w:rFonts w:ascii="Verdana" w:eastAsia="Malgun Gothic" w:hAnsi="Verdana"/>
          <w:sz w:val="18"/>
          <w:szCs w:val="18"/>
        </w:rPr>
        <w:t>.</w:t>
      </w:r>
      <w:r w:rsidR="00DF3EE5" w:rsidRPr="00C675E4">
        <w:rPr>
          <w:rFonts w:ascii="Verdana" w:eastAsia="Malgun Gothic" w:hAnsi="Verdana"/>
          <w:sz w:val="18"/>
          <w:szCs w:val="18"/>
        </w:rPr>
        <w:t>197</w:t>
      </w:r>
      <w:r>
        <w:rPr>
          <w:rFonts w:ascii="Verdana" w:eastAsia="Malgun Gothic" w:hAnsi="Verdana" w:cs="Arial"/>
          <w:sz w:val="18"/>
          <w:szCs w:val="18"/>
        </w:rPr>
        <w:t xml:space="preserve">), Israel with </w:t>
      </w:r>
      <w:r w:rsidR="00DF3EE5" w:rsidRPr="00DF3EE5">
        <w:rPr>
          <w:rFonts w:ascii="Verdana" w:eastAsia="Malgun Gothic" w:hAnsi="Verdana"/>
          <w:sz w:val="18"/>
          <w:szCs w:val="18"/>
        </w:rPr>
        <w:t>6</w:t>
      </w:r>
      <w:r w:rsidR="00DF3EE5">
        <w:rPr>
          <w:rFonts w:ascii="Verdana" w:eastAsia="Malgun Gothic" w:hAnsi="Verdana"/>
          <w:sz w:val="18"/>
          <w:szCs w:val="18"/>
        </w:rPr>
        <w:t>,</w:t>
      </w:r>
      <w:r w:rsidR="00DF3EE5" w:rsidRPr="00DF3EE5">
        <w:rPr>
          <w:rFonts w:ascii="Verdana" w:eastAsia="Malgun Gothic" w:hAnsi="Verdana"/>
          <w:sz w:val="18"/>
          <w:szCs w:val="18"/>
        </w:rPr>
        <w:t>9</w:t>
      </w:r>
      <w:r>
        <w:rPr>
          <w:rFonts w:ascii="Verdana" w:eastAsia="Malgun Gothic" w:hAnsi="Verdana" w:cs="Arial"/>
          <w:sz w:val="18"/>
          <w:szCs w:val="18"/>
        </w:rPr>
        <w:t>% (</w:t>
      </w:r>
      <w:r w:rsidR="00DF3EE5" w:rsidRPr="00C675E4">
        <w:rPr>
          <w:rFonts w:ascii="Verdana" w:eastAsia="Malgun Gothic" w:hAnsi="Verdana"/>
          <w:sz w:val="18"/>
          <w:szCs w:val="18"/>
        </w:rPr>
        <w:t>21.749</w:t>
      </w:r>
      <w:r>
        <w:rPr>
          <w:rFonts w:ascii="Verdana" w:eastAsia="Malgun Gothic" w:hAnsi="Verdana" w:cs="Arial"/>
          <w:sz w:val="18"/>
          <w:szCs w:val="18"/>
        </w:rPr>
        <w:t>),</w:t>
      </w:r>
      <w:r w:rsidR="00DF3EE5" w:rsidRPr="00DF3EE5">
        <w:rPr>
          <w:rFonts w:ascii="Verdana" w:eastAsia="Malgun Gothic" w:hAnsi="Verdana" w:cs="Arial"/>
          <w:sz w:val="18"/>
          <w:szCs w:val="18"/>
        </w:rPr>
        <w:t xml:space="preserve"> </w:t>
      </w:r>
      <w:r w:rsidR="00DF3EE5">
        <w:rPr>
          <w:rFonts w:ascii="Verdana" w:eastAsia="Malgun Gothic" w:hAnsi="Verdana" w:cs="Arial"/>
          <w:sz w:val="18"/>
          <w:szCs w:val="18"/>
        </w:rPr>
        <w:t xml:space="preserve">Germany with </w:t>
      </w:r>
      <w:r w:rsidR="00DF3EE5" w:rsidRPr="0096436A">
        <w:rPr>
          <w:rFonts w:ascii="Verdana" w:eastAsia="Malgun Gothic" w:hAnsi="Verdana"/>
          <w:sz w:val="18"/>
          <w:szCs w:val="18"/>
        </w:rPr>
        <w:t>6</w:t>
      </w:r>
      <w:r w:rsidR="00DF3EE5" w:rsidRPr="00A420B1">
        <w:rPr>
          <w:rFonts w:ascii="Verdana" w:eastAsia="Malgun Gothic" w:hAnsi="Verdana"/>
          <w:sz w:val="18"/>
          <w:szCs w:val="18"/>
        </w:rPr>
        <w:t>,</w:t>
      </w:r>
      <w:r w:rsidR="00DF3EE5">
        <w:rPr>
          <w:rFonts w:ascii="Verdana" w:eastAsia="Malgun Gothic" w:hAnsi="Verdana"/>
          <w:sz w:val="18"/>
          <w:szCs w:val="18"/>
        </w:rPr>
        <w:t>5</w:t>
      </w:r>
      <w:r w:rsidR="00DF3EE5">
        <w:rPr>
          <w:rFonts w:ascii="Verdana" w:eastAsia="Malgun Gothic" w:hAnsi="Verdana" w:cs="Arial"/>
          <w:sz w:val="18"/>
          <w:szCs w:val="18"/>
        </w:rPr>
        <w:t>% (</w:t>
      </w:r>
      <w:r w:rsidR="00DF3EE5" w:rsidRPr="00C675E4">
        <w:rPr>
          <w:rFonts w:ascii="Verdana" w:eastAsia="Malgun Gothic" w:hAnsi="Verdana"/>
          <w:sz w:val="18"/>
          <w:szCs w:val="18"/>
        </w:rPr>
        <w:t>20</w:t>
      </w:r>
      <w:r w:rsidR="00DF3EE5">
        <w:rPr>
          <w:rFonts w:ascii="Verdana" w:eastAsia="Malgun Gothic" w:hAnsi="Verdana"/>
          <w:sz w:val="18"/>
          <w:szCs w:val="18"/>
        </w:rPr>
        <w:t>.</w:t>
      </w:r>
      <w:r w:rsidR="00DF3EE5" w:rsidRPr="00C675E4">
        <w:rPr>
          <w:rFonts w:ascii="Verdana" w:eastAsia="Malgun Gothic" w:hAnsi="Verdana"/>
          <w:sz w:val="18"/>
          <w:szCs w:val="18"/>
        </w:rPr>
        <w:t>592</w:t>
      </w:r>
      <w:r w:rsidR="00DF3EE5">
        <w:rPr>
          <w:rFonts w:ascii="Verdana" w:eastAsia="Malgun Gothic" w:hAnsi="Verdana" w:cs="Arial"/>
          <w:sz w:val="18"/>
          <w:szCs w:val="18"/>
        </w:rPr>
        <w:t>), Sweden</w:t>
      </w:r>
      <w:r>
        <w:rPr>
          <w:rFonts w:ascii="Verdana" w:eastAsia="Malgun Gothic" w:hAnsi="Verdana" w:cs="Arial"/>
          <w:sz w:val="18"/>
          <w:szCs w:val="18"/>
        </w:rPr>
        <w:t xml:space="preserve"> with </w:t>
      </w:r>
      <w:r w:rsidR="00DF3EE5">
        <w:rPr>
          <w:rFonts w:ascii="Verdana" w:eastAsia="Malgun Gothic" w:hAnsi="Verdana"/>
          <w:sz w:val="18"/>
          <w:szCs w:val="18"/>
        </w:rPr>
        <w:t>5</w:t>
      </w:r>
      <w:r w:rsidR="00DF3EE5" w:rsidRPr="00A420B1">
        <w:rPr>
          <w:rFonts w:ascii="Verdana" w:eastAsia="Malgun Gothic" w:hAnsi="Verdana"/>
          <w:sz w:val="18"/>
          <w:szCs w:val="18"/>
        </w:rPr>
        <w:t>,</w:t>
      </w:r>
      <w:r w:rsidR="00DF3EE5">
        <w:rPr>
          <w:rFonts w:ascii="Verdana" w:eastAsia="Malgun Gothic" w:hAnsi="Verdana"/>
          <w:sz w:val="18"/>
          <w:szCs w:val="18"/>
        </w:rPr>
        <w:t>1</w:t>
      </w:r>
      <w:r>
        <w:rPr>
          <w:rFonts w:ascii="Verdana" w:eastAsia="Malgun Gothic" w:hAnsi="Verdana" w:cs="Arial"/>
          <w:sz w:val="18"/>
          <w:szCs w:val="18"/>
        </w:rPr>
        <w:t>% (</w:t>
      </w:r>
      <w:r w:rsidR="00DF3EE5" w:rsidRPr="00C675E4">
        <w:rPr>
          <w:rFonts w:ascii="Verdana" w:eastAsia="Malgun Gothic" w:hAnsi="Verdana"/>
          <w:sz w:val="18"/>
          <w:szCs w:val="18"/>
        </w:rPr>
        <w:t>15.943</w:t>
      </w:r>
      <w:r>
        <w:rPr>
          <w:rFonts w:ascii="Verdana" w:eastAsia="Malgun Gothic" w:hAnsi="Verdana" w:cs="Arial"/>
          <w:sz w:val="18"/>
          <w:szCs w:val="18"/>
        </w:rPr>
        <w:t xml:space="preserve">) and </w:t>
      </w:r>
      <w:r w:rsidR="00DF3EE5">
        <w:rPr>
          <w:rFonts w:ascii="Verdana" w:eastAsia="Malgun Gothic" w:hAnsi="Verdana" w:cs="Arial"/>
          <w:sz w:val="18"/>
          <w:szCs w:val="18"/>
        </w:rPr>
        <w:t xml:space="preserve">Greece </w:t>
      </w:r>
      <w:r>
        <w:rPr>
          <w:rFonts w:ascii="Verdana" w:eastAsia="Malgun Gothic" w:hAnsi="Verdana" w:cs="Arial"/>
          <w:sz w:val="18"/>
          <w:szCs w:val="18"/>
        </w:rPr>
        <w:t xml:space="preserve">with </w:t>
      </w:r>
      <w:r w:rsidR="00DF3EE5">
        <w:rPr>
          <w:rFonts w:ascii="Verdana" w:eastAsia="Malgun Gothic" w:hAnsi="Verdana"/>
          <w:sz w:val="18"/>
          <w:szCs w:val="18"/>
        </w:rPr>
        <w:t>4</w:t>
      </w:r>
      <w:r w:rsidR="00DF3EE5" w:rsidRPr="00833B53">
        <w:rPr>
          <w:rFonts w:ascii="Verdana" w:eastAsia="Malgun Gothic" w:hAnsi="Verdana"/>
          <w:sz w:val="18"/>
          <w:szCs w:val="18"/>
        </w:rPr>
        <w:t>,</w:t>
      </w:r>
      <w:r w:rsidR="00DF3EE5">
        <w:rPr>
          <w:rFonts w:ascii="Verdana" w:eastAsia="Malgun Gothic" w:hAnsi="Verdana"/>
          <w:sz w:val="18"/>
          <w:szCs w:val="18"/>
        </w:rPr>
        <w:t>4</w:t>
      </w:r>
      <w:r>
        <w:rPr>
          <w:rFonts w:ascii="Verdana" w:eastAsia="Malgun Gothic" w:hAnsi="Verdana" w:cs="Arial"/>
          <w:sz w:val="18"/>
          <w:szCs w:val="18"/>
        </w:rPr>
        <w:t>% (</w:t>
      </w:r>
      <w:r w:rsidR="00DF3EE5" w:rsidRPr="00C675E4">
        <w:rPr>
          <w:rFonts w:ascii="Verdana" w:eastAsia="Malgun Gothic" w:hAnsi="Verdana"/>
          <w:sz w:val="18"/>
          <w:szCs w:val="18"/>
        </w:rPr>
        <w:t>13.905</w:t>
      </w:r>
      <w:r>
        <w:rPr>
          <w:rFonts w:ascii="Verdana" w:eastAsia="Malgun Gothic" w:hAnsi="Verdana" w:cs="Arial"/>
          <w:sz w:val="18"/>
          <w:szCs w:val="18"/>
        </w:rPr>
        <w:t>).</w:t>
      </w:r>
    </w:p>
    <w:p w14:paraId="27132373" w14:textId="77777777" w:rsidR="002A10AB" w:rsidRDefault="002A10AB" w:rsidP="002A10AB">
      <w:pPr>
        <w:tabs>
          <w:tab w:val="left" w:pos="6840"/>
        </w:tabs>
        <w:jc w:val="both"/>
        <w:rPr>
          <w:rFonts w:ascii="Verdana" w:eastAsia="Malgun Gothic" w:hAnsi="Verdana" w:cs="Arial"/>
          <w:sz w:val="18"/>
          <w:szCs w:val="18"/>
        </w:rPr>
      </w:pPr>
      <w:r>
        <w:rPr>
          <w:rFonts w:ascii="Verdana" w:eastAsia="Malgun Gothic" w:hAnsi="Verdana" w:cs="Arial"/>
          <w:sz w:val="18"/>
          <w:szCs w:val="18"/>
        </w:rPr>
        <w:tab/>
      </w:r>
    </w:p>
    <w:p w14:paraId="2443B5FD" w14:textId="1595659A" w:rsidR="002A10AB" w:rsidRPr="00D65191" w:rsidRDefault="002A10AB" w:rsidP="002A10AB">
      <w:pPr>
        <w:ind w:right="176"/>
        <w:jc w:val="both"/>
        <w:rPr>
          <w:rFonts w:ascii="Verdana" w:eastAsia="Malgun Gothic" w:hAnsi="Verdana" w:cs="Arial"/>
          <w:sz w:val="18"/>
          <w:szCs w:val="18"/>
        </w:rPr>
      </w:pPr>
      <w:r w:rsidRPr="00D65191">
        <w:rPr>
          <w:rFonts w:ascii="Verdana" w:eastAsia="Malgun Gothic" w:hAnsi="Verdana" w:cs="Arial"/>
          <w:sz w:val="18"/>
          <w:szCs w:val="18"/>
        </w:rPr>
        <w:t xml:space="preserve">For a percentage of </w:t>
      </w:r>
      <w:r w:rsidR="00956FF1" w:rsidRPr="00D65191">
        <w:rPr>
          <w:rFonts w:ascii="Verdana" w:eastAsia="Malgun Gothic" w:hAnsi="Verdana" w:cs="Arial"/>
          <w:sz w:val="18"/>
          <w:szCs w:val="18"/>
        </w:rPr>
        <w:t>79,5</w:t>
      </w:r>
      <w:r w:rsidRPr="00D65191">
        <w:rPr>
          <w:rFonts w:ascii="Verdana" w:eastAsia="Malgun Gothic" w:hAnsi="Verdana" w:cs="Arial"/>
          <w:sz w:val="18"/>
          <w:szCs w:val="18"/>
        </w:rPr>
        <w:t xml:space="preserve">% of tourists, the purpose of their trip in </w:t>
      </w:r>
      <w:r w:rsidR="00715046" w:rsidRPr="00D65191">
        <w:rPr>
          <w:rFonts w:ascii="Verdana" w:eastAsia="Malgun Gothic" w:hAnsi="Verdana" w:cs="Arial"/>
          <w:sz w:val="18"/>
          <w:szCs w:val="18"/>
          <w:lang w:val="en-GB"/>
        </w:rPr>
        <w:t>May</w:t>
      </w:r>
      <w:r w:rsidRPr="00D65191">
        <w:rPr>
          <w:rFonts w:ascii="Verdana" w:eastAsia="Malgun Gothic" w:hAnsi="Verdana" w:cs="Arial"/>
          <w:sz w:val="18"/>
          <w:szCs w:val="18"/>
          <w:lang w:val="en-GB"/>
        </w:rPr>
        <w:t xml:space="preserve"> </w:t>
      </w:r>
      <w:r w:rsidRPr="00D65191">
        <w:rPr>
          <w:rFonts w:ascii="Verdana" w:eastAsia="Malgun Gothic" w:hAnsi="Verdana" w:cs="Arial"/>
          <w:sz w:val="18"/>
          <w:szCs w:val="18"/>
        </w:rPr>
        <w:t xml:space="preserve">2022 was holidays, for </w:t>
      </w:r>
      <w:r w:rsidR="00956FF1" w:rsidRPr="00D65191">
        <w:rPr>
          <w:rFonts w:ascii="Verdana" w:eastAsia="Times New Roman" w:hAnsi="Verdana" w:cs="Arial"/>
          <w:sz w:val="18"/>
          <w:szCs w:val="18"/>
        </w:rPr>
        <w:t>12,5</w:t>
      </w:r>
      <w:r w:rsidRPr="00D65191">
        <w:rPr>
          <w:rFonts w:ascii="Verdana" w:eastAsia="Malgun Gothic" w:hAnsi="Verdana" w:cs="Arial"/>
          <w:sz w:val="18"/>
          <w:szCs w:val="18"/>
        </w:rPr>
        <w:t xml:space="preserve">% visit to friends and relatives and for </w:t>
      </w:r>
      <w:r w:rsidR="00956FF1" w:rsidRPr="00D65191">
        <w:rPr>
          <w:rFonts w:ascii="Verdana" w:eastAsia="Malgun Gothic" w:hAnsi="Verdana" w:cs="Arial"/>
          <w:sz w:val="18"/>
          <w:szCs w:val="18"/>
        </w:rPr>
        <w:t>7,9</w:t>
      </w:r>
      <w:r w:rsidRPr="00D65191">
        <w:rPr>
          <w:rFonts w:ascii="Verdana" w:eastAsia="Malgun Gothic" w:hAnsi="Verdana" w:cs="Arial"/>
          <w:sz w:val="18"/>
          <w:szCs w:val="18"/>
        </w:rPr>
        <w:t xml:space="preserve">% business. Respectively, in </w:t>
      </w:r>
      <w:r w:rsidR="00715046" w:rsidRPr="00D65191">
        <w:rPr>
          <w:rFonts w:ascii="Verdana" w:eastAsia="Malgun Gothic" w:hAnsi="Verdana" w:cs="Arial"/>
          <w:sz w:val="18"/>
          <w:szCs w:val="18"/>
        </w:rPr>
        <w:t>May</w:t>
      </w:r>
      <w:r w:rsidRPr="00D65191">
        <w:rPr>
          <w:rFonts w:ascii="Verdana" w:eastAsia="Malgun Gothic" w:hAnsi="Verdana" w:cs="Arial"/>
          <w:sz w:val="18"/>
          <w:szCs w:val="18"/>
        </w:rPr>
        <w:t xml:space="preserve"> 2021, </w:t>
      </w:r>
      <w:r w:rsidR="00956FF1" w:rsidRPr="00D65191">
        <w:rPr>
          <w:rFonts w:ascii="Verdana" w:eastAsia="Times New Roman" w:hAnsi="Verdana" w:cs="Arial"/>
          <w:sz w:val="18"/>
          <w:szCs w:val="18"/>
        </w:rPr>
        <w:t>80,7</w:t>
      </w:r>
      <w:r w:rsidRPr="00D65191">
        <w:rPr>
          <w:rFonts w:ascii="Verdana" w:eastAsia="Malgun Gothic" w:hAnsi="Verdana" w:cs="Arial"/>
          <w:sz w:val="18"/>
          <w:szCs w:val="18"/>
        </w:rPr>
        <w:t xml:space="preserve">% of tourists visited Cyprus for holidays, </w:t>
      </w:r>
      <w:r w:rsidR="00956FF1" w:rsidRPr="00D65191">
        <w:rPr>
          <w:rFonts w:ascii="Verdana" w:eastAsia="Malgun Gothic" w:hAnsi="Verdana" w:cs="Arial"/>
          <w:sz w:val="18"/>
          <w:szCs w:val="18"/>
        </w:rPr>
        <w:t>9,8</w:t>
      </w:r>
      <w:r w:rsidRPr="00D65191">
        <w:rPr>
          <w:rFonts w:ascii="Verdana" w:eastAsia="Malgun Gothic" w:hAnsi="Verdana" w:cs="Arial"/>
          <w:sz w:val="18"/>
          <w:szCs w:val="18"/>
        </w:rPr>
        <w:t xml:space="preserve">% visited friends or relatives and </w:t>
      </w:r>
      <w:r w:rsidR="00956FF1" w:rsidRPr="00D65191">
        <w:rPr>
          <w:rFonts w:ascii="Verdana" w:eastAsia="Malgun Gothic" w:hAnsi="Verdana" w:cs="Arial"/>
          <w:sz w:val="18"/>
          <w:szCs w:val="18"/>
        </w:rPr>
        <w:t>9,4</w:t>
      </w:r>
      <w:r w:rsidRPr="00D65191">
        <w:rPr>
          <w:rFonts w:ascii="Verdana" w:eastAsia="Malgun Gothic" w:hAnsi="Verdana" w:cs="Arial"/>
          <w:sz w:val="18"/>
          <w:szCs w:val="18"/>
        </w:rPr>
        <w:t>% visited Cyprus for business reasons.</w:t>
      </w:r>
    </w:p>
    <w:p w14:paraId="54A98220" w14:textId="77777777" w:rsidR="002A10AB" w:rsidRPr="00D65191" w:rsidRDefault="002A10AB" w:rsidP="002A10AB">
      <w:pPr>
        <w:tabs>
          <w:tab w:val="left" w:pos="1080"/>
          <w:tab w:val="left" w:pos="6840"/>
        </w:tabs>
        <w:ind w:right="176"/>
        <w:jc w:val="both"/>
        <w:rPr>
          <w:rFonts w:ascii="Verdana" w:eastAsia="Malgun Gothic" w:hAnsi="Verdana" w:cs="Arial"/>
          <w:sz w:val="18"/>
          <w:szCs w:val="18"/>
        </w:rPr>
      </w:pPr>
    </w:p>
    <w:p w14:paraId="05F1EFF4" w14:textId="77777777" w:rsidR="002A10AB" w:rsidRPr="00D65191" w:rsidRDefault="002A10AB" w:rsidP="002A10AB">
      <w:pPr>
        <w:tabs>
          <w:tab w:val="left" w:pos="1080"/>
          <w:tab w:val="left" w:pos="6840"/>
        </w:tabs>
        <w:jc w:val="both"/>
        <w:rPr>
          <w:rFonts w:ascii="Verdana" w:eastAsia="Malgun Gothic" w:hAnsi="Verdana" w:cs="Arial"/>
          <w:sz w:val="18"/>
          <w:szCs w:val="18"/>
          <w:u w:val="single"/>
        </w:rPr>
      </w:pPr>
    </w:p>
    <w:p w14:paraId="2D8F0D74" w14:textId="77777777" w:rsidR="002A10AB" w:rsidRPr="00D65191" w:rsidRDefault="002A10AB" w:rsidP="002A10AB">
      <w:pPr>
        <w:tabs>
          <w:tab w:val="left" w:pos="1080"/>
          <w:tab w:val="left" w:pos="6840"/>
        </w:tabs>
        <w:jc w:val="both"/>
        <w:rPr>
          <w:rFonts w:ascii="Verdana" w:eastAsia="Malgun Gothic" w:hAnsi="Verdana" w:cs="Arial"/>
          <w:sz w:val="18"/>
          <w:szCs w:val="18"/>
          <w:u w:val="single"/>
        </w:rPr>
      </w:pPr>
    </w:p>
    <w:tbl>
      <w:tblPr>
        <w:tblW w:w="4800" w:type="pct"/>
        <w:jc w:val="center"/>
        <w:tblBorders>
          <w:top w:val="single" w:sz="4" w:space="0" w:color="366092"/>
          <w:bottom w:val="single" w:sz="4" w:space="0" w:color="366092"/>
          <w:insideV w:val="single" w:sz="4" w:space="0" w:color="366092"/>
        </w:tblBorders>
        <w:tblLook w:val="04A0" w:firstRow="1" w:lastRow="0" w:firstColumn="1" w:lastColumn="0" w:noHBand="0" w:noVBand="1"/>
      </w:tblPr>
      <w:tblGrid>
        <w:gridCol w:w="4420"/>
        <w:gridCol w:w="374"/>
        <w:gridCol w:w="1833"/>
        <w:gridCol w:w="374"/>
        <w:gridCol w:w="1833"/>
        <w:gridCol w:w="341"/>
        <w:gridCol w:w="29"/>
      </w:tblGrid>
      <w:tr w:rsidR="002A10AB" w:rsidRPr="00D65191" w14:paraId="03257D89" w14:textId="77777777" w:rsidTr="00D65191">
        <w:trPr>
          <w:gridAfter w:val="1"/>
          <w:wAfter w:w="16" w:type="pct"/>
          <w:trHeight w:val="415"/>
          <w:jc w:val="center"/>
        </w:trPr>
        <w:tc>
          <w:tcPr>
            <w:tcW w:w="4984" w:type="pct"/>
            <w:gridSpan w:val="6"/>
            <w:tcBorders>
              <w:top w:val="nil"/>
              <w:left w:val="nil"/>
              <w:bottom w:val="single" w:sz="4" w:space="0" w:color="366092"/>
              <w:right w:val="nil"/>
            </w:tcBorders>
            <w:shd w:val="clear" w:color="auto" w:fill="FFFFFF"/>
            <w:vAlign w:val="center"/>
            <w:hideMark/>
          </w:tcPr>
          <w:p w14:paraId="6403DC40" w14:textId="77777777" w:rsidR="002A10AB" w:rsidRPr="00D65191" w:rsidRDefault="002A10AB">
            <w:pPr>
              <w:rPr>
                <w:rFonts w:ascii="Verdana" w:eastAsia="Times New Roman" w:hAnsi="Verdana" w:cs="Arial"/>
                <w:b/>
                <w:bCs/>
                <w:color w:val="365F91"/>
                <w:sz w:val="18"/>
                <w:szCs w:val="18"/>
              </w:rPr>
            </w:pPr>
            <w:r w:rsidRPr="00D65191">
              <w:rPr>
                <w:rFonts w:ascii="Verdana" w:eastAsia="Times New Roman" w:hAnsi="Verdana" w:cs="Arial"/>
                <w:b/>
                <w:bCs/>
                <w:color w:val="365F91"/>
                <w:sz w:val="18"/>
                <w:szCs w:val="18"/>
              </w:rPr>
              <w:t>Table 1</w:t>
            </w:r>
          </w:p>
        </w:tc>
      </w:tr>
      <w:tr w:rsidR="002A10AB" w:rsidRPr="00D65191" w14:paraId="78AAC3D9" w14:textId="77777777" w:rsidTr="00D65191">
        <w:trPr>
          <w:gridAfter w:val="1"/>
          <w:wAfter w:w="16" w:type="pct"/>
          <w:trHeight w:val="297"/>
          <w:jc w:val="center"/>
        </w:trPr>
        <w:tc>
          <w:tcPr>
            <w:tcW w:w="2604" w:type="pct"/>
            <w:gridSpan w:val="2"/>
            <w:vMerge w:val="restart"/>
            <w:tcBorders>
              <w:top w:val="single" w:sz="4" w:space="0" w:color="366092"/>
              <w:left w:val="nil"/>
              <w:bottom w:val="single" w:sz="4" w:space="0" w:color="366092"/>
              <w:right w:val="nil"/>
            </w:tcBorders>
            <w:vAlign w:val="center"/>
            <w:hideMark/>
          </w:tcPr>
          <w:p w14:paraId="504DB507" w14:textId="77777777" w:rsidR="002A10AB" w:rsidRPr="00D65191" w:rsidRDefault="002A10AB">
            <w:pPr>
              <w:rPr>
                <w:rFonts w:ascii="Verdana" w:eastAsia="Times New Roman" w:hAnsi="Verdana" w:cs="Arial"/>
                <w:b/>
                <w:bCs/>
                <w:color w:val="365F91"/>
                <w:sz w:val="18"/>
                <w:szCs w:val="18"/>
              </w:rPr>
            </w:pPr>
            <w:r w:rsidRPr="00D65191">
              <w:rPr>
                <w:rFonts w:ascii="Verdana" w:eastAsia="Times New Roman" w:hAnsi="Verdana" w:cs="Arial"/>
                <w:b/>
                <w:bCs/>
                <w:color w:val="365F91"/>
                <w:sz w:val="18"/>
                <w:szCs w:val="18"/>
              </w:rPr>
              <w:t>Purpose of visit</w:t>
            </w:r>
          </w:p>
        </w:tc>
        <w:tc>
          <w:tcPr>
            <w:tcW w:w="2380" w:type="pct"/>
            <w:gridSpan w:val="4"/>
            <w:tcBorders>
              <w:top w:val="single" w:sz="4" w:space="0" w:color="366092"/>
              <w:left w:val="nil"/>
              <w:bottom w:val="single" w:sz="4" w:space="0" w:color="366092"/>
              <w:right w:val="nil"/>
            </w:tcBorders>
            <w:vAlign w:val="center"/>
            <w:hideMark/>
          </w:tcPr>
          <w:p w14:paraId="5026B997" w14:textId="77777777" w:rsidR="002A10AB" w:rsidRPr="00D65191" w:rsidRDefault="002A10AB">
            <w:pPr>
              <w:jc w:val="center"/>
              <w:rPr>
                <w:rFonts w:ascii="Verdana" w:eastAsia="Times New Roman" w:hAnsi="Verdana" w:cs="Arial"/>
                <w:b/>
                <w:bCs/>
                <w:color w:val="365F91"/>
                <w:sz w:val="18"/>
                <w:szCs w:val="18"/>
              </w:rPr>
            </w:pPr>
            <w:r w:rsidRPr="00D65191">
              <w:rPr>
                <w:rFonts w:ascii="Verdana" w:eastAsia="Times New Roman" w:hAnsi="Verdana" w:cs="Arial"/>
                <w:b/>
                <w:bCs/>
                <w:color w:val="366092"/>
                <w:sz w:val="18"/>
                <w:szCs w:val="18"/>
              </w:rPr>
              <w:t>Percentage (%)</w:t>
            </w:r>
          </w:p>
        </w:tc>
      </w:tr>
      <w:tr w:rsidR="002A10AB" w:rsidRPr="00D65191" w14:paraId="34E7152B" w14:textId="77777777" w:rsidTr="00D65191">
        <w:trPr>
          <w:trHeight w:val="657"/>
          <w:jc w:val="center"/>
        </w:trPr>
        <w:tc>
          <w:tcPr>
            <w:tcW w:w="0" w:type="auto"/>
            <w:gridSpan w:val="2"/>
            <w:vMerge/>
            <w:tcBorders>
              <w:top w:val="single" w:sz="4" w:space="0" w:color="366092"/>
              <w:left w:val="nil"/>
              <w:bottom w:val="single" w:sz="4" w:space="0" w:color="366092"/>
              <w:right w:val="nil"/>
            </w:tcBorders>
            <w:vAlign w:val="center"/>
            <w:hideMark/>
          </w:tcPr>
          <w:p w14:paraId="4A284E8C" w14:textId="77777777" w:rsidR="002A10AB" w:rsidRPr="00D65191" w:rsidRDefault="002A10AB">
            <w:pPr>
              <w:rPr>
                <w:rFonts w:ascii="Verdana" w:eastAsia="Times New Roman" w:hAnsi="Verdana" w:cs="Arial"/>
                <w:b/>
                <w:bCs/>
                <w:color w:val="365F91"/>
                <w:sz w:val="18"/>
                <w:szCs w:val="18"/>
              </w:rPr>
            </w:pPr>
          </w:p>
        </w:tc>
        <w:tc>
          <w:tcPr>
            <w:tcW w:w="1199" w:type="pct"/>
            <w:gridSpan w:val="2"/>
            <w:tcBorders>
              <w:top w:val="single" w:sz="4" w:space="0" w:color="366092"/>
              <w:left w:val="nil"/>
              <w:bottom w:val="single" w:sz="4" w:space="0" w:color="366092"/>
              <w:right w:val="nil"/>
            </w:tcBorders>
            <w:shd w:val="clear" w:color="auto" w:fill="FFFFFF"/>
            <w:vAlign w:val="center"/>
            <w:hideMark/>
          </w:tcPr>
          <w:p w14:paraId="075A2E4C" w14:textId="12CE28D4" w:rsidR="002A10AB" w:rsidRPr="00D65191" w:rsidRDefault="00956FF1">
            <w:pPr>
              <w:jc w:val="center"/>
              <w:rPr>
                <w:rFonts w:ascii="Verdana" w:eastAsia="Times New Roman" w:hAnsi="Verdana" w:cs="Arial"/>
                <w:b/>
                <w:bCs/>
                <w:color w:val="365F91"/>
                <w:sz w:val="18"/>
                <w:szCs w:val="18"/>
              </w:rPr>
            </w:pPr>
            <w:r w:rsidRPr="00D65191">
              <w:rPr>
                <w:rFonts w:ascii="Verdana" w:eastAsia="Times New Roman" w:hAnsi="Verdana" w:cs="Arial"/>
                <w:b/>
                <w:bCs/>
                <w:color w:val="366092"/>
                <w:sz w:val="18"/>
                <w:szCs w:val="18"/>
              </w:rPr>
              <w:t>May</w:t>
            </w:r>
            <w:r w:rsidR="002A10AB" w:rsidRPr="00D65191">
              <w:rPr>
                <w:rFonts w:ascii="Verdana" w:eastAsia="Times New Roman" w:hAnsi="Verdana" w:cs="Arial"/>
                <w:b/>
                <w:bCs/>
                <w:color w:val="365F91"/>
                <w:sz w:val="18"/>
                <w:szCs w:val="18"/>
              </w:rPr>
              <w:t xml:space="preserve"> 21</w:t>
            </w:r>
          </w:p>
        </w:tc>
        <w:tc>
          <w:tcPr>
            <w:tcW w:w="1197" w:type="pct"/>
            <w:gridSpan w:val="3"/>
            <w:tcBorders>
              <w:top w:val="single" w:sz="4" w:space="0" w:color="366092"/>
              <w:left w:val="nil"/>
              <w:bottom w:val="single" w:sz="4" w:space="0" w:color="366092"/>
              <w:right w:val="nil"/>
            </w:tcBorders>
            <w:shd w:val="clear" w:color="auto" w:fill="FFFFFF"/>
            <w:vAlign w:val="center"/>
            <w:hideMark/>
          </w:tcPr>
          <w:p w14:paraId="29AEE07E" w14:textId="7C8CB080" w:rsidR="002A10AB" w:rsidRPr="00D65191" w:rsidRDefault="00956FF1">
            <w:pPr>
              <w:jc w:val="center"/>
              <w:rPr>
                <w:rFonts w:ascii="Verdana" w:eastAsia="Times New Roman" w:hAnsi="Verdana" w:cs="Arial"/>
                <w:b/>
                <w:bCs/>
                <w:color w:val="365F91"/>
                <w:sz w:val="18"/>
                <w:szCs w:val="18"/>
              </w:rPr>
            </w:pPr>
            <w:r w:rsidRPr="00D65191">
              <w:rPr>
                <w:rFonts w:ascii="Verdana" w:eastAsia="Times New Roman" w:hAnsi="Verdana" w:cs="Arial"/>
                <w:b/>
                <w:bCs/>
                <w:color w:val="366092"/>
                <w:sz w:val="18"/>
                <w:szCs w:val="18"/>
              </w:rPr>
              <w:t>May</w:t>
            </w:r>
            <w:r w:rsidR="002A10AB" w:rsidRPr="00D65191">
              <w:rPr>
                <w:rFonts w:ascii="Verdana" w:eastAsia="Times New Roman" w:hAnsi="Verdana" w:cs="Arial"/>
                <w:b/>
                <w:bCs/>
                <w:color w:val="366092"/>
                <w:sz w:val="18"/>
                <w:szCs w:val="18"/>
              </w:rPr>
              <w:t xml:space="preserve"> </w:t>
            </w:r>
            <w:r w:rsidR="002A10AB" w:rsidRPr="00D65191">
              <w:rPr>
                <w:rFonts w:ascii="Verdana" w:eastAsia="Times New Roman" w:hAnsi="Verdana" w:cs="Arial"/>
                <w:b/>
                <w:bCs/>
                <w:color w:val="365F91"/>
                <w:sz w:val="18"/>
                <w:szCs w:val="18"/>
              </w:rPr>
              <w:t>22</w:t>
            </w:r>
          </w:p>
        </w:tc>
      </w:tr>
      <w:tr w:rsidR="00956FF1" w:rsidRPr="00D65191" w14:paraId="0D35AB25" w14:textId="77777777" w:rsidTr="00D65191">
        <w:trPr>
          <w:gridAfter w:val="2"/>
          <w:wAfter w:w="202" w:type="pct"/>
          <w:trHeight w:val="400"/>
          <w:jc w:val="center"/>
        </w:trPr>
        <w:tc>
          <w:tcPr>
            <w:tcW w:w="2401" w:type="pct"/>
            <w:tcBorders>
              <w:top w:val="nil"/>
              <w:left w:val="nil"/>
              <w:bottom w:val="nil"/>
              <w:right w:val="nil"/>
            </w:tcBorders>
            <w:shd w:val="clear" w:color="auto" w:fill="FFFFFF"/>
            <w:vAlign w:val="center"/>
            <w:hideMark/>
          </w:tcPr>
          <w:p w14:paraId="2023F2D5" w14:textId="77777777" w:rsidR="00956FF1" w:rsidRPr="00D65191" w:rsidRDefault="00956FF1" w:rsidP="00956FF1">
            <w:pPr>
              <w:ind w:left="162"/>
              <w:rPr>
                <w:rFonts w:ascii="Verdana" w:eastAsia="Times New Roman" w:hAnsi="Verdana" w:cs="Arial"/>
                <w:color w:val="365F91"/>
                <w:sz w:val="18"/>
                <w:szCs w:val="18"/>
              </w:rPr>
            </w:pPr>
            <w:r w:rsidRPr="00D65191">
              <w:rPr>
                <w:rFonts w:ascii="Verdana" w:eastAsia="Times New Roman" w:hAnsi="Verdana" w:cs="Arial"/>
                <w:color w:val="365F91"/>
                <w:sz w:val="18"/>
                <w:szCs w:val="18"/>
              </w:rPr>
              <w:t>Holidays</w:t>
            </w:r>
          </w:p>
        </w:tc>
        <w:tc>
          <w:tcPr>
            <w:tcW w:w="1199" w:type="pct"/>
            <w:gridSpan w:val="2"/>
            <w:tcBorders>
              <w:top w:val="nil"/>
              <w:left w:val="nil"/>
              <w:bottom w:val="nil"/>
              <w:right w:val="nil"/>
            </w:tcBorders>
            <w:shd w:val="clear" w:color="auto" w:fill="FFFFFF"/>
            <w:noWrap/>
            <w:vAlign w:val="center"/>
            <w:hideMark/>
          </w:tcPr>
          <w:p w14:paraId="1E27918C" w14:textId="07720DE2" w:rsidR="00956FF1" w:rsidRPr="00D65191" w:rsidRDefault="00956FF1" w:rsidP="00956FF1">
            <w:pPr>
              <w:ind w:right="431" w:firstLineChars="100" w:firstLine="180"/>
              <w:jc w:val="right"/>
              <w:rPr>
                <w:rFonts w:ascii="Verdana" w:eastAsia="Times New Roman" w:hAnsi="Verdana" w:cs="Arial"/>
                <w:color w:val="365F91"/>
                <w:sz w:val="18"/>
                <w:szCs w:val="18"/>
                <w:highlight w:val="yellow"/>
                <w:lang w:val="el-GR"/>
              </w:rPr>
            </w:pPr>
            <w:r w:rsidRPr="00D65191">
              <w:rPr>
                <w:rFonts w:ascii="Verdana" w:eastAsia="Times New Roman" w:hAnsi="Verdana" w:cs="Arial"/>
                <w:color w:val="365F91"/>
                <w:sz w:val="18"/>
                <w:szCs w:val="18"/>
                <w:lang w:val="el-GR"/>
              </w:rPr>
              <w:t>80,7</w:t>
            </w:r>
          </w:p>
        </w:tc>
        <w:tc>
          <w:tcPr>
            <w:tcW w:w="1199" w:type="pct"/>
            <w:gridSpan w:val="2"/>
            <w:tcBorders>
              <w:top w:val="nil"/>
              <w:left w:val="nil"/>
              <w:bottom w:val="nil"/>
              <w:right w:val="nil"/>
            </w:tcBorders>
            <w:shd w:val="clear" w:color="auto" w:fill="FFFFFF"/>
            <w:vAlign w:val="center"/>
            <w:hideMark/>
          </w:tcPr>
          <w:p w14:paraId="6F077C3A" w14:textId="25C409E7" w:rsidR="00956FF1" w:rsidRPr="00D65191" w:rsidRDefault="00956FF1" w:rsidP="00956FF1">
            <w:pPr>
              <w:ind w:right="431" w:firstLineChars="100" w:firstLine="180"/>
              <w:jc w:val="right"/>
              <w:rPr>
                <w:rFonts w:ascii="Verdana" w:eastAsia="Times New Roman" w:hAnsi="Verdana" w:cs="Arial"/>
                <w:color w:val="365F91"/>
                <w:sz w:val="18"/>
                <w:szCs w:val="18"/>
              </w:rPr>
            </w:pPr>
            <w:r w:rsidRPr="00D65191">
              <w:rPr>
                <w:rFonts w:ascii="Verdana" w:eastAsia="Times New Roman" w:hAnsi="Verdana" w:cs="Arial"/>
                <w:color w:val="365F91"/>
                <w:sz w:val="18"/>
                <w:szCs w:val="18"/>
              </w:rPr>
              <w:t>79,5</w:t>
            </w:r>
          </w:p>
        </w:tc>
      </w:tr>
      <w:tr w:rsidR="00956FF1" w:rsidRPr="00D65191" w14:paraId="235BB7C1" w14:textId="77777777" w:rsidTr="00D65191">
        <w:trPr>
          <w:gridAfter w:val="2"/>
          <w:wAfter w:w="202" w:type="pct"/>
          <w:trHeight w:val="400"/>
          <w:jc w:val="center"/>
        </w:trPr>
        <w:tc>
          <w:tcPr>
            <w:tcW w:w="2401" w:type="pct"/>
            <w:tcBorders>
              <w:top w:val="nil"/>
              <w:left w:val="nil"/>
              <w:bottom w:val="nil"/>
              <w:right w:val="nil"/>
            </w:tcBorders>
            <w:shd w:val="clear" w:color="auto" w:fill="FFFFFF"/>
            <w:noWrap/>
            <w:vAlign w:val="center"/>
            <w:hideMark/>
          </w:tcPr>
          <w:p w14:paraId="5EF35779" w14:textId="77777777" w:rsidR="00956FF1" w:rsidRPr="00D65191" w:rsidRDefault="00956FF1" w:rsidP="00956FF1">
            <w:pPr>
              <w:ind w:left="162"/>
              <w:rPr>
                <w:rFonts w:ascii="Verdana" w:eastAsia="Times New Roman" w:hAnsi="Verdana" w:cs="Arial"/>
                <w:color w:val="365F91"/>
                <w:sz w:val="18"/>
                <w:szCs w:val="18"/>
              </w:rPr>
            </w:pPr>
            <w:r w:rsidRPr="00D65191">
              <w:rPr>
                <w:rFonts w:ascii="Verdana" w:eastAsia="Times New Roman" w:hAnsi="Verdana" w:cs="Arial"/>
                <w:color w:val="365F91"/>
                <w:sz w:val="18"/>
                <w:szCs w:val="18"/>
              </w:rPr>
              <w:t>Visiting friends &amp; relatives</w:t>
            </w:r>
          </w:p>
        </w:tc>
        <w:tc>
          <w:tcPr>
            <w:tcW w:w="1199" w:type="pct"/>
            <w:gridSpan w:val="2"/>
            <w:tcBorders>
              <w:top w:val="nil"/>
              <w:left w:val="nil"/>
              <w:bottom w:val="nil"/>
              <w:right w:val="nil"/>
            </w:tcBorders>
            <w:shd w:val="clear" w:color="auto" w:fill="FFFFFF"/>
            <w:noWrap/>
            <w:vAlign w:val="center"/>
            <w:hideMark/>
          </w:tcPr>
          <w:p w14:paraId="386F9D2A" w14:textId="1C665566" w:rsidR="00956FF1" w:rsidRPr="00D65191" w:rsidRDefault="00956FF1" w:rsidP="00956FF1">
            <w:pPr>
              <w:ind w:right="431" w:firstLineChars="100" w:firstLine="180"/>
              <w:jc w:val="right"/>
              <w:rPr>
                <w:rFonts w:ascii="Verdana" w:eastAsia="Times New Roman" w:hAnsi="Verdana" w:cs="Arial"/>
                <w:color w:val="365F91"/>
                <w:sz w:val="18"/>
                <w:szCs w:val="18"/>
                <w:highlight w:val="yellow"/>
              </w:rPr>
            </w:pPr>
            <w:r w:rsidRPr="00D65191">
              <w:rPr>
                <w:rFonts w:ascii="Verdana" w:eastAsia="Times New Roman" w:hAnsi="Verdana" w:cs="Arial"/>
                <w:color w:val="365F91"/>
                <w:sz w:val="18"/>
                <w:szCs w:val="18"/>
                <w:lang w:val="el-GR"/>
              </w:rPr>
              <w:t>9</w:t>
            </w:r>
            <w:r w:rsidRPr="00D65191">
              <w:rPr>
                <w:rFonts w:ascii="Verdana" w:eastAsia="Times New Roman" w:hAnsi="Verdana" w:cs="Arial"/>
                <w:color w:val="365F91"/>
                <w:sz w:val="18"/>
                <w:szCs w:val="18"/>
              </w:rPr>
              <w:t>,</w:t>
            </w:r>
            <w:r w:rsidRPr="00D65191">
              <w:rPr>
                <w:rFonts w:ascii="Verdana" w:eastAsia="Times New Roman" w:hAnsi="Verdana" w:cs="Arial"/>
                <w:color w:val="365F91"/>
                <w:sz w:val="18"/>
                <w:szCs w:val="18"/>
                <w:lang w:val="el-GR"/>
              </w:rPr>
              <w:t>8</w:t>
            </w:r>
          </w:p>
        </w:tc>
        <w:tc>
          <w:tcPr>
            <w:tcW w:w="1199" w:type="pct"/>
            <w:gridSpan w:val="2"/>
            <w:tcBorders>
              <w:top w:val="nil"/>
              <w:left w:val="nil"/>
              <w:bottom w:val="nil"/>
              <w:right w:val="nil"/>
            </w:tcBorders>
            <w:shd w:val="clear" w:color="auto" w:fill="FFFFFF"/>
            <w:vAlign w:val="center"/>
            <w:hideMark/>
          </w:tcPr>
          <w:p w14:paraId="2CED36CA" w14:textId="5F6600BB" w:rsidR="00956FF1" w:rsidRPr="00D65191" w:rsidRDefault="00956FF1" w:rsidP="00956FF1">
            <w:pPr>
              <w:ind w:right="431" w:firstLineChars="100" w:firstLine="180"/>
              <w:jc w:val="right"/>
              <w:rPr>
                <w:rFonts w:ascii="Verdana" w:eastAsia="Times New Roman" w:hAnsi="Verdana" w:cs="Arial"/>
                <w:color w:val="365F91"/>
                <w:sz w:val="18"/>
                <w:szCs w:val="18"/>
              </w:rPr>
            </w:pPr>
            <w:r w:rsidRPr="00D65191">
              <w:rPr>
                <w:rFonts w:ascii="Verdana" w:eastAsia="Times New Roman" w:hAnsi="Verdana" w:cs="Arial"/>
                <w:color w:val="365F91"/>
                <w:sz w:val="18"/>
                <w:szCs w:val="18"/>
              </w:rPr>
              <w:t>12,5</w:t>
            </w:r>
          </w:p>
        </w:tc>
      </w:tr>
      <w:tr w:rsidR="00956FF1" w:rsidRPr="00D65191" w14:paraId="1F1E4F4C" w14:textId="77777777" w:rsidTr="00D65191">
        <w:trPr>
          <w:gridAfter w:val="2"/>
          <w:wAfter w:w="202" w:type="pct"/>
          <w:trHeight w:val="400"/>
          <w:jc w:val="center"/>
        </w:trPr>
        <w:tc>
          <w:tcPr>
            <w:tcW w:w="2401" w:type="pct"/>
            <w:tcBorders>
              <w:top w:val="nil"/>
              <w:left w:val="nil"/>
              <w:bottom w:val="nil"/>
              <w:right w:val="nil"/>
            </w:tcBorders>
            <w:shd w:val="clear" w:color="auto" w:fill="FFFFFF"/>
            <w:vAlign w:val="center"/>
            <w:hideMark/>
          </w:tcPr>
          <w:p w14:paraId="10A52ED3" w14:textId="77777777" w:rsidR="00956FF1" w:rsidRPr="00D65191" w:rsidRDefault="00956FF1" w:rsidP="00956FF1">
            <w:pPr>
              <w:ind w:left="162"/>
              <w:rPr>
                <w:rFonts w:ascii="Verdana" w:eastAsia="Times New Roman" w:hAnsi="Verdana" w:cs="Arial"/>
                <w:color w:val="365F91"/>
                <w:sz w:val="18"/>
                <w:szCs w:val="18"/>
              </w:rPr>
            </w:pPr>
            <w:r w:rsidRPr="00D65191">
              <w:rPr>
                <w:rFonts w:ascii="Verdana" w:eastAsia="Times New Roman" w:hAnsi="Verdana" w:cs="Arial"/>
                <w:color w:val="365F91"/>
                <w:sz w:val="18"/>
                <w:szCs w:val="18"/>
              </w:rPr>
              <w:t>Business</w:t>
            </w:r>
          </w:p>
        </w:tc>
        <w:tc>
          <w:tcPr>
            <w:tcW w:w="1199" w:type="pct"/>
            <w:gridSpan w:val="2"/>
            <w:tcBorders>
              <w:top w:val="nil"/>
              <w:left w:val="nil"/>
              <w:bottom w:val="nil"/>
              <w:right w:val="nil"/>
            </w:tcBorders>
            <w:shd w:val="clear" w:color="auto" w:fill="FFFFFF"/>
            <w:noWrap/>
            <w:vAlign w:val="center"/>
            <w:hideMark/>
          </w:tcPr>
          <w:p w14:paraId="2C02019C" w14:textId="441E87F5" w:rsidR="00956FF1" w:rsidRPr="00D65191" w:rsidRDefault="00956FF1" w:rsidP="00956FF1">
            <w:pPr>
              <w:ind w:right="431" w:firstLineChars="100" w:firstLine="180"/>
              <w:jc w:val="right"/>
              <w:rPr>
                <w:rFonts w:ascii="Verdana" w:eastAsia="Times New Roman" w:hAnsi="Verdana" w:cs="Arial"/>
                <w:color w:val="365F91"/>
                <w:sz w:val="18"/>
                <w:szCs w:val="18"/>
                <w:highlight w:val="yellow"/>
              </w:rPr>
            </w:pPr>
            <w:r w:rsidRPr="00D65191">
              <w:rPr>
                <w:rFonts w:ascii="Verdana" w:eastAsia="Times New Roman" w:hAnsi="Verdana" w:cs="Arial"/>
                <w:color w:val="365F91"/>
                <w:sz w:val="18"/>
                <w:szCs w:val="18"/>
                <w:lang w:val="el-GR"/>
              </w:rPr>
              <w:t>9</w:t>
            </w:r>
            <w:r w:rsidRPr="00D65191">
              <w:rPr>
                <w:rFonts w:ascii="Verdana" w:eastAsia="Times New Roman" w:hAnsi="Verdana" w:cs="Arial"/>
                <w:color w:val="365F91"/>
                <w:sz w:val="18"/>
                <w:szCs w:val="18"/>
              </w:rPr>
              <w:t>,</w:t>
            </w:r>
            <w:r w:rsidRPr="00D65191">
              <w:rPr>
                <w:rFonts w:ascii="Verdana" w:eastAsia="Times New Roman" w:hAnsi="Verdana" w:cs="Arial"/>
                <w:color w:val="365F91"/>
                <w:sz w:val="18"/>
                <w:szCs w:val="18"/>
                <w:lang w:val="el-GR"/>
              </w:rPr>
              <w:t>4</w:t>
            </w:r>
          </w:p>
        </w:tc>
        <w:tc>
          <w:tcPr>
            <w:tcW w:w="1199" w:type="pct"/>
            <w:gridSpan w:val="2"/>
            <w:tcBorders>
              <w:top w:val="nil"/>
              <w:left w:val="nil"/>
              <w:bottom w:val="nil"/>
              <w:right w:val="nil"/>
            </w:tcBorders>
            <w:shd w:val="clear" w:color="auto" w:fill="FFFFFF"/>
            <w:vAlign w:val="center"/>
            <w:hideMark/>
          </w:tcPr>
          <w:p w14:paraId="640496E9" w14:textId="15D58348" w:rsidR="00956FF1" w:rsidRPr="00D65191" w:rsidRDefault="00956FF1" w:rsidP="00956FF1">
            <w:pPr>
              <w:ind w:right="431" w:firstLineChars="100" w:firstLine="180"/>
              <w:jc w:val="right"/>
              <w:rPr>
                <w:rFonts w:ascii="Verdana" w:eastAsia="Times New Roman" w:hAnsi="Verdana" w:cs="Arial"/>
                <w:color w:val="365F91"/>
                <w:sz w:val="18"/>
                <w:szCs w:val="18"/>
              </w:rPr>
            </w:pPr>
            <w:r w:rsidRPr="00D65191">
              <w:rPr>
                <w:rFonts w:ascii="Verdana" w:eastAsia="Times New Roman" w:hAnsi="Verdana" w:cs="Arial"/>
                <w:color w:val="365F91"/>
                <w:sz w:val="18"/>
                <w:szCs w:val="18"/>
              </w:rPr>
              <w:t>7,9</w:t>
            </w:r>
          </w:p>
        </w:tc>
      </w:tr>
      <w:tr w:rsidR="002A10AB" w:rsidRPr="00D65191" w14:paraId="65E2FAB1" w14:textId="77777777" w:rsidTr="00D65191">
        <w:trPr>
          <w:gridAfter w:val="1"/>
          <w:wAfter w:w="16" w:type="pct"/>
          <w:trHeight w:val="468"/>
          <w:jc w:val="center"/>
        </w:trPr>
        <w:tc>
          <w:tcPr>
            <w:tcW w:w="4984" w:type="pct"/>
            <w:gridSpan w:val="6"/>
            <w:tcBorders>
              <w:top w:val="single" w:sz="4" w:space="0" w:color="366092"/>
              <w:left w:val="nil"/>
              <w:bottom w:val="nil"/>
              <w:right w:val="nil"/>
            </w:tcBorders>
            <w:shd w:val="clear" w:color="auto" w:fill="FFFFFF"/>
            <w:noWrap/>
            <w:vAlign w:val="center"/>
          </w:tcPr>
          <w:p w14:paraId="68D4EA9A" w14:textId="77777777" w:rsidR="002A10AB" w:rsidRPr="00D65191" w:rsidRDefault="002A10AB">
            <w:pPr>
              <w:tabs>
                <w:tab w:val="left" w:pos="1080"/>
                <w:tab w:val="left" w:pos="6840"/>
              </w:tabs>
              <w:jc w:val="both"/>
              <w:rPr>
                <w:rFonts w:ascii="Verdana" w:eastAsia="Malgun Gothic" w:hAnsi="Verdana" w:cs="Arial"/>
                <w:sz w:val="18"/>
                <w:szCs w:val="18"/>
              </w:rPr>
            </w:pPr>
          </w:p>
          <w:p w14:paraId="4B390789" w14:textId="77777777" w:rsidR="002A10AB" w:rsidRPr="00D65191" w:rsidRDefault="002A10AB">
            <w:pPr>
              <w:tabs>
                <w:tab w:val="left" w:pos="1080"/>
                <w:tab w:val="left" w:pos="6840"/>
              </w:tabs>
              <w:jc w:val="both"/>
              <w:rPr>
                <w:rFonts w:ascii="Verdana" w:eastAsia="Malgun Gothic" w:hAnsi="Verdana" w:cs="Arial"/>
                <w:sz w:val="18"/>
                <w:szCs w:val="18"/>
              </w:rPr>
            </w:pPr>
          </w:p>
        </w:tc>
      </w:tr>
    </w:tbl>
    <w:p w14:paraId="4FB85608" w14:textId="77777777" w:rsidR="002A10AB" w:rsidRPr="00D65191" w:rsidRDefault="002A10AB" w:rsidP="002A10AB">
      <w:pPr>
        <w:tabs>
          <w:tab w:val="left" w:pos="1080"/>
          <w:tab w:val="left" w:pos="6840"/>
        </w:tabs>
        <w:jc w:val="both"/>
        <w:rPr>
          <w:rFonts w:ascii="Verdana" w:eastAsia="Malgun Gothic" w:hAnsi="Verdana" w:cs="Arial"/>
          <w:sz w:val="18"/>
          <w:szCs w:val="18"/>
          <w:u w:val="single"/>
        </w:rPr>
      </w:pPr>
    </w:p>
    <w:p w14:paraId="6DC942CD" w14:textId="77777777" w:rsidR="002A10AB" w:rsidRPr="00D65191" w:rsidRDefault="002A10AB" w:rsidP="002A10AB">
      <w:pPr>
        <w:tabs>
          <w:tab w:val="left" w:pos="1080"/>
          <w:tab w:val="left" w:pos="6840"/>
        </w:tabs>
        <w:rPr>
          <w:rFonts w:ascii="Verdana" w:eastAsia="Malgun Gothic" w:hAnsi="Verdana" w:cs="Arial"/>
          <w:sz w:val="18"/>
          <w:szCs w:val="18"/>
          <w:u w:val="single"/>
        </w:rPr>
      </w:pPr>
    </w:p>
    <w:p w14:paraId="5D14A0C4" w14:textId="06ACD41B" w:rsidR="002A10AB" w:rsidRPr="00D65191" w:rsidRDefault="002A10AB" w:rsidP="002A10AB">
      <w:pPr>
        <w:tabs>
          <w:tab w:val="left" w:pos="1080"/>
          <w:tab w:val="left" w:pos="6840"/>
        </w:tabs>
        <w:jc w:val="center"/>
        <w:rPr>
          <w:rFonts w:ascii="Verdana" w:eastAsia="Malgun Gothic" w:hAnsi="Verdana" w:cs="Arial"/>
          <w:b/>
          <w:sz w:val="18"/>
          <w:szCs w:val="18"/>
          <w:u w:val="single"/>
        </w:rPr>
      </w:pPr>
    </w:p>
    <w:p w14:paraId="2F51D6C4" w14:textId="71A8F790"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7A2E51C2" w14:textId="5E0388D2"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48A4B82E" w14:textId="77777777"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7B68676D" w14:textId="1E0F73BC" w:rsidR="002A10AB" w:rsidRDefault="002A10AB" w:rsidP="002A10AB">
      <w:pPr>
        <w:tabs>
          <w:tab w:val="left" w:pos="1080"/>
          <w:tab w:val="left" w:pos="6840"/>
        </w:tabs>
        <w:jc w:val="center"/>
        <w:rPr>
          <w:rFonts w:ascii="Verdana" w:eastAsia="Malgun Gothic" w:hAnsi="Verdana" w:cs="Arial"/>
          <w:b/>
          <w:sz w:val="18"/>
          <w:szCs w:val="18"/>
          <w:u w:val="single"/>
        </w:rPr>
      </w:pPr>
    </w:p>
    <w:p w14:paraId="51D7BBAD" w14:textId="77777777" w:rsidR="00D65191" w:rsidRPr="00D65191" w:rsidRDefault="00D65191" w:rsidP="002A10AB">
      <w:pPr>
        <w:tabs>
          <w:tab w:val="left" w:pos="1080"/>
          <w:tab w:val="left" w:pos="6840"/>
        </w:tabs>
        <w:jc w:val="center"/>
        <w:rPr>
          <w:rFonts w:ascii="Verdana" w:eastAsia="Malgun Gothic" w:hAnsi="Verdana" w:cs="Arial"/>
          <w:b/>
          <w:sz w:val="18"/>
          <w:szCs w:val="18"/>
          <w:u w:val="single"/>
        </w:rPr>
      </w:pPr>
    </w:p>
    <w:p w14:paraId="6F54B3D6" w14:textId="77777777" w:rsidR="002A10AB" w:rsidRPr="00D65191" w:rsidRDefault="002A10AB" w:rsidP="002A10AB">
      <w:pPr>
        <w:tabs>
          <w:tab w:val="left" w:pos="1080"/>
          <w:tab w:val="left" w:pos="6840"/>
        </w:tabs>
        <w:jc w:val="center"/>
        <w:rPr>
          <w:rFonts w:ascii="Verdana" w:eastAsia="Malgun Gothic" w:hAnsi="Verdana" w:cs="Arial"/>
          <w:b/>
          <w:sz w:val="18"/>
          <w:szCs w:val="18"/>
          <w:u w:val="single"/>
        </w:rPr>
      </w:pPr>
    </w:p>
    <w:p w14:paraId="1F8400AC" w14:textId="77777777" w:rsidR="002A10AB" w:rsidRDefault="002A10AB" w:rsidP="002A10AB">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NOTES</w:t>
      </w:r>
    </w:p>
    <w:p w14:paraId="261A7790" w14:textId="77777777" w:rsidR="002A10AB" w:rsidRDefault="002A10AB" w:rsidP="002A10AB">
      <w:pPr>
        <w:tabs>
          <w:tab w:val="left" w:pos="1080"/>
          <w:tab w:val="left" w:pos="6840"/>
        </w:tabs>
        <w:jc w:val="both"/>
        <w:rPr>
          <w:rFonts w:ascii="Verdana" w:eastAsia="Malgun Gothic" w:hAnsi="Verdana" w:cs="Arial"/>
          <w:sz w:val="20"/>
          <w:szCs w:val="20"/>
        </w:rPr>
      </w:pPr>
    </w:p>
    <w:p w14:paraId="6069A82D" w14:textId="77777777" w:rsidR="002A10AB" w:rsidRDefault="002A10AB" w:rsidP="002A10AB">
      <w:pPr>
        <w:tabs>
          <w:tab w:val="left" w:pos="1080"/>
          <w:tab w:val="left" w:pos="6840"/>
        </w:tabs>
        <w:jc w:val="both"/>
        <w:rPr>
          <w:rFonts w:ascii="Verdana" w:eastAsia="Malgun Gothic" w:hAnsi="Verdana" w:cs="Arial"/>
          <w:b/>
          <w:sz w:val="20"/>
          <w:szCs w:val="20"/>
          <w:u w:val="single"/>
        </w:rPr>
      </w:pPr>
    </w:p>
    <w:p w14:paraId="5065B085" w14:textId="77777777" w:rsidR="002A10AB" w:rsidRDefault="002A10AB" w:rsidP="002A10AB">
      <w:pPr>
        <w:tabs>
          <w:tab w:val="left" w:pos="945"/>
        </w:tabs>
        <w:jc w:val="both"/>
        <w:rPr>
          <w:rFonts w:ascii="Verdana" w:eastAsia="Malgun Gothic" w:hAnsi="Verdana" w:cs="Arial"/>
          <w:sz w:val="18"/>
          <w:szCs w:val="18"/>
        </w:rPr>
      </w:pPr>
    </w:p>
    <w:p w14:paraId="6831C6EA" w14:textId="77777777" w:rsidR="002A10AB" w:rsidRDefault="002A10AB" w:rsidP="002A10AB">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58A8EEBA" w14:textId="77777777" w:rsidR="002A10AB" w:rsidRDefault="002A10AB" w:rsidP="002A10AB">
      <w:pPr>
        <w:jc w:val="both"/>
        <w:rPr>
          <w:b/>
          <w:i/>
        </w:rPr>
      </w:pPr>
    </w:p>
    <w:p w14:paraId="63DB28BD" w14:textId="77777777" w:rsidR="002A10AB" w:rsidRDefault="002A10AB" w:rsidP="002A10AB">
      <w:pPr>
        <w:ind w:right="176"/>
        <w:jc w:val="both"/>
        <w:rPr>
          <w:rFonts w:ascii="Verdana" w:hAnsi="Verdana"/>
          <w:sz w:val="18"/>
          <w:szCs w:val="18"/>
        </w:rPr>
      </w:pPr>
      <w:r>
        <w:rPr>
          <w:rFonts w:ascii="Verdana" w:hAnsi="Verdana"/>
          <w:b/>
          <w:sz w:val="18"/>
          <w:szCs w:val="18"/>
        </w:rPr>
        <w:t>Tourists</w:t>
      </w:r>
      <w:r>
        <w:rPr>
          <w:rFonts w:ascii="Verdana" w:hAnsi="Verdana"/>
          <w:sz w:val="18"/>
          <w:szCs w:val="18"/>
        </w:rPr>
        <w:t xml:space="preserve"> – Visitors who stay for at least one night in Cyprus.</w:t>
      </w:r>
    </w:p>
    <w:p w14:paraId="69B6CC53" w14:textId="77777777" w:rsidR="002A10AB" w:rsidRDefault="002A10AB" w:rsidP="002A10AB">
      <w:pPr>
        <w:ind w:right="176"/>
        <w:jc w:val="both"/>
        <w:rPr>
          <w:rFonts w:ascii="Verdana" w:hAnsi="Verdana"/>
          <w:b/>
          <w:i/>
          <w:sz w:val="18"/>
          <w:szCs w:val="18"/>
        </w:rPr>
      </w:pPr>
    </w:p>
    <w:p w14:paraId="24C97B0C" w14:textId="77777777" w:rsidR="002A10AB" w:rsidRDefault="002A10AB" w:rsidP="002A10AB">
      <w:pPr>
        <w:ind w:right="176"/>
        <w:jc w:val="both"/>
        <w:rPr>
          <w:rFonts w:ascii="Verdana" w:hAnsi="Verdana"/>
          <w:sz w:val="18"/>
          <w:szCs w:val="18"/>
        </w:rPr>
      </w:pPr>
      <w:r>
        <w:rPr>
          <w:rFonts w:ascii="Verdana" w:hAnsi="Verdana"/>
          <w:b/>
          <w:sz w:val="18"/>
          <w:szCs w:val="18"/>
        </w:rPr>
        <w:t>Tourist arrivals</w:t>
      </w:r>
      <w:r>
        <w:rPr>
          <w:rFonts w:ascii="Verdana" w:hAnsi="Verdana"/>
          <w:sz w:val="18"/>
          <w:szCs w:val="18"/>
        </w:rPr>
        <w:t xml:space="preserve"> – The term refers to the number of trips and not to the number of persons. This differs in the sense that one person can take more than one trips during the reference period.</w:t>
      </w:r>
    </w:p>
    <w:p w14:paraId="60824E9A" w14:textId="77777777" w:rsidR="002A10AB" w:rsidRDefault="002A10AB" w:rsidP="002A10AB">
      <w:pPr>
        <w:jc w:val="both"/>
        <w:rPr>
          <w:rFonts w:ascii="Verdana" w:hAnsi="Verdana"/>
          <w:sz w:val="18"/>
          <w:szCs w:val="18"/>
        </w:rPr>
      </w:pPr>
    </w:p>
    <w:p w14:paraId="020E6295" w14:textId="77777777" w:rsidR="002A10AB" w:rsidRDefault="002A10AB" w:rsidP="002A10AB">
      <w:pPr>
        <w:tabs>
          <w:tab w:val="left" w:pos="945"/>
        </w:tabs>
        <w:jc w:val="both"/>
        <w:rPr>
          <w:rFonts w:ascii="Verdana" w:eastAsia="Malgun Gothic" w:hAnsi="Verdana" w:cs="Arial"/>
          <w:sz w:val="18"/>
          <w:szCs w:val="18"/>
        </w:rPr>
      </w:pPr>
    </w:p>
    <w:p w14:paraId="7CE8B289" w14:textId="77777777" w:rsidR="002A10AB" w:rsidRDefault="002A10AB" w:rsidP="002A10AB">
      <w:pPr>
        <w:tabs>
          <w:tab w:val="left" w:pos="945"/>
        </w:tabs>
        <w:jc w:val="both"/>
        <w:rPr>
          <w:rFonts w:ascii="Verdana" w:eastAsia="Malgun Gothic" w:hAnsi="Verdana" w:cs="Arial"/>
          <w:sz w:val="18"/>
          <w:szCs w:val="18"/>
        </w:rPr>
      </w:pPr>
    </w:p>
    <w:p w14:paraId="06162BC2" w14:textId="77777777" w:rsidR="002A10AB" w:rsidRDefault="002A10AB" w:rsidP="002A10AB">
      <w:pPr>
        <w:jc w:val="both"/>
        <w:rPr>
          <w:rFonts w:ascii="Verdana" w:hAnsi="Verdana"/>
          <w:b/>
          <w:sz w:val="18"/>
          <w:szCs w:val="18"/>
          <w:u w:val="single"/>
        </w:rPr>
      </w:pPr>
      <w:r>
        <w:rPr>
          <w:rFonts w:ascii="Verdana" w:hAnsi="Verdana"/>
          <w:b/>
          <w:sz w:val="18"/>
          <w:szCs w:val="18"/>
          <w:u w:val="single"/>
        </w:rPr>
        <w:t>Source of data and coverage</w:t>
      </w:r>
    </w:p>
    <w:p w14:paraId="7CEE1661" w14:textId="77777777" w:rsidR="00197A90" w:rsidRDefault="00197A90" w:rsidP="002A10AB">
      <w:pPr>
        <w:ind w:right="176"/>
        <w:jc w:val="both"/>
        <w:rPr>
          <w:rFonts w:ascii="Verdana" w:hAnsi="Verdana"/>
          <w:sz w:val="18"/>
          <w:szCs w:val="18"/>
        </w:rPr>
      </w:pPr>
    </w:p>
    <w:p w14:paraId="459D4548" w14:textId="06D15280" w:rsidR="00197A90" w:rsidRDefault="00197A90" w:rsidP="00197A90">
      <w:pPr>
        <w:ind w:right="176"/>
        <w:jc w:val="both"/>
        <w:rPr>
          <w:rFonts w:ascii="Verdana" w:hAnsi="Verdana"/>
          <w:sz w:val="18"/>
          <w:szCs w:val="18"/>
        </w:rPr>
      </w:pPr>
      <w:r>
        <w:rPr>
          <w:rFonts w:ascii="Verdana" w:hAnsi="Verdana"/>
          <w:sz w:val="18"/>
          <w:szCs w:val="18"/>
        </w:rPr>
        <w:t xml:space="preserve">The data are obtained from the Passengers Survey which is </w:t>
      </w:r>
      <w:r w:rsidRPr="00197A90">
        <w:rPr>
          <w:rFonts w:ascii="Verdana" w:hAnsi="Verdana"/>
          <w:sz w:val="18"/>
          <w:szCs w:val="18"/>
        </w:rPr>
        <w:t xml:space="preserve">carried out at the points of arrival in Larnaca and </w:t>
      </w:r>
      <w:proofErr w:type="spellStart"/>
      <w:r w:rsidRPr="00197A90">
        <w:rPr>
          <w:rFonts w:ascii="Verdana" w:hAnsi="Verdana"/>
          <w:sz w:val="18"/>
          <w:szCs w:val="18"/>
        </w:rPr>
        <w:t>Paphos</w:t>
      </w:r>
      <w:proofErr w:type="spellEnd"/>
      <w:r w:rsidRPr="00197A90">
        <w:rPr>
          <w:rFonts w:ascii="Verdana" w:hAnsi="Verdana"/>
          <w:sz w:val="18"/>
          <w:szCs w:val="18"/>
        </w:rPr>
        <w:t xml:space="preserve"> airports. Additionally, data are also collected from administrative sources, such as the monthly arrivals from ports.</w:t>
      </w:r>
    </w:p>
    <w:p w14:paraId="42DB22F5" w14:textId="1C9A5D77" w:rsidR="002A10AB" w:rsidRDefault="002A10AB" w:rsidP="00BD087F">
      <w:pPr>
        <w:ind w:right="176"/>
        <w:jc w:val="both"/>
        <w:rPr>
          <w:rFonts w:ascii="Verdana" w:hAnsi="Verdana"/>
          <w:sz w:val="18"/>
          <w:szCs w:val="18"/>
        </w:rPr>
      </w:pPr>
      <w:r>
        <w:rPr>
          <w:rFonts w:ascii="Verdana" w:hAnsi="Verdana"/>
          <w:sz w:val="18"/>
          <w:szCs w:val="18"/>
        </w:rPr>
        <w:t xml:space="preserve">    </w:t>
      </w:r>
    </w:p>
    <w:p w14:paraId="6BD8F4CE" w14:textId="77777777" w:rsidR="002A10AB" w:rsidRDefault="002A10AB" w:rsidP="002A10AB">
      <w:pPr>
        <w:ind w:right="176"/>
        <w:jc w:val="both"/>
        <w:rPr>
          <w:rFonts w:ascii="Verdana" w:hAnsi="Verdana"/>
          <w:sz w:val="18"/>
          <w:szCs w:val="18"/>
        </w:rPr>
      </w:pPr>
      <w:r>
        <w:rPr>
          <w:rFonts w:ascii="Verdana" w:hAnsi="Verdana"/>
          <w:sz w:val="18"/>
          <w:szCs w:val="18"/>
        </w:rPr>
        <w:t>The data covers all persons who pass through passport control at the ports and airports in the Government controlled area of Cyprus. It does not include travelers who arrive and depart illegally via ports and airports in the occupied part of Cyprus.</w:t>
      </w:r>
    </w:p>
    <w:p w14:paraId="62436C00" w14:textId="77777777" w:rsidR="002A10AB" w:rsidRDefault="002A10AB" w:rsidP="002A10AB">
      <w:pPr>
        <w:ind w:right="176"/>
        <w:jc w:val="both"/>
        <w:rPr>
          <w:rFonts w:ascii="Verdana" w:hAnsi="Verdana"/>
          <w:sz w:val="18"/>
          <w:szCs w:val="18"/>
        </w:rPr>
      </w:pPr>
    </w:p>
    <w:p w14:paraId="4F931CBB" w14:textId="77777777" w:rsidR="002A10AB" w:rsidRDefault="002A10AB" w:rsidP="002A10AB">
      <w:pPr>
        <w:ind w:right="176"/>
        <w:jc w:val="both"/>
        <w:rPr>
          <w:rFonts w:ascii="Verdana" w:hAnsi="Verdana"/>
          <w:sz w:val="18"/>
          <w:szCs w:val="18"/>
        </w:rPr>
      </w:pPr>
      <w:r>
        <w:rPr>
          <w:rFonts w:ascii="Verdana" w:hAnsi="Verdana"/>
          <w:sz w:val="18"/>
          <w:szCs w:val="18"/>
        </w:rPr>
        <w:t>The weighting was conducted based on the data sent to the Statistical Service by the Civil Aviation Department and from the ship manifests, as well as on the data sent by the Analysis and Statistics Office of the Cyprus Police.</w:t>
      </w:r>
    </w:p>
    <w:p w14:paraId="59C21EE1" w14:textId="77777777" w:rsidR="002A10AB" w:rsidRDefault="002A10AB" w:rsidP="002A10AB">
      <w:pPr>
        <w:tabs>
          <w:tab w:val="left" w:pos="360"/>
          <w:tab w:val="left" w:pos="6840"/>
        </w:tabs>
        <w:ind w:right="-79"/>
        <w:jc w:val="both"/>
        <w:rPr>
          <w:rFonts w:ascii="Verdana" w:eastAsia="Malgun Gothic" w:hAnsi="Verdana" w:cs="Arial"/>
          <w:sz w:val="18"/>
          <w:szCs w:val="18"/>
        </w:rPr>
      </w:pPr>
    </w:p>
    <w:p w14:paraId="07277BA1" w14:textId="77777777" w:rsidR="002A10AB" w:rsidRDefault="002A10AB" w:rsidP="002A10AB">
      <w:pPr>
        <w:tabs>
          <w:tab w:val="left" w:pos="360"/>
          <w:tab w:val="left" w:pos="6840"/>
        </w:tabs>
        <w:ind w:right="-79"/>
        <w:jc w:val="both"/>
        <w:rPr>
          <w:rFonts w:ascii="Verdana" w:eastAsia="Malgun Gothic" w:hAnsi="Verdana" w:cs="Arial"/>
          <w:b/>
          <w:i/>
          <w:sz w:val="20"/>
          <w:szCs w:val="20"/>
        </w:rPr>
      </w:pPr>
    </w:p>
    <w:p w14:paraId="10BE7375" w14:textId="77777777" w:rsidR="002A10AB" w:rsidRDefault="002A10AB" w:rsidP="002A10AB">
      <w:pPr>
        <w:tabs>
          <w:tab w:val="left" w:pos="360"/>
          <w:tab w:val="left" w:pos="6840"/>
        </w:tabs>
        <w:ind w:right="-79"/>
        <w:jc w:val="both"/>
        <w:rPr>
          <w:rFonts w:ascii="Verdana" w:eastAsia="Malgun Gothic" w:hAnsi="Verdana" w:cs="Arial"/>
          <w:b/>
          <w:i/>
          <w:sz w:val="20"/>
          <w:szCs w:val="20"/>
        </w:rPr>
      </w:pPr>
    </w:p>
    <w:p w14:paraId="75600A2B" w14:textId="77777777" w:rsidR="002A10AB" w:rsidRDefault="002A10AB" w:rsidP="002A10AB">
      <w:pPr>
        <w:rPr>
          <w:rFonts w:ascii="Verdana" w:hAnsi="Verdana"/>
          <w:b/>
          <w:i/>
          <w:sz w:val="18"/>
          <w:szCs w:val="18"/>
          <w:lang w:val="en-GB"/>
        </w:rPr>
      </w:pPr>
      <w:r>
        <w:rPr>
          <w:rFonts w:ascii="Verdana" w:hAnsi="Verdana"/>
          <w:b/>
          <w:i/>
          <w:sz w:val="18"/>
          <w:szCs w:val="18"/>
          <w:lang w:val="en-GB"/>
        </w:rPr>
        <w:t xml:space="preserve">For more information: </w:t>
      </w:r>
    </w:p>
    <w:p w14:paraId="00731C72" w14:textId="77777777" w:rsidR="002A10AB" w:rsidRDefault="002A10AB" w:rsidP="002A10AB">
      <w:pPr>
        <w:rPr>
          <w:rFonts w:ascii="Verdana" w:hAnsi="Verdana"/>
          <w:sz w:val="18"/>
          <w:szCs w:val="18"/>
        </w:rPr>
      </w:pPr>
      <w:r>
        <w:rPr>
          <w:rFonts w:ascii="Verdana" w:hAnsi="Verdana"/>
          <w:sz w:val="18"/>
          <w:szCs w:val="18"/>
          <w:lang w:val="en-GB"/>
        </w:rPr>
        <w:t xml:space="preserve">CYSTAT Portal, subtheme </w:t>
      </w:r>
      <w:hyperlink r:id="rId8" w:history="1">
        <w:r>
          <w:rPr>
            <w:rStyle w:val="Hyperlink"/>
            <w:rFonts w:ascii="Verdana" w:hAnsi="Verdana"/>
            <w:sz w:val="18"/>
            <w:szCs w:val="18"/>
            <w:lang w:val="en-GB"/>
          </w:rPr>
          <w:t>Touri</w:t>
        </w:r>
        <w:r>
          <w:rPr>
            <w:rStyle w:val="Hyperlink"/>
            <w:rFonts w:ascii="Verdana" w:hAnsi="Verdana"/>
            <w:sz w:val="18"/>
            <w:szCs w:val="18"/>
            <w:lang w:val="en-GB"/>
          </w:rPr>
          <w:t>s</w:t>
        </w:r>
        <w:r>
          <w:rPr>
            <w:rStyle w:val="Hyperlink"/>
            <w:rFonts w:ascii="Verdana" w:hAnsi="Verdana"/>
            <w:sz w:val="18"/>
            <w:szCs w:val="18"/>
            <w:lang w:val="en-GB"/>
          </w:rPr>
          <w:t>m</w:t>
        </w:r>
      </w:hyperlink>
    </w:p>
    <w:p w14:paraId="5B16E89A" w14:textId="77777777" w:rsidR="002A10AB" w:rsidRDefault="0035796D" w:rsidP="002A10AB">
      <w:pPr>
        <w:rPr>
          <w:rFonts w:ascii="Verdana" w:hAnsi="Verdana"/>
          <w:sz w:val="18"/>
          <w:szCs w:val="18"/>
        </w:rPr>
      </w:pPr>
      <w:hyperlink r:id="rId9" w:history="1">
        <w:r w:rsidR="002A10AB">
          <w:rPr>
            <w:rStyle w:val="Hyperlink"/>
            <w:rFonts w:ascii="Verdana" w:hAnsi="Verdana"/>
            <w:sz w:val="18"/>
            <w:szCs w:val="18"/>
          </w:rPr>
          <w:t>CYST</w:t>
        </w:r>
        <w:r w:rsidR="002A10AB">
          <w:rPr>
            <w:rStyle w:val="Hyperlink"/>
            <w:rFonts w:ascii="Verdana" w:hAnsi="Verdana"/>
            <w:sz w:val="18"/>
            <w:szCs w:val="18"/>
          </w:rPr>
          <w:t>A</w:t>
        </w:r>
        <w:r w:rsidR="002A10AB">
          <w:rPr>
            <w:rStyle w:val="Hyperlink"/>
            <w:rFonts w:ascii="Verdana" w:hAnsi="Verdana"/>
            <w:sz w:val="18"/>
            <w:szCs w:val="18"/>
          </w:rPr>
          <w:t>T-DB</w:t>
        </w:r>
      </w:hyperlink>
      <w:r w:rsidR="002A10AB">
        <w:rPr>
          <w:rFonts w:ascii="Verdana" w:hAnsi="Verdana"/>
          <w:sz w:val="18"/>
          <w:szCs w:val="18"/>
        </w:rPr>
        <w:t xml:space="preserve"> (Online Database) </w:t>
      </w:r>
    </w:p>
    <w:p w14:paraId="18E635B7" w14:textId="3CF29AFF" w:rsidR="002A10AB" w:rsidRDefault="0035796D" w:rsidP="002A10AB">
      <w:pPr>
        <w:ind w:right="-79"/>
        <w:jc w:val="both"/>
        <w:rPr>
          <w:rFonts w:ascii="Verdana" w:hAnsi="Verdana"/>
          <w:sz w:val="18"/>
          <w:szCs w:val="18"/>
        </w:rPr>
      </w:pPr>
      <w:hyperlink r:id="rId10" w:history="1">
        <w:r w:rsidR="002A10AB">
          <w:rPr>
            <w:rStyle w:val="Hyperlink"/>
            <w:rFonts w:ascii="Verdana" w:hAnsi="Verdana"/>
            <w:sz w:val="18"/>
            <w:szCs w:val="18"/>
          </w:rPr>
          <w:t>Prede</w:t>
        </w:r>
        <w:r w:rsidR="002A10AB">
          <w:rPr>
            <w:rStyle w:val="Hyperlink"/>
            <w:rFonts w:ascii="Verdana" w:hAnsi="Verdana"/>
            <w:sz w:val="18"/>
            <w:szCs w:val="18"/>
          </w:rPr>
          <w:t>f</w:t>
        </w:r>
        <w:r w:rsidR="002A10AB">
          <w:rPr>
            <w:rStyle w:val="Hyperlink"/>
            <w:rFonts w:ascii="Verdana" w:hAnsi="Verdana"/>
            <w:sz w:val="18"/>
            <w:szCs w:val="18"/>
          </w:rPr>
          <w:t>ined Tables</w:t>
        </w:r>
      </w:hyperlink>
      <w:r w:rsidR="002A10AB">
        <w:rPr>
          <w:rFonts w:ascii="Verdana" w:hAnsi="Verdana"/>
          <w:sz w:val="18"/>
          <w:szCs w:val="18"/>
        </w:rPr>
        <w:t xml:space="preserve"> (Excel)</w:t>
      </w:r>
    </w:p>
    <w:p w14:paraId="4230EDA5" w14:textId="599E1385" w:rsidR="00F12DF4" w:rsidRDefault="0035796D" w:rsidP="002A10AB">
      <w:pPr>
        <w:ind w:right="-79"/>
        <w:jc w:val="both"/>
        <w:rPr>
          <w:rFonts w:ascii="Verdana" w:eastAsia="Malgun Gothic" w:hAnsi="Verdana" w:cs="Arial"/>
          <w:sz w:val="18"/>
          <w:szCs w:val="18"/>
        </w:rPr>
      </w:pPr>
      <w:hyperlink r:id="rId11" w:history="1">
        <w:r w:rsidR="00F12DF4" w:rsidRPr="00F12DF4">
          <w:rPr>
            <w:rStyle w:val="Hyperlink"/>
            <w:rFonts w:ascii="Verdana" w:hAnsi="Verdana"/>
            <w:sz w:val="18"/>
            <w:szCs w:val="18"/>
          </w:rPr>
          <w:t>Methodologic</w:t>
        </w:r>
        <w:r w:rsidR="00F12DF4" w:rsidRPr="00F12DF4">
          <w:rPr>
            <w:rStyle w:val="Hyperlink"/>
            <w:rFonts w:ascii="Verdana" w:hAnsi="Verdana"/>
            <w:sz w:val="18"/>
            <w:szCs w:val="18"/>
          </w:rPr>
          <w:t>a</w:t>
        </w:r>
        <w:r w:rsidR="00F12DF4" w:rsidRPr="00F12DF4">
          <w:rPr>
            <w:rStyle w:val="Hyperlink"/>
            <w:rFonts w:ascii="Verdana" w:hAnsi="Verdana"/>
            <w:sz w:val="18"/>
            <w:szCs w:val="18"/>
          </w:rPr>
          <w:t>l Information</w:t>
        </w:r>
      </w:hyperlink>
    </w:p>
    <w:p w14:paraId="52A75D49" w14:textId="77777777" w:rsidR="002A10AB" w:rsidRDefault="002A10AB" w:rsidP="002A10AB">
      <w:pPr>
        <w:ind w:right="-79"/>
        <w:jc w:val="both"/>
        <w:rPr>
          <w:rFonts w:ascii="Verdana" w:eastAsia="Malgun Gothic" w:hAnsi="Verdana" w:cs="Arial"/>
          <w:sz w:val="18"/>
          <w:szCs w:val="18"/>
        </w:rPr>
      </w:pPr>
    </w:p>
    <w:p w14:paraId="79B28F02" w14:textId="77777777" w:rsidR="002A10AB" w:rsidRPr="002A10AB" w:rsidRDefault="002A10AB" w:rsidP="002A10AB">
      <w:pPr>
        <w:ind w:right="-79"/>
        <w:jc w:val="both"/>
        <w:rPr>
          <w:rFonts w:ascii="Verdana" w:eastAsia="Malgun Gothic" w:hAnsi="Verdana" w:cs="Arial"/>
          <w:i/>
          <w:sz w:val="18"/>
          <w:szCs w:val="18"/>
          <w:lang w:val="pt-PT"/>
        </w:rPr>
      </w:pPr>
      <w:r w:rsidRPr="002A10AB">
        <w:rPr>
          <w:rFonts w:ascii="Verdana" w:eastAsia="Malgun Gothic" w:hAnsi="Verdana" w:cs="Arial"/>
          <w:i/>
          <w:sz w:val="18"/>
          <w:szCs w:val="18"/>
          <w:u w:val="single"/>
          <w:lang w:val="pt-PT"/>
        </w:rPr>
        <w:t>Contact</w:t>
      </w:r>
      <w:r w:rsidRPr="002A10AB">
        <w:rPr>
          <w:rFonts w:ascii="Verdana" w:eastAsia="Malgun Gothic" w:hAnsi="Verdana" w:cs="Arial"/>
          <w:i/>
          <w:sz w:val="18"/>
          <w:szCs w:val="18"/>
          <w:lang w:val="pt-PT"/>
        </w:rPr>
        <w:t xml:space="preserve"> </w:t>
      </w:r>
    </w:p>
    <w:p w14:paraId="52254998" w14:textId="77777777" w:rsidR="002A10AB" w:rsidRPr="002A10AB" w:rsidRDefault="002A10AB" w:rsidP="002A10AB">
      <w:pPr>
        <w:tabs>
          <w:tab w:val="left" w:pos="360"/>
          <w:tab w:val="left" w:pos="6840"/>
        </w:tabs>
        <w:ind w:right="-79"/>
        <w:jc w:val="both"/>
        <w:rPr>
          <w:rFonts w:ascii="Verdana" w:eastAsia="Malgun Gothic" w:hAnsi="Verdana" w:cs="Arial"/>
          <w:sz w:val="18"/>
          <w:szCs w:val="18"/>
          <w:lang w:val="pt-PT"/>
        </w:rPr>
      </w:pPr>
      <w:r w:rsidRPr="002A10AB">
        <w:rPr>
          <w:rFonts w:ascii="Verdana" w:eastAsia="Malgun Gothic" w:hAnsi="Verdana" w:cs="Arial"/>
          <w:sz w:val="18"/>
          <w:szCs w:val="18"/>
          <w:lang w:val="pt-PT"/>
        </w:rPr>
        <w:t xml:space="preserve">Lucy Panayidou: Tel.:+35722602152, E-mail: </w:t>
      </w:r>
      <w:hyperlink r:id="rId12" w:history="1">
        <w:r w:rsidRPr="002A10AB">
          <w:rPr>
            <w:rStyle w:val="Hyperlink"/>
            <w:rFonts w:ascii="Verdana" w:eastAsia="Malgun Gothic" w:hAnsi="Verdana" w:cs="Arial"/>
            <w:sz w:val="18"/>
            <w:szCs w:val="18"/>
            <w:lang w:val="pt-PT"/>
          </w:rPr>
          <w:t>lpanagidou@cystat.mof.gov.cy</w:t>
        </w:r>
      </w:hyperlink>
    </w:p>
    <w:p w14:paraId="7B852E72" w14:textId="77777777" w:rsidR="002A10AB" w:rsidRPr="002A10AB" w:rsidRDefault="002A10AB" w:rsidP="002A10AB">
      <w:pPr>
        <w:jc w:val="both"/>
        <w:rPr>
          <w:rFonts w:ascii="Verdana" w:eastAsia="Malgun Gothic" w:hAnsi="Verdana" w:cs="Arial"/>
          <w:sz w:val="18"/>
          <w:szCs w:val="18"/>
          <w:lang w:val="pt-PT"/>
        </w:rPr>
      </w:pPr>
    </w:p>
    <w:p w14:paraId="77EE8272" w14:textId="77777777" w:rsidR="007437AB" w:rsidRPr="002A10AB" w:rsidRDefault="007437AB" w:rsidP="006F1E66">
      <w:pPr>
        <w:jc w:val="both"/>
        <w:rPr>
          <w:rFonts w:ascii="Verdana" w:hAnsi="Verdana" w:cs="Arial"/>
          <w:sz w:val="18"/>
          <w:szCs w:val="18"/>
          <w:lang w:val="pt-PT"/>
        </w:rPr>
      </w:pPr>
    </w:p>
    <w:p w14:paraId="663F5B87" w14:textId="5FFBC9C2" w:rsidR="00972CA0" w:rsidRPr="002A10AB" w:rsidRDefault="00463214" w:rsidP="00C26329">
      <w:pPr>
        <w:jc w:val="both"/>
        <w:rPr>
          <w:rFonts w:ascii="Verdana" w:eastAsia="Malgun Gothic" w:hAnsi="Verdana" w:cs="Arial"/>
          <w:sz w:val="18"/>
          <w:szCs w:val="18"/>
          <w:lang w:val="pt-PT"/>
        </w:rPr>
      </w:pPr>
      <w:r w:rsidRPr="002A10AB">
        <w:rPr>
          <w:rFonts w:ascii="Arial" w:hAnsi="Arial" w:cs="Arial"/>
          <w:sz w:val="20"/>
          <w:szCs w:val="20"/>
          <w:lang w:val="pt-PT"/>
        </w:rPr>
        <w:tab/>
      </w:r>
      <w:r w:rsidRPr="002A10AB">
        <w:rPr>
          <w:rFonts w:ascii="Arial" w:hAnsi="Arial" w:cs="Arial"/>
          <w:sz w:val="18"/>
          <w:szCs w:val="18"/>
          <w:lang w:val="pt-PT"/>
        </w:rPr>
        <w:tab/>
      </w:r>
    </w:p>
    <w:p w14:paraId="27A72E99" w14:textId="77777777" w:rsidR="00972CA0" w:rsidRPr="002A10AB" w:rsidRDefault="00972CA0" w:rsidP="00072754">
      <w:pPr>
        <w:jc w:val="both"/>
        <w:rPr>
          <w:rFonts w:ascii="Verdana" w:eastAsia="Malgun Gothic" w:hAnsi="Verdana" w:cs="Arial"/>
          <w:sz w:val="18"/>
          <w:szCs w:val="18"/>
          <w:lang w:val="pt-PT"/>
        </w:rPr>
      </w:pPr>
    </w:p>
    <w:p w14:paraId="53B37447" w14:textId="77777777" w:rsidR="00972CA0" w:rsidRPr="002A10AB" w:rsidRDefault="00972CA0" w:rsidP="00072754">
      <w:pPr>
        <w:jc w:val="both"/>
        <w:rPr>
          <w:rFonts w:ascii="Verdana" w:eastAsia="Malgun Gothic" w:hAnsi="Verdana" w:cs="Arial"/>
          <w:sz w:val="18"/>
          <w:szCs w:val="18"/>
          <w:lang w:val="pt-PT"/>
        </w:rPr>
      </w:pPr>
    </w:p>
    <w:p w14:paraId="2680B9B0" w14:textId="77777777" w:rsidR="00972CA0" w:rsidRPr="002A10AB" w:rsidRDefault="00972CA0" w:rsidP="00072754">
      <w:pPr>
        <w:jc w:val="both"/>
        <w:rPr>
          <w:rFonts w:ascii="Verdana" w:eastAsia="Malgun Gothic" w:hAnsi="Verdana" w:cs="Arial"/>
          <w:sz w:val="18"/>
          <w:szCs w:val="18"/>
          <w:lang w:val="pt-PT"/>
        </w:rPr>
      </w:pPr>
    </w:p>
    <w:p w14:paraId="33604C03" w14:textId="77777777" w:rsidR="00972CA0" w:rsidRPr="002A10AB" w:rsidRDefault="00972CA0" w:rsidP="00072754">
      <w:pPr>
        <w:jc w:val="both"/>
        <w:rPr>
          <w:rFonts w:ascii="Verdana" w:eastAsia="Malgun Gothic" w:hAnsi="Verdana" w:cs="Arial"/>
          <w:sz w:val="18"/>
          <w:szCs w:val="18"/>
          <w:lang w:val="pt-PT"/>
        </w:rPr>
      </w:pPr>
    </w:p>
    <w:p w14:paraId="1050D5FA" w14:textId="77777777" w:rsidR="00972CA0" w:rsidRPr="002A10AB" w:rsidRDefault="00972CA0" w:rsidP="00072754">
      <w:pPr>
        <w:jc w:val="both"/>
        <w:rPr>
          <w:rFonts w:ascii="Verdana" w:eastAsia="Malgun Gothic" w:hAnsi="Verdana" w:cs="Arial"/>
          <w:sz w:val="18"/>
          <w:szCs w:val="18"/>
          <w:lang w:val="pt-PT"/>
        </w:rPr>
      </w:pPr>
    </w:p>
    <w:p w14:paraId="082D84DB" w14:textId="77777777" w:rsidR="00972CA0" w:rsidRPr="002A10AB" w:rsidRDefault="00972CA0" w:rsidP="00072754">
      <w:pPr>
        <w:jc w:val="both"/>
        <w:rPr>
          <w:rFonts w:ascii="Verdana" w:eastAsia="Malgun Gothic" w:hAnsi="Verdana" w:cs="Arial"/>
          <w:sz w:val="18"/>
          <w:szCs w:val="18"/>
          <w:lang w:val="pt-PT"/>
        </w:rPr>
      </w:pPr>
    </w:p>
    <w:p w14:paraId="554E7F67" w14:textId="77777777" w:rsidR="00972CA0" w:rsidRPr="002A10AB" w:rsidRDefault="00972CA0" w:rsidP="00072754">
      <w:pPr>
        <w:jc w:val="both"/>
        <w:rPr>
          <w:rFonts w:ascii="Verdana" w:eastAsia="Malgun Gothic" w:hAnsi="Verdana" w:cs="Arial"/>
          <w:sz w:val="18"/>
          <w:szCs w:val="18"/>
          <w:lang w:val="pt-PT"/>
        </w:rPr>
      </w:pPr>
    </w:p>
    <w:p w14:paraId="3F7A74F3" w14:textId="77777777" w:rsidR="00972CA0" w:rsidRPr="002A10AB" w:rsidRDefault="00972CA0" w:rsidP="00072754">
      <w:pPr>
        <w:jc w:val="both"/>
        <w:rPr>
          <w:rFonts w:ascii="Verdana" w:eastAsia="Malgun Gothic" w:hAnsi="Verdana" w:cs="Arial"/>
          <w:sz w:val="18"/>
          <w:szCs w:val="18"/>
          <w:lang w:val="pt-PT"/>
        </w:rPr>
      </w:pPr>
    </w:p>
    <w:p w14:paraId="57E562A5" w14:textId="77777777" w:rsidR="00972CA0" w:rsidRPr="002A10AB" w:rsidRDefault="00972CA0" w:rsidP="00072754">
      <w:pPr>
        <w:jc w:val="both"/>
        <w:rPr>
          <w:rFonts w:ascii="Verdana" w:eastAsia="Malgun Gothic" w:hAnsi="Verdana" w:cs="Arial"/>
          <w:sz w:val="18"/>
          <w:szCs w:val="18"/>
          <w:lang w:val="pt-PT"/>
        </w:rPr>
      </w:pPr>
    </w:p>
    <w:p w14:paraId="16064204" w14:textId="77777777" w:rsidR="00972CA0" w:rsidRPr="002A10AB" w:rsidRDefault="00972CA0" w:rsidP="00072754">
      <w:pPr>
        <w:jc w:val="both"/>
        <w:rPr>
          <w:rFonts w:ascii="Verdana" w:eastAsia="Malgun Gothic" w:hAnsi="Verdana" w:cs="Arial"/>
          <w:sz w:val="18"/>
          <w:szCs w:val="18"/>
          <w:lang w:val="pt-PT"/>
        </w:rPr>
      </w:pPr>
    </w:p>
    <w:p w14:paraId="091F406A" w14:textId="77777777" w:rsidR="00972CA0" w:rsidRPr="002A10AB" w:rsidRDefault="00972CA0" w:rsidP="00072754">
      <w:pPr>
        <w:jc w:val="both"/>
        <w:rPr>
          <w:rFonts w:ascii="Verdana" w:eastAsia="Malgun Gothic" w:hAnsi="Verdana" w:cs="Arial"/>
          <w:sz w:val="18"/>
          <w:szCs w:val="18"/>
          <w:lang w:val="pt-PT"/>
        </w:rPr>
      </w:pPr>
    </w:p>
    <w:p w14:paraId="0EF6D563" w14:textId="77777777" w:rsidR="00972CA0" w:rsidRPr="002A10AB" w:rsidRDefault="00972CA0" w:rsidP="00072754">
      <w:pPr>
        <w:jc w:val="both"/>
        <w:rPr>
          <w:rFonts w:ascii="Verdana" w:eastAsia="Malgun Gothic" w:hAnsi="Verdana" w:cs="Arial"/>
          <w:sz w:val="18"/>
          <w:szCs w:val="18"/>
          <w:lang w:val="pt-PT"/>
        </w:rPr>
      </w:pPr>
    </w:p>
    <w:p w14:paraId="2E64F741" w14:textId="77777777" w:rsidR="00972CA0" w:rsidRPr="002A10AB" w:rsidRDefault="00972CA0" w:rsidP="00072754">
      <w:pPr>
        <w:jc w:val="both"/>
        <w:rPr>
          <w:rFonts w:ascii="Verdana" w:eastAsia="Malgun Gothic" w:hAnsi="Verdana" w:cs="Arial"/>
          <w:sz w:val="18"/>
          <w:szCs w:val="18"/>
          <w:lang w:val="pt-PT"/>
        </w:rPr>
      </w:pPr>
    </w:p>
    <w:p w14:paraId="726E4C9B" w14:textId="77777777" w:rsidR="00691191" w:rsidRPr="002A10AB" w:rsidRDefault="00691191" w:rsidP="00072754">
      <w:pPr>
        <w:jc w:val="both"/>
        <w:rPr>
          <w:rFonts w:ascii="Verdana" w:eastAsia="Malgun Gothic" w:hAnsi="Verdana" w:cs="Arial"/>
          <w:sz w:val="18"/>
          <w:szCs w:val="18"/>
          <w:lang w:val="pt-PT"/>
        </w:rPr>
      </w:pPr>
    </w:p>
    <w:p w14:paraId="0C7DC7E7" w14:textId="77777777" w:rsidR="00691191" w:rsidRPr="002A10AB" w:rsidRDefault="00691191" w:rsidP="00072754">
      <w:pPr>
        <w:jc w:val="both"/>
        <w:rPr>
          <w:rFonts w:ascii="Verdana" w:eastAsia="Malgun Gothic" w:hAnsi="Verdana" w:cs="Arial"/>
          <w:sz w:val="18"/>
          <w:szCs w:val="18"/>
          <w:lang w:val="pt-PT"/>
        </w:rPr>
      </w:pPr>
    </w:p>
    <w:p w14:paraId="506AAA7B" w14:textId="77777777" w:rsidR="00691191" w:rsidRPr="002A10AB" w:rsidRDefault="00691191" w:rsidP="00072754">
      <w:pPr>
        <w:jc w:val="both"/>
        <w:rPr>
          <w:rFonts w:ascii="Verdana" w:eastAsia="Malgun Gothic" w:hAnsi="Verdana" w:cs="Arial"/>
          <w:sz w:val="18"/>
          <w:szCs w:val="18"/>
          <w:lang w:val="pt-PT"/>
        </w:rPr>
      </w:pPr>
    </w:p>
    <w:p w14:paraId="271B080D" w14:textId="77777777" w:rsidR="00691191" w:rsidRPr="002A10AB" w:rsidRDefault="00691191" w:rsidP="00072754">
      <w:pPr>
        <w:jc w:val="both"/>
        <w:rPr>
          <w:rFonts w:ascii="Verdana" w:eastAsia="Malgun Gothic" w:hAnsi="Verdana" w:cs="Arial"/>
          <w:sz w:val="18"/>
          <w:szCs w:val="18"/>
          <w:lang w:val="pt-PT"/>
        </w:rPr>
      </w:pPr>
    </w:p>
    <w:p w14:paraId="5310AC9E" w14:textId="77777777" w:rsidR="00691191" w:rsidRPr="002A10AB" w:rsidRDefault="00691191" w:rsidP="00072754">
      <w:pPr>
        <w:jc w:val="both"/>
        <w:rPr>
          <w:rFonts w:ascii="Verdana" w:eastAsia="Malgun Gothic" w:hAnsi="Verdana" w:cs="Arial"/>
          <w:sz w:val="18"/>
          <w:szCs w:val="18"/>
          <w:lang w:val="pt-PT"/>
        </w:rPr>
      </w:pPr>
    </w:p>
    <w:p w14:paraId="41BB17B1" w14:textId="77777777" w:rsidR="00691191" w:rsidRPr="002A10AB" w:rsidRDefault="00691191" w:rsidP="00072754">
      <w:pPr>
        <w:jc w:val="both"/>
        <w:rPr>
          <w:rFonts w:ascii="Verdana" w:eastAsia="Malgun Gothic" w:hAnsi="Verdana" w:cs="Arial"/>
          <w:sz w:val="18"/>
          <w:szCs w:val="18"/>
          <w:lang w:val="pt-PT"/>
        </w:rPr>
      </w:pPr>
    </w:p>
    <w:p w14:paraId="5A69251E" w14:textId="77777777" w:rsidR="00C26329" w:rsidRPr="002A10AB" w:rsidRDefault="00C26329" w:rsidP="00072754">
      <w:pPr>
        <w:jc w:val="both"/>
        <w:rPr>
          <w:rFonts w:ascii="Verdana" w:eastAsia="Malgun Gothic" w:hAnsi="Verdana" w:cs="Arial"/>
          <w:sz w:val="18"/>
          <w:szCs w:val="18"/>
          <w:lang w:val="pt-PT"/>
        </w:rPr>
      </w:pPr>
    </w:p>
    <w:sectPr w:rsidR="00C26329" w:rsidRPr="002A10AB" w:rsidSect="005938ED">
      <w:headerReference w:type="even" r:id="rId13"/>
      <w:headerReference w:type="default" r:id="rId14"/>
      <w:footerReference w:type="even"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8B0E" w14:textId="77777777" w:rsidR="0035796D" w:rsidRDefault="0035796D" w:rsidP="00FB398F">
      <w:r>
        <w:separator/>
      </w:r>
    </w:p>
  </w:endnote>
  <w:endnote w:type="continuationSeparator" w:id="0">
    <w:p w14:paraId="6B70E03D" w14:textId="77777777" w:rsidR="0035796D" w:rsidRDefault="0035796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7F2F" w14:textId="77777777" w:rsidR="00540668" w:rsidRDefault="0054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CE26"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proofErr w:type="gramStart"/>
    <w:r w:rsidRPr="00122143">
      <w:rPr>
        <w:rFonts w:ascii="Arial" w:hAnsi="Arial" w:cs="Arial"/>
        <w:i/>
        <w:iCs/>
        <w:sz w:val="16"/>
        <w:szCs w:val="16"/>
      </w:rPr>
      <w:t>Karaoli</w:t>
    </w:r>
    <w:proofErr w:type="spellEnd"/>
    <w:r w:rsidRPr="00122143">
      <w:rPr>
        <w:rFonts w:ascii="Arial" w:hAnsi="Arial" w:cs="Arial"/>
        <w:i/>
        <w:iCs/>
        <w:sz w:val="16"/>
        <w:szCs w:val="16"/>
      </w:rPr>
      <w:t xml:space="preserve">  Str.</w:t>
    </w:r>
    <w:proofErr w:type="gramEnd"/>
    <w:r w:rsidRPr="00122143">
      <w:rPr>
        <w:rFonts w:ascii="Arial" w:hAnsi="Arial" w:cs="Arial"/>
        <w:i/>
        <w:iCs/>
        <w:sz w:val="16"/>
        <w:szCs w:val="16"/>
      </w:rPr>
      <w:t>, 1444 Nicosia, Cyprus</w:t>
    </w:r>
  </w:p>
  <w:p w14:paraId="5BFB5428" w14:textId="111B6790" w:rsidR="0060256A" w:rsidRPr="002A10AB" w:rsidRDefault="00122143" w:rsidP="0060256A">
    <w:pPr>
      <w:pStyle w:val="Footer"/>
      <w:tabs>
        <w:tab w:val="left" w:pos="4500"/>
      </w:tabs>
      <w:jc w:val="center"/>
      <w:rPr>
        <w:rFonts w:ascii="Arial" w:hAnsi="Arial" w:cs="Arial"/>
        <w:i/>
        <w:iCs/>
        <w:sz w:val="16"/>
        <w:szCs w:val="16"/>
        <w:lang w:val="pt-PT"/>
      </w:rPr>
    </w:pPr>
    <w:r w:rsidRPr="002A10AB">
      <w:rPr>
        <w:rFonts w:ascii="Arial" w:hAnsi="Arial" w:cs="Arial"/>
        <w:i/>
        <w:iCs/>
        <w:sz w:val="16"/>
        <w:szCs w:val="16"/>
        <w:lang w:val="pt-PT"/>
      </w:rPr>
      <w:t xml:space="preserve">Tel.:  22 602129, </w:t>
    </w:r>
    <w:r w:rsidR="0060256A" w:rsidRPr="002A10AB">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2536" w14:textId="77777777" w:rsidR="0035796D" w:rsidRDefault="0035796D" w:rsidP="00FB398F">
      <w:r>
        <w:separator/>
      </w:r>
    </w:p>
  </w:footnote>
  <w:footnote w:type="continuationSeparator" w:id="0">
    <w:p w14:paraId="79A5CBB6" w14:textId="77777777" w:rsidR="0035796D" w:rsidRDefault="0035796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21CC" w14:textId="77777777" w:rsidR="00540668" w:rsidRDefault="00540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364377" w:rsidRPr="007C1520">
      <w:rPr>
        <w:rFonts w:ascii="Arial" w:hAnsi="Arial" w:cs="Arial"/>
        <w:b/>
        <w:bCs/>
        <w:sz w:val="20"/>
        <w:szCs w:val="20"/>
        <w:lang w:val="en-US"/>
      </w:rPr>
      <w:t>MINISTRY OF FINANCE</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45088"/>
    <w:rsid w:val="00045A06"/>
    <w:rsid w:val="00050391"/>
    <w:rsid w:val="00055291"/>
    <w:rsid w:val="000563D3"/>
    <w:rsid w:val="00057E44"/>
    <w:rsid w:val="00061299"/>
    <w:rsid w:val="00070576"/>
    <w:rsid w:val="00071DDF"/>
    <w:rsid w:val="00072754"/>
    <w:rsid w:val="000752BB"/>
    <w:rsid w:val="00081ADF"/>
    <w:rsid w:val="00084A02"/>
    <w:rsid w:val="00084BF7"/>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D6C"/>
    <w:rsid w:val="00106852"/>
    <w:rsid w:val="00110F9D"/>
    <w:rsid w:val="00114A67"/>
    <w:rsid w:val="00122143"/>
    <w:rsid w:val="001253B6"/>
    <w:rsid w:val="00127320"/>
    <w:rsid w:val="00127456"/>
    <w:rsid w:val="001312D8"/>
    <w:rsid w:val="0013137B"/>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97A90"/>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22423"/>
    <w:rsid w:val="00225B28"/>
    <w:rsid w:val="002313AC"/>
    <w:rsid w:val="00231DE5"/>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0AB"/>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522BB"/>
    <w:rsid w:val="00352F6C"/>
    <w:rsid w:val="003556EA"/>
    <w:rsid w:val="0035796D"/>
    <w:rsid w:val="00364377"/>
    <w:rsid w:val="00377ABB"/>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27CDB"/>
    <w:rsid w:val="005317FB"/>
    <w:rsid w:val="00533C9F"/>
    <w:rsid w:val="005341C9"/>
    <w:rsid w:val="005369CA"/>
    <w:rsid w:val="00536DE9"/>
    <w:rsid w:val="00540668"/>
    <w:rsid w:val="00541E08"/>
    <w:rsid w:val="0055789A"/>
    <w:rsid w:val="005652D1"/>
    <w:rsid w:val="005660A0"/>
    <w:rsid w:val="00566A4F"/>
    <w:rsid w:val="00567D64"/>
    <w:rsid w:val="00572BC2"/>
    <w:rsid w:val="005938ED"/>
    <w:rsid w:val="0059478C"/>
    <w:rsid w:val="005978D4"/>
    <w:rsid w:val="005B2A67"/>
    <w:rsid w:val="005B3DCD"/>
    <w:rsid w:val="005B4ABF"/>
    <w:rsid w:val="005B4AD4"/>
    <w:rsid w:val="005B5CC7"/>
    <w:rsid w:val="005C2798"/>
    <w:rsid w:val="005C36C3"/>
    <w:rsid w:val="005C56EE"/>
    <w:rsid w:val="005C5D4B"/>
    <w:rsid w:val="005D1714"/>
    <w:rsid w:val="005D2D39"/>
    <w:rsid w:val="005D7638"/>
    <w:rsid w:val="005F12F5"/>
    <w:rsid w:val="005F4B4F"/>
    <w:rsid w:val="005F7C7D"/>
    <w:rsid w:val="0060256A"/>
    <w:rsid w:val="006044B7"/>
    <w:rsid w:val="006071CE"/>
    <w:rsid w:val="006075B5"/>
    <w:rsid w:val="0061018C"/>
    <w:rsid w:val="0061094E"/>
    <w:rsid w:val="00613440"/>
    <w:rsid w:val="00613BE3"/>
    <w:rsid w:val="0062327B"/>
    <w:rsid w:val="00632777"/>
    <w:rsid w:val="00633750"/>
    <w:rsid w:val="006339F8"/>
    <w:rsid w:val="00634491"/>
    <w:rsid w:val="0063679C"/>
    <w:rsid w:val="00637055"/>
    <w:rsid w:val="00641D59"/>
    <w:rsid w:val="00644507"/>
    <w:rsid w:val="00646880"/>
    <w:rsid w:val="00647D2A"/>
    <w:rsid w:val="006537BB"/>
    <w:rsid w:val="0065711B"/>
    <w:rsid w:val="00671785"/>
    <w:rsid w:val="00672BA9"/>
    <w:rsid w:val="00673005"/>
    <w:rsid w:val="006804BE"/>
    <w:rsid w:val="00683783"/>
    <w:rsid w:val="0069008E"/>
    <w:rsid w:val="0069087E"/>
    <w:rsid w:val="00691191"/>
    <w:rsid w:val="006925C4"/>
    <w:rsid w:val="0069309C"/>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5046"/>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543F"/>
    <w:rsid w:val="00795880"/>
    <w:rsid w:val="007A4367"/>
    <w:rsid w:val="007B0867"/>
    <w:rsid w:val="007B1AC1"/>
    <w:rsid w:val="007B5A08"/>
    <w:rsid w:val="007B693D"/>
    <w:rsid w:val="007E041B"/>
    <w:rsid w:val="007E199A"/>
    <w:rsid w:val="007E2415"/>
    <w:rsid w:val="007E39F3"/>
    <w:rsid w:val="007E68F4"/>
    <w:rsid w:val="007F31BA"/>
    <w:rsid w:val="007F4078"/>
    <w:rsid w:val="0080014B"/>
    <w:rsid w:val="00801793"/>
    <w:rsid w:val="00803642"/>
    <w:rsid w:val="00803C3F"/>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30754"/>
    <w:rsid w:val="00931164"/>
    <w:rsid w:val="00934F68"/>
    <w:rsid w:val="009355AC"/>
    <w:rsid w:val="00935933"/>
    <w:rsid w:val="00935F38"/>
    <w:rsid w:val="00937586"/>
    <w:rsid w:val="00947889"/>
    <w:rsid w:val="00956FF1"/>
    <w:rsid w:val="00960E98"/>
    <w:rsid w:val="00963A82"/>
    <w:rsid w:val="00972912"/>
    <w:rsid w:val="00972CA0"/>
    <w:rsid w:val="00976D1F"/>
    <w:rsid w:val="00981C81"/>
    <w:rsid w:val="00992209"/>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33875"/>
    <w:rsid w:val="00A360A1"/>
    <w:rsid w:val="00A402B3"/>
    <w:rsid w:val="00A544B7"/>
    <w:rsid w:val="00A618CF"/>
    <w:rsid w:val="00A62770"/>
    <w:rsid w:val="00A62EEB"/>
    <w:rsid w:val="00A660FF"/>
    <w:rsid w:val="00A6625A"/>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2F0"/>
    <w:rsid w:val="00B04AF4"/>
    <w:rsid w:val="00B05214"/>
    <w:rsid w:val="00B0736F"/>
    <w:rsid w:val="00B30D97"/>
    <w:rsid w:val="00B31738"/>
    <w:rsid w:val="00B3181A"/>
    <w:rsid w:val="00B35A7C"/>
    <w:rsid w:val="00B450D1"/>
    <w:rsid w:val="00B53D47"/>
    <w:rsid w:val="00B54A25"/>
    <w:rsid w:val="00B618C3"/>
    <w:rsid w:val="00B63652"/>
    <w:rsid w:val="00B668B0"/>
    <w:rsid w:val="00B70F5C"/>
    <w:rsid w:val="00B71873"/>
    <w:rsid w:val="00B7375D"/>
    <w:rsid w:val="00B75AE5"/>
    <w:rsid w:val="00B800C0"/>
    <w:rsid w:val="00B8132B"/>
    <w:rsid w:val="00B84C5A"/>
    <w:rsid w:val="00B858F5"/>
    <w:rsid w:val="00B85ADA"/>
    <w:rsid w:val="00B93668"/>
    <w:rsid w:val="00BA68C6"/>
    <w:rsid w:val="00BB12F1"/>
    <w:rsid w:val="00BB276E"/>
    <w:rsid w:val="00BB3FEE"/>
    <w:rsid w:val="00BB5EB0"/>
    <w:rsid w:val="00BB7A27"/>
    <w:rsid w:val="00BC245A"/>
    <w:rsid w:val="00BC340C"/>
    <w:rsid w:val="00BD087F"/>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B88"/>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D3294"/>
    <w:rsid w:val="00CD4524"/>
    <w:rsid w:val="00CD784D"/>
    <w:rsid w:val="00CF40F8"/>
    <w:rsid w:val="00D008DA"/>
    <w:rsid w:val="00D0416F"/>
    <w:rsid w:val="00D05851"/>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65191"/>
    <w:rsid w:val="00D843F4"/>
    <w:rsid w:val="00DC23CF"/>
    <w:rsid w:val="00DC6562"/>
    <w:rsid w:val="00DD5F69"/>
    <w:rsid w:val="00DE130D"/>
    <w:rsid w:val="00DE24CF"/>
    <w:rsid w:val="00DE407C"/>
    <w:rsid w:val="00DE7C7D"/>
    <w:rsid w:val="00DF2992"/>
    <w:rsid w:val="00DF2D0C"/>
    <w:rsid w:val="00DF3EE5"/>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2DF4"/>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
    <w:name w:val="Body Text"/>
    <w:basedOn w:val="Normal"/>
    <w:link w:val="BodyTextChar"/>
    <w:semiHidden/>
    <w:unhideWhenUsed/>
    <w:rsid w:val="002A10AB"/>
    <w:pPr>
      <w:jc w:val="both"/>
    </w:pPr>
    <w:rPr>
      <w:rFonts w:ascii="Arial" w:eastAsia="Times New Roman" w:hAnsi="Arial"/>
      <w:sz w:val="20"/>
      <w:szCs w:val="20"/>
      <w:lang w:val="el-GR" w:eastAsia="x-none"/>
    </w:rPr>
  </w:style>
  <w:style w:type="character" w:customStyle="1" w:styleId="BodyTextChar">
    <w:name w:val="Body Text Char"/>
    <w:basedOn w:val="DefaultParagraphFont"/>
    <w:link w:val="BodyText"/>
    <w:semiHidden/>
    <w:rsid w:val="002A10AB"/>
    <w:rPr>
      <w:rFonts w:ascii="Arial" w:eastAsia="Times New Roman" w:hAnsi="Arial"/>
      <w:lang w:val="el-GR" w:eastAsia="x-none"/>
    </w:rPr>
  </w:style>
  <w:style w:type="character" w:styleId="UnresolvedMention">
    <w:name w:val="Unresolved Mention"/>
    <w:basedOn w:val="DefaultParagraphFont"/>
    <w:uiPriority w:val="99"/>
    <w:semiHidden/>
    <w:unhideWhenUsed/>
    <w:rsid w:val="00F1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66679538">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stat.gov.cy/en/SubthemeStatistics?s=5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anagidou@cystat.mof.gov.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MethodologicalDetails?m=21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ystat.gov.cy/en/KeyFiguresList?s=5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ystatdb.cystat.gov.cy/pxweb/en/8.CYSTAT-DB/8.CYSTAT-DB__Tourism__"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2798</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19</cp:revision>
  <cp:lastPrinted>2016-09-28T08:24:00Z</cp:lastPrinted>
  <dcterms:created xsi:type="dcterms:W3CDTF">2022-06-09T08:02:00Z</dcterms:created>
  <dcterms:modified xsi:type="dcterms:W3CDTF">2022-06-21T06:46:00Z</dcterms:modified>
</cp:coreProperties>
</file>