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2FE7" w14:textId="77777777" w:rsidR="002A10AB" w:rsidRPr="00545E88" w:rsidRDefault="002A10AB" w:rsidP="002A10AB">
      <w:pPr>
        <w:jc w:val="right"/>
        <w:rPr>
          <w:rFonts w:ascii="Verdana" w:hAnsi="Verdana"/>
          <w:sz w:val="18"/>
          <w:szCs w:val="18"/>
        </w:rPr>
      </w:pPr>
    </w:p>
    <w:p w14:paraId="749696B5" w14:textId="186C0A27" w:rsidR="002A10AB" w:rsidRPr="00545E88" w:rsidRDefault="001A7204" w:rsidP="0009495F">
      <w:pPr>
        <w:jc w:val="right"/>
        <w:rPr>
          <w:rFonts w:ascii="Verdana" w:eastAsia="Malgun Gothic" w:hAnsi="Verdana"/>
          <w:sz w:val="18"/>
          <w:szCs w:val="18"/>
        </w:rPr>
      </w:pPr>
      <w:r>
        <w:rPr>
          <w:rFonts w:ascii="Verdana" w:hAnsi="Verdana"/>
          <w:sz w:val="18"/>
          <w:szCs w:val="18"/>
        </w:rPr>
        <w:t>20</w:t>
      </w:r>
      <w:r w:rsidR="002A10AB" w:rsidRPr="00545E88">
        <w:rPr>
          <w:rFonts w:ascii="Verdana" w:hAnsi="Verdana"/>
          <w:sz w:val="18"/>
          <w:szCs w:val="18"/>
        </w:rPr>
        <w:t xml:space="preserve"> </w:t>
      </w:r>
      <w:r w:rsidR="003551F1">
        <w:rPr>
          <w:rFonts w:ascii="Verdana" w:hAnsi="Verdana"/>
          <w:sz w:val="18"/>
          <w:szCs w:val="18"/>
        </w:rPr>
        <w:t>June</w:t>
      </w:r>
      <w:r w:rsidR="002A10AB" w:rsidRPr="00545E88">
        <w:rPr>
          <w:rFonts w:ascii="Verdana" w:eastAsia="Malgun Gothic" w:hAnsi="Verdana"/>
          <w:sz w:val="18"/>
          <w:szCs w:val="18"/>
        </w:rPr>
        <w:t>, 202</w:t>
      </w:r>
      <w:r w:rsidR="008641E3" w:rsidRPr="00545E88">
        <w:rPr>
          <w:rFonts w:ascii="Verdana" w:eastAsia="Malgun Gothic" w:hAnsi="Verdana"/>
          <w:sz w:val="18"/>
          <w:szCs w:val="18"/>
        </w:rPr>
        <w:t>3</w:t>
      </w:r>
    </w:p>
    <w:p w14:paraId="50208800" w14:textId="77777777" w:rsidR="002A10AB" w:rsidRPr="00545E88" w:rsidRDefault="002A10AB" w:rsidP="0009495F">
      <w:pPr>
        <w:jc w:val="both"/>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6DC050B9"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4B6B95">
        <w:rPr>
          <w:rFonts w:ascii="Verdana" w:eastAsia="Malgun Gothic" w:hAnsi="Verdana" w:cs="Arial"/>
          <w:szCs w:val="22"/>
          <w:lang w:val="en-US"/>
        </w:rPr>
        <w:t>MAY</w:t>
      </w:r>
      <w:r w:rsidRPr="00545E88">
        <w:rPr>
          <w:rFonts w:ascii="Verdana" w:eastAsia="Malgun Gothic" w:hAnsi="Verdana" w:cs="Arial"/>
          <w:szCs w:val="22"/>
          <w:lang w:val="en-US"/>
        </w:rPr>
        <w:t xml:space="preserve"> 202</w:t>
      </w:r>
      <w:r w:rsidR="00A20374" w:rsidRPr="00545E88">
        <w:rPr>
          <w:rFonts w:ascii="Verdana" w:eastAsia="Malgun Gothic" w:hAnsi="Verdana" w:cs="Arial"/>
          <w:szCs w:val="22"/>
          <w:lang w:val="en-US"/>
        </w:rPr>
        <w:t>3</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041A3BF6"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545E88">
        <w:rPr>
          <w:rFonts w:ascii="Verdana" w:eastAsia="Malgun Gothic" w:hAnsi="Verdana" w:cs="Arial"/>
          <w:b/>
        </w:rPr>
        <w:t>+</w:t>
      </w:r>
      <w:r w:rsidR="004B6B95" w:rsidRPr="004B6B95">
        <w:rPr>
          <w:rFonts w:ascii="Verdana" w:eastAsia="Malgun Gothic" w:hAnsi="Verdana" w:cs="Arial"/>
          <w:b/>
        </w:rPr>
        <w:t>33,3</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4B6B95" w:rsidRPr="0070785F">
        <w:rPr>
          <w:rFonts w:ascii="Verdana" w:eastAsia="Malgun Gothic" w:hAnsi="Verdana" w:cs="Arial"/>
          <w:b/>
        </w:rPr>
        <w:t>-6,7</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545E88" w:rsidRDefault="00C01754" w:rsidP="0009495F">
      <w:pPr>
        <w:rPr>
          <w:rFonts w:ascii="Verdana" w:eastAsia="Malgun Gothic" w:hAnsi="Verdana" w:cs="Arial"/>
          <w:b/>
          <w:bCs/>
          <w:sz w:val="18"/>
          <w:szCs w:val="18"/>
          <w:u w:val="single"/>
        </w:rPr>
      </w:pPr>
      <w:r w:rsidRPr="00545E88">
        <w:rPr>
          <w:rFonts w:ascii="Verdana" w:eastAsia="Malgun Gothic" w:hAnsi="Verdana" w:cs="Arial"/>
          <w:b/>
          <w:bCs/>
          <w:sz w:val="18"/>
          <w:szCs w:val="18"/>
          <w:u w:val="single"/>
        </w:rPr>
        <w:t>Tourist Arrivals</w:t>
      </w:r>
    </w:p>
    <w:p w14:paraId="20CE2AAA" w14:textId="77777777" w:rsidR="002A10AB" w:rsidRPr="00545E88" w:rsidRDefault="002A10AB" w:rsidP="0009495F">
      <w:pPr>
        <w:tabs>
          <w:tab w:val="left" w:pos="1080"/>
          <w:tab w:val="left" w:pos="6840"/>
        </w:tabs>
        <w:jc w:val="both"/>
        <w:rPr>
          <w:rFonts w:ascii="Verdana" w:hAnsi="Verdana" w:cs="Arial"/>
          <w:sz w:val="18"/>
          <w:szCs w:val="18"/>
        </w:rPr>
      </w:pPr>
    </w:p>
    <w:p w14:paraId="2047917A" w14:textId="38968B00" w:rsidR="002A10AB" w:rsidRPr="00545E88" w:rsidRDefault="0055624D"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The arrivals of tourists reached </w:t>
      </w:r>
      <w:r w:rsidR="0070785F" w:rsidRPr="0070785F">
        <w:rPr>
          <w:rFonts w:ascii="Verdana" w:eastAsia="Malgun Gothic" w:hAnsi="Verdana"/>
          <w:sz w:val="18"/>
          <w:szCs w:val="18"/>
          <w:lang w:val="en-US"/>
        </w:rPr>
        <w:t>420.076</w:t>
      </w:r>
      <w:r w:rsidR="007B5F30">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in </w:t>
      </w:r>
      <w:r w:rsidR="004B6B95">
        <w:rPr>
          <w:rFonts w:ascii="Verdana" w:eastAsia="Malgun Gothic" w:hAnsi="Verdana"/>
          <w:sz w:val="18"/>
          <w:szCs w:val="18"/>
          <w:lang w:val="en-US"/>
        </w:rPr>
        <w:t>May</w:t>
      </w:r>
      <w:r w:rsidRPr="00545E88">
        <w:rPr>
          <w:rFonts w:ascii="Verdana" w:eastAsia="Malgun Gothic" w:hAnsi="Verdana"/>
          <w:sz w:val="18"/>
          <w:szCs w:val="18"/>
          <w:lang w:val="en-US"/>
        </w:rPr>
        <w:t xml:space="preserve"> 202</w:t>
      </w:r>
      <w:r w:rsidR="00A20374" w:rsidRPr="00545E88">
        <w:rPr>
          <w:rFonts w:ascii="Verdana" w:eastAsia="Malgun Gothic" w:hAnsi="Verdana"/>
          <w:sz w:val="18"/>
          <w:szCs w:val="18"/>
          <w:lang w:val="en-US"/>
        </w:rPr>
        <w:t>3</w:t>
      </w:r>
      <w:r w:rsidRPr="00545E88">
        <w:rPr>
          <w:rFonts w:ascii="Verdana" w:eastAsia="Malgun Gothic" w:hAnsi="Verdana"/>
          <w:sz w:val="18"/>
          <w:szCs w:val="18"/>
          <w:lang w:val="en-US"/>
        </w:rPr>
        <w:t xml:space="preserve"> compared to </w:t>
      </w:r>
      <w:r w:rsidR="0070785F" w:rsidRPr="0070785F">
        <w:rPr>
          <w:rFonts w:ascii="Verdana" w:eastAsia="Malgun Gothic" w:hAnsi="Verdana"/>
          <w:sz w:val="18"/>
          <w:szCs w:val="18"/>
          <w:lang w:val="en-US"/>
        </w:rPr>
        <w:t>315.018</w:t>
      </w:r>
      <w:r w:rsidRPr="00545E88">
        <w:rPr>
          <w:rFonts w:ascii="Verdana" w:eastAsia="Malgun Gothic" w:hAnsi="Verdana"/>
          <w:sz w:val="18"/>
          <w:szCs w:val="18"/>
          <w:lang w:val="en-US"/>
        </w:rPr>
        <w:t xml:space="preserve"> in </w:t>
      </w:r>
      <w:r w:rsidR="004B6B95">
        <w:rPr>
          <w:rFonts w:ascii="Verdana" w:eastAsia="Malgun Gothic" w:hAnsi="Verdana"/>
          <w:sz w:val="18"/>
          <w:szCs w:val="18"/>
          <w:lang w:val="en-US"/>
        </w:rPr>
        <w:t>May</w:t>
      </w:r>
      <w:r w:rsidRPr="00545E88">
        <w:rPr>
          <w:rFonts w:ascii="Verdana" w:eastAsia="Malgun Gothic" w:hAnsi="Verdana"/>
          <w:sz w:val="18"/>
          <w:szCs w:val="18"/>
          <w:lang w:val="en-US"/>
        </w:rPr>
        <w:t xml:space="preserve"> 202</w:t>
      </w:r>
      <w:r w:rsidR="00A20374" w:rsidRPr="00545E88">
        <w:rPr>
          <w:rFonts w:ascii="Verdana" w:eastAsia="Malgun Gothic" w:hAnsi="Verdana"/>
          <w:sz w:val="18"/>
          <w:szCs w:val="18"/>
          <w:lang w:val="en-US"/>
        </w:rPr>
        <w:t>2</w:t>
      </w:r>
      <w:r w:rsidRPr="00545E88">
        <w:rPr>
          <w:rFonts w:ascii="Verdana" w:eastAsia="Malgun Gothic" w:hAnsi="Verdana"/>
          <w:sz w:val="18"/>
          <w:szCs w:val="18"/>
          <w:lang w:val="en-US"/>
        </w:rPr>
        <w:t xml:space="preserve">, recording an increase of </w:t>
      </w:r>
      <w:r w:rsidR="0070785F" w:rsidRPr="0070785F">
        <w:rPr>
          <w:rFonts w:ascii="Verdana" w:eastAsia="Malgun Gothic" w:hAnsi="Verdana"/>
          <w:sz w:val="18"/>
          <w:szCs w:val="18"/>
          <w:lang w:val="en-US"/>
        </w:rPr>
        <w:t>33,3</w:t>
      </w:r>
      <w:r w:rsidRPr="00545E88">
        <w:rPr>
          <w:rFonts w:ascii="Verdana" w:eastAsia="Malgun Gothic" w:hAnsi="Verdana"/>
          <w:sz w:val="18"/>
          <w:szCs w:val="18"/>
          <w:lang w:val="en-US"/>
        </w:rPr>
        <w:t xml:space="preserve">%. </w:t>
      </w:r>
    </w:p>
    <w:p w14:paraId="74A4C75D" w14:textId="77777777" w:rsidR="002A10AB" w:rsidRPr="00545E88" w:rsidRDefault="002A10AB"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 </w:t>
      </w:r>
    </w:p>
    <w:p w14:paraId="70813703" w14:textId="374F155D" w:rsidR="002A10AB" w:rsidRPr="00545E88" w:rsidRDefault="002A10AB"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For the period of January – </w:t>
      </w:r>
      <w:r w:rsidR="004B6B95">
        <w:rPr>
          <w:rFonts w:ascii="Verdana" w:eastAsia="Malgun Gothic" w:hAnsi="Verdana"/>
          <w:sz w:val="18"/>
          <w:szCs w:val="18"/>
          <w:lang w:val="en-US"/>
        </w:rPr>
        <w:t>May</w:t>
      </w:r>
      <w:r w:rsidRPr="00545E88">
        <w:rPr>
          <w:rFonts w:ascii="Verdana" w:eastAsia="Malgun Gothic" w:hAnsi="Verdana"/>
          <w:sz w:val="18"/>
          <w:szCs w:val="18"/>
          <w:lang w:val="en-US"/>
        </w:rPr>
        <w:t xml:space="preserve"> 202</w:t>
      </w:r>
      <w:r w:rsidR="004C434A" w:rsidRPr="00545E88">
        <w:rPr>
          <w:rFonts w:ascii="Verdana" w:eastAsia="Malgun Gothic" w:hAnsi="Verdana"/>
          <w:sz w:val="18"/>
          <w:szCs w:val="18"/>
          <w:lang w:val="en-US"/>
        </w:rPr>
        <w:t>3</w:t>
      </w:r>
      <w:r w:rsidRPr="00545E88">
        <w:rPr>
          <w:rFonts w:ascii="Verdana" w:eastAsia="Malgun Gothic" w:hAnsi="Verdana"/>
          <w:sz w:val="18"/>
          <w:szCs w:val="18"/>
          <w:lang w:val="en-US"/>
        </w:rPr>
        <w:t xml:space="preserve">, arrivals of tourists totaled </w:t>
      </w:r>
      <w:r w:rsidR="0070785F" w:rsidRPr="0070785F">
        <w:rPr>
          <w:rFonts w:ascii="Verdana" w:eastAsia="Malgun Gothic" w:hAnsi="Verdana"/>
          <w:sz w:val="18"/>
          <w:szCs w:val="18"/>
          <w:lang w:val="en-US"/>
        </w:rPr>
        <w:t>1.156.705</w:t>
      </w:r>
      <w:r w:rsidR="004C434A" w:rsidRPr="00545E88">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compared to </w:t>
      </w:r>
      <w:r w:rsidR="0070785F" w:rsidRPr="00171FC1">
        <w:rPr>
          <w:rFonts w:ascii="Verdana" w:eastAsia="Malgun Gothic" w:hAnsi="Verdana"/>
          <w:sz w:val="18"/>
          <w:szCs w:val="18"/>
          <w:lang w:val="en-US"/>
        </w:rPr>
        <w:t>849.058</w:t>
      </w:r>
      <w:r w:rsidRPr="00545E88">
        <w:rPr>
          <w:rFonts w:ascii="Verdana" w:eastAsia="Malgun Gothic" w:hAnsi="Verdana"/>
          <w:sz w:val="18"/>
          <w:szCs w:val="18"/>
          <w:lang w:val="en-US"/>
        </w:rPr>
        <w:t xml:space="preserve"> in the corresponding period of 202</w:t>
      </w:r>
      <w:r w:rsidR="004C434A" w:rsidRPr="00545E88">
        <w:rPr>
          <w:rFonts w:ascii="Verdana" w:eastAsia="Malgun Gothic" w:hAnsi="Verdana"/>
          <w:sz w:val="18"/>
          <w:szCs w:val="18"/>
          <w:lang w:val="en-US"/>
        </w:rPr>
        <w:t>2</w:t>
      </w:r>
      <w:r w:rsidRPr="00545E88">
        <w:rPr>
          <w:rFonts w:ascii="Verdana" w:eastAsia="Malgun Gothic" w:hAnsi="Verdana"/>
          <w:sz w:val="18"/>
          <w:szCs w:val="18"/>
          <w:lang w:val="en-US"/>
        </w:rPr>
        <w:t xml:space="preserve">, </w:t>
      </w:r>
      <w:r w:rsidR="00B969D8" w:rsidRPr="00545E88">
        <w:rPr>
          <w:rFonts w:ascii="Verdana" w:eastAsia="Malgun Gothic" w:hAnsi="Verdana"/>
          <w:sz w:val="18"/>
          <w:szCs w:val="18"/>
          <w:lang w:val="en-US"/>
        </w:rPr>
        <w:t xml:space="preserve">recording an increase of </w:t>
      </w:r>
      <w:r w:rsidR="00171FC1" w:rsidRPr="005D3C3E">
        <w:rPr>
          <w:rFonts w:ascii="Verdana" w:eastAsia="Malgun Gothic" w:hAnsi="Verdana"/>
          <w:sz w:val="18"/>
          <w:szCs w:val="18"/>
          <w:lang w:val="en-US"/>
        </w:rPr>
        <w:t>36,2</w:t>
      </w:r>
      <w:r w:rsidR="00B969D8" w:rsidRPr="00545E88">
        <w:rPr>
          <w:rFonts w:ascii="Verdana" w:eastAsia="Malgun Gothic" w:hAnsi="Verdana"/>
          <w:sz w:val="18"/>
          <w:szCs w:val="18"/>
          <w:lang w:val="en-US"/>
        </w:rPr>
        <w:t>%.</w:t>
      </w:r>
    </w:p>
    <w:p w14:paraId="43E17A77" w14:textId="77777777" w:rsidR="00107C54" w:rsidRDefault="00107C54" w:rsidP="0009495F">
      <w:pPr>
        <w:pStyle w:val="BodyText"/>
        <w:rPr>
          <w:rFonts w:ascii="Verdana" w:eastAsia="Malgun Gothic" w:hAnsi="Verdana"/>
          <w:sz w:val="18"/>
          <w:szCs w:val="18"/>
          <w:lang w:val="en-US"/>
        </w:rPr>
      </w:pPr>
    </w:p>
    <w:p w14:paraId="2AC233D7" w14:textId="3C5A8094" w:rsidR="000D77AF" w:rsidRDefault="005D3C3E" w:rsidP="0009495F">
      <w:pPr>
        <w:pStyle w:val="BodyText"/>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21F63F8C" wp14:editId="12540542">
            <wp:extent cx="6078220" cy="3657600"/>
            <wp:effectExtent l="0" t="0" r="0" b="0"/>
            <wp:docPr id="1334510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57600"/>
                    </a:xfrm>
                    <a:prstGeom prst="rect">
                      <a:avLst/>
                    </a:prstGeom>
                    <a:noFill/>
                  </pic:spPr>
                </pic:pic>
              </a:graphicData>
            </a:graphic>
          </wp:inline>
        </w:drawing>
      </w:r>
    </w:p>
    <w:p w14:paraId="444BF39A" w14:textId="77777777" w:rsidR="00533014" w:rsidRPr="00545E88" w:rsidRDefault="00533014" w:rsidP="0009495F">
      <w:pPr>
        <w:tabs>
          <w:tab w:val="left" w:pos="1080"/>
          <w:tab w:val="left" w:pos="6840"/>
        </w:tabs>
        <w:jc w:val="both"/>
        <w:rPr>
          <w:rFonts w:ascii="Verdana" w:eastAsia="Malgun Gothic" w:hAnsi="Verdana" w:cs="Arial"/>
          <w:sz w:val="18"/>
          <w:szCs w:val="18"/>
        </w:rPr>
      </w:pPr>
    </w:p>
    <w:p w14:paraId="330D7A21" w14:textId="481F8F6E" w:rsidR="002A10AB" w:rsidRPr="00545E88" w:rsidRDefault="002A10AB" w:rsidP="0009495F">
      <w:pPr>
        <w:tabs>
          <w:tab w:val="left" w:pos="1080"/>
          <w:tab w:val="left" w:pos="6840"/>
        </w:tabs>
        <w:jc w:val="both"/>
        <w:rPr>
          <w:rFonts w:ascii="Verdana" w:eastAsia="Malgun Gothic" w:hAnsi="Verdana" w:cs="Arial"/>
          <w:sz w:val="18"/>
          <w:szCs w:val="18"/>
        </w:rPr>
      </w:pPr>
      <w:r w:rsidRPr="00545E88">
        <w:rPr>
          <w:rFonts w:ascii="Verdana" w:eastAsia="Malgun Gothic" w:hAnsi="Verdana" w:cs="Arial"/>
          <w:sz w:val="18"/>
          <w:szCs w:val="18"/>
        </w:rPr>
        <w:t xml:space="preserve">Arrivals from the United Kingdom were the main source of tourism for </w:t>
      </w:r>
      <w:r w:rsidR="004B6B95">
        <w:rPr>
          <w:rFonts w:ascii="Verdana" w:eastAsia="Malgun Gothic" w:hAnsi="Verdana" w:cs="Arial"/>
          <w:sz w:val="18"/>
          <w:szCs w:val="18"/>
        </w:rPr>
        <w:t>May</w:t>
      </w:r>
      <w:r w:rsidRPr="00545E88">
        <w:rPr>
          <w:rFonts w:ascii="Verdana" w:eastAsia="Malgun Gothic" w:hAnsi="Verdana" w:cs="Arial"/>
          <w:sz w:val="18"/>
          <w:szCs w:val="18"/>
        </w:rPr>
        <w:t xml:space="preserve"> 202</w:t>
      </w:r>
      <w:r w:rsidR="00277866" w:rsidRPr="00545E88">
        <w:rPr>
          <w:rFonts w:ascii="Verdana" w:eastAsia="Malgun Gothic" w:hAnsi="Verdana" w:cs="Arial"/>
          <w:sz w:val="18"/>
          <w:szCs w:val="18"/>
        </w:rPr>
        <w:t>3</w:t>
      </w:r>
      <w:r w:rsidRPr="00545E88">
        <w:rPr>
          <w:rFonts w:ascii="Verdana" w:eastAsia="Malgun Gothic" w:hAnsi="Verdana" w:cs="Arial"/>
          <w:sz w:val="18"/>
          <w:szCs w:val="18"/>
        </w:rPr>
        <w:t xml:space="preserve">, with a share of </w:t>
      </w:r>
      <w:r w:rsidR="0015633C">
        <w:rPr>
          <w:rFonts w:ascii="Verdana" w:eastAsia="Malgun Gothic" w:hAnsi="Verdana"/>
          <w:sz w:val="18"/>
          <w:szCs w:val="18"/>
        </w:rPr>
        <w:t>36</w:t>
      </w:r>
      <w:r w:rsidR="0015633C" w:rsidRPr="00B65FBF">
        <w:rPr>
          <w:rFonts w:ascii="Verdana" w:eastAsia="Malgun Gothic" w:hAnsi="Verdana"/>
          <w:sz w:val="18"/>
          <w:szCs w:val="18"/>
        </w:rPr>
        <w:t>,</w:t>
      </w:r>
      <w:r w:rsidR="0015633C">
        <w:rPr>
          <w:rFonts w:ascii="Verdana" w:eastAsia="Malgun Gothic" w:hAnsi="Verdana"/>
          <w:sz w:val="18"/>
          <w:szCs w:val="18"/>
        </w:rPr>
        <w:t>6</w:t>
      </w:r>
      <w:r w:rsidR="000D77AF" w:rsidRPr="00B65FBF">
        <w:rPr>
          <w:rFonts w:ascii="Verdana" w:eastAsia="Malgun Gothic" w:hAnsi="Verdana"/>
          <w:sz w:val="18"/>
          <w:szCs w:val="18"/>
        </w:rPr>
        <w:t>% (</w:t>
      </w:r>
      <w:r w:rsidR="0015633C" w:rsidRPr="00CD17BD">
        <w:rPr>
          <w:rFonts w:ascii="Verdana" w:eastAsia="Malgun Gothic" w:hAnsi="Verdana"/>
          <w:sz w:val="18"/>
          <w:szCs w:val="18"/>
        </w:rPr>
        <w:t>153.797</w:t>
      </w:r>
      <w:r w:rsidR="000D77AF" w:rsidRPr="00B65FBF">
        <w:rPr>
          <w:rFonts w:ascii="Verdana" w:eastAsia="Malgun Gothic" w:hAnsi="Verdana"/>
          <w:sz w:val="18"/>
          <w:szCs w:val="18"/>
        </w:rPr>
        <w:t xml:space="preserve">) </w:t>
      </w:r>
      <w:r w:rsidRPr="00545E88">
        <w:rPr>
          <w:rFonts w:ascii="Verdana" w:eastAsia="Malgun Gothic" w:hAnsi="Verdana" w:cs="Arial"/>
          <w:sz w:val="18"/>
          <w:szCs w:val="18"/>
        </w:rPr>
        <w:t xml:space="preserve">of total arrivals, followed by </w:t>
      </w:r>
      <w:r w:rsidR="00692E7F" w:rsidRPr="00545E88">
        <w:rPr>
          <w:rFonts w:ascii="Verdana" w:eastAsia="Malgun Gothic" w:hAnsi="Verdana" w:cs="Arial"/>
          <w:sz w:val="18"/>
          <w:szCs w:val="18"/>
        </w:rPr>
        <w:t xml:space="preserve">Israel </w:t>
      </w:r>
      <w:r w:rsidRPr="00545E88">
        <w:rPr>
          <w:rFonts w:ascii="Verdana" w:eastAsia="Malgun Gothic" w:hAnsi="Verdana" w:cs="Arial"/>
          <w:sz w:val="18"/>
          <w:szCs w:val="18"/>
        </w:rPr>
        <w:t xml:space="preserve">with </w:t>
      </w:r>
      <w:r w:rsidR="0015633C">
        <w:rPr>
          <w:rFonts w:ascii="Verdana" w:eastAsia="Malgun Gothic" w:hAnsi="Verdana"/>
          <w:sz w:val="18"/>
          <w:szCs w:val="18"/>
        </w:rPr>
        <w:t>8</w:t>
      </w:r>
      <w:r w:rsidR="0015633C" w:rsidRPr="00B65FBF">
        <w:rPr>
          <w:rFonts w:ascii="Verdana" w:eastAsia="Malgun Gothic" w:hAnsi="Verdana"/>
          <w:sz w:val="18"/>
          <w:szCs w:val="18"/>
        </w:rPr>
        <w:t>,</w:t>
      </w:r>
      <w:r w:rsidR="0015633C">
        <w:rPr>
          <w:rFonts w:ascii="Verdana" w:eastAsia="Malgun Gothic" w:hAnsi="Verdana"/>
          <w:sz w:val="18"/>
          <w:szCs w:val="18"/>
        </w:rPr>
        <w:t>9</w:t>
      </w:r>
      <w:r w:rsidR="000D77AF" w:rsidRPr="000D77AF">
        <w:rPr>
          <w:rFonts w:ascii="Verdana" w:eastAsia="Malgun Gothic" w:hAnsi="Verdana"/>
          <w:sz w:val="18"/>
          <w:szCs w:val="18"/>
        </w:rPr>
        <w:t>% (</w:t>
      </w:r>
      <w:r w:rsidR="0015633C" w:rsidRPr="00CD17BD">
        <w:rPr>
          <w:rFonts w:ascii="Verdana" w:eastAsia="Malgun Gothic" w:hAnsi="Verdana"/>
          <w:sz w:val="18"/>
          <w:szCs w:val="18"/>
        </w:rPr>
        <w:t>37.442</w:t>
      </w:r>
      <w:r w:rsidR="000D77AF" w:rsidRPr="000D77AF">
        <w:rPr>
          <w:rFonts w:ascii="Verdana" w:eastAsia="Malgun Gothic" w:hAnsi="Verdana"/>
          <w:sz w:val="18"/>
          <w:szCs w:val="18"/>
        </w:rPr>
        <w:t>)</w:t>
      </w:r>
      <w:r w:rsidR="00877B94" w:rsidRPr="00545E88">
        <w:rPr>
          <w:rFonts w:ascii="Verdana" w:eastAsia="Malgun Gothic" w:hAnsi="Verdana" w:cs="Arial"/>
          <w:sz w:val="18"/>
          <w:szCs w:val="18"/>
        </w:rPr>
        <w:t>,</w:t>
      </w:r>
      <w:r w:rsidR="000D77AF">
        <w:rPr>
          <w:rFonts w:ascii="Verdana" w:eastAsia="Malgun Gothic" w:hAnsi="Verdana" w:cs="Arial"/>
          <w:sz w:val="18"/>
          <w:szCs w:val="18"/>
        </w:rPr>
        <w:t xml:space="preserve"> </w:t>
      </w:r>
      <w:r w:rsidR="000D77AF" w:rsidRPr="00545E88">
        <w:rPr>
          <w:rFonts w:ascii="Verdana" w:eastAsia="Malgun Gothic" w:hAnsi="Verdana" w:cs="Arial"/>
          <w:sz w:val="18"/>
          <w:szCs w:val="18"/>
        </w:rPr>
        <w:t>Poland</w:t>
      </w:r>
      <w:r w:rsidR="0015633C" w:rsidRPr="0015633C">
        <w:rPr>
          <w:rFonts w:ascii="Verdana" w:eastAsia="Malgun Gothic" w:hAnsi="Verdana" w:cs="Arial"/>
          <w:sz w:val="18"/>
          <w:szCs w:val="18"/>
        </w:rPr>
        <w:t xml:space="preserve"> </w:t>
      </w:r>
      <w:r w:rsidR="0015633C" w:rsidRPr="00545E88">
        <w:rPr>
          <w:rFonts w:ascii="Verdana" w:eastAsia="Malgun Gothic" w:hAnsi="Verdana" w:cs="Arial"/>
          <w:sz w:val="18"/>
          <w:szCs w:val="18"/>
        </w:rPr>
        <w:t xml:space="preserve">with </w:t>
      </w:r>
      <w:r w:rsidR="00901E50">
        <w:rPr>
          <w:rFonts w:ascii="Verdana" w:eastAsia="Malgun Gothic" w:hAnsi="Verdana"/>
          <w:sz w:val="18"/>
          <w:szCs w:val="18"/>
        </w:rPr>
        <w:t>7</w:t>
      </w:r>
      <w:r w:rsidR="00901E50" w:rsidRPr="00B65FBF">
        <w:rPr>
          <w:rFonts w:ascii="Verdana" w:eastAsia="Malgun Gothic" w:hAnsi="Verdana"/>
          <w:sz w:val="18"/>
          <w:szCs w:val="18"/>
        </w:rPr>
        <w:t>,</w:t>
      </w:r>
      <w:r w:rsidR="00901E50">
        <w:rPr>
          <w:rFonts w:ascii="Verdana" w:eastAsia="Malgun Gothic" w:hAnsi="Verdana"/>
          <w:sz w:val="18"/>
          <w:szCs w:val="18"/>
        </w:rPr>
        <w:t>3</w:t>
      </w:r>
      <w:r w:rsidR="0015633C" w:rsidRPr="00B65FBF">
        <w:rPr>
          <w:rFonts w:ascii="Verdana" w:eastAsia="Malgun Gothic" w:hAnsi="Verdana"/>
          <w:sz w:val="18"/>
          <w:szCs w:val="18"/>
        </w:rPr>
        <w:t>% (</w:t>
      </w:r>
      <w:r w:rsidR="00901E50" w:rsidRPr="00CD17BD">
        <w:rPr>
          <w:rFonts w:ascii="Verdana" w:eastAsia="Malgun Gothic" w:hAnsi="Verdana"/>
          <w:sz w:val="18"/>
          <w:szCs w:val="18"/>
        </w:rPr>
        <w:t>30.835</w:t>
      </w:r>
      <w:r w:rsidR="0015633C">
        <w:rPr>
          <w:rFonts w:ascii="Verdana" w:eastAsia="Malgun Gothic" w:hAnsi="Verdana"/>
          <w:sz w:val="18"/>
          <w:szCs w:val="18"/>
        </w:rPr>
        <w:t xml:space="preserve">), </w:t>
      </w:r>
      <w:r w:rsidR="00610351" w:rsidRPr="00545E88">
        <w:rPr>
          <w:rFonts w:ascii="Verdana" w:eastAsia="Malgun Gothic" w:hAnsi="Verdana" w:cs="Arial"/>
          <w:sz w:val="18"/>
          <w:szCs w:val="18"/>
        </w:rPr>
        <w:t>Germany</w:t>
      </w:r>
      <w:r w:rsidR="00610351">
        <w:rPr>
          <w:rFonts w:ascii="Verdana" w:eastAsia="Malgun Gothic" w:hAnsi="Verdana" w:cs="Arial"/>
          <w:sz w:val="18"/>
          <w:szCs w:val="18"/>
        </w:rPr>
        <w:t xml:space="preserve"> </w:t>
      </w:r>
      <w:r w:rsidR="000D77AF" w:rsidRPr="00545E88">
        <w:rPr>
          <w:rFonts w:ascii="Verdana" w:eastAsia="Malgun Gothic" w:hAnsi="Verdana" w:cs="Arial"/>
          <w:sz w:val="18"/>
          <w:szCs w:val="18"/>
        </w:rPr>
        <w:t xml:space="preserve">with </w:t>
      </w:r>
      <w:r w:rsidR="000D77AF">
        <w:rPr>
          <w:rFonts w:ascii="Verdana" w:eastAsia="Malgun Gothic" w:hAnsi="Verdana"/>
          <w:sz w:val="18"/>
          <w:szCs w:val="18"/>
        </w:rPr>
        <w:t>6</w:t>
      </w:r>
      <w:r w:rsidR="000D77AF" w:rsidRPr="00B65FBF">
        <w:rPr>
          <w:rFonts w:ascii="Verdana" w:eastAsia="Malgun Gothic" w:hAnsi="Verdana"/>
          <w:sz w:val="18"/>
          <w:szCs w:val="18"/>
        </w:rPr>
        <w:t>,</w:t>
      </w:r>
      <w:r w:rsidR="00901E50">
        <w:rPr>
          <w:rFonts w:ascii="Verdana" w:eastAsia="Malgun Gothic" w:hAnsi="Verdana"/>
          <w:sz w:val="18"/>
          <w:szCs w:val="18"/>
        </w:rPr>
        <w:t>2</w:t>
      </w:r>
      <w:r w:rsidR="000D77AF" w:rsidRPr="00B65FBF">
        <w:rPr>
          <w:rFonts w:ascii="Verdana" w:eastAsia="Malgun Gothic" w:hAnsi="Verdana"/>
          <w:sz w:val="18"/>
          <w:szCs w:val="18"/>
        </w:rPr>
        <w:t>% (</w:t>
      </w:r>
      <w:r w:rsidR="00901E50" w:rsidRPr="00CD17BD">
        <w:rPr>
          <w:rFonts w:ascii="Verdana" w:eastAsia="Malgun Gothic" w:hAnsi="Verdana"/>
          <w:sz w:val="18"/>
          <w:szCs w:val="18"/>
        </w:rPr>
        <w:t>25.916</w:t>
      </w:r>
      <w:r w:rsidR="004C63B6">
        <w:rPr>
          <w:rFonts w:ascii="Verdana" w:eastAsia="Malgun Gothic" w:hAnsi="Verdana"/>
          <w:sz w:val="18"/>
          <w:szCs w:val="18"/>
        </w:rPr>
        <w:t>)</w:t>
      </w:r>
      <w:r w:rsidR="000D77AF">
        <w:rPr>
          <w:rFonts w:ascii="Verdana" w:eastAsia="Malgun Gothic" w:hAnsi="Verdana"/>
          <w:sz w:val="18"/>
          <w:szCs w:val="18"/>
        </w:rPr>
        <w:t xml:space="preserve"> </w:t>
      </w:r>
      <w:r w:rsidR="000D77AF" w:rsidRPr="00545E88">
        <w:rPr>
          <w:rFonts w:ascii="Verdana" w:eastAsia="Malgun Gothic" w:hAnsi="Verdana" w:cs="Arial"/>
          <w:sz w:val="18"/>
          <w:szCs w:val="18"/>
        </w:rPr>
        <w:t xml:space="preserve">and </w:t>
      </w:r>
      <w:r w:rsidR="00901E50">
        <w:rPr>
          <w:rFonts w:ascii="Verdana" w:eastAsia="Malgun Gothic" w:hAnsi="Verdana" w:cs="Arial"/>
          <w:sz w:val="18"/>
          <w:szCs w:val="18"/>
        </w:rPr>
        <w:t>Sweden</w:t>
      </w:r>
      <w:r w:rsidR="00F8627C" w:rsidRPr="00F8627C">
        <w:rPr>
          <w:rFonts w:ascii="Verdana" w:eastAsia="Malgun Gothic" w:hAnsi="Verdana" w:cs="Arial"/>
          <w:sz w:val="18"/>
          <w:szCs w:val="18"/>
        </w:rPr>
        <w:t xml:space="preserve"> </w:t>
      </w:r>
      <w:r w:rsidR="00F8627C" w:rsidRPr="00545E88">
        <w:rPr>
          <w:rFonts w:ascii="Verdana" w:eastAsia="Malgun Gothic" w:hAnsi="Verdana" w:cs="Arial"/>
          <w:sz w:val="18"/>
          <w:szCs w:val="18"/>
        </w:rPr>
        <w:t>with</w:t>
      </w:r>
      <w:r w:rsidR="00217784" w:rsidRPr="00545E88">
        <w:rPr>
          <w:rFonts w:ascii="Verdana" w:eastAsia="Malgun Gothic" w:hAnsi="Verdana" w:cs="Arial"/>
          <w:sz w:val="18"/>
          <w:szCs w:val="18"/>
        </w:rPr>
        <w:t xml:space="preserve"> </w:t>
      </w:r>
      <w:r w:rsidR="00901E50">
        <w:rPr>
          <w:rFonts w:ascii="Verdana" w:eastAsia="Malgun Gothic" w:hAnsi="Verdana"/>
          <w:sz w:val="18"/>
          <w:szCs w:val="18"/>
        </w:rPr>
        <w:t>5</w:t>
      </w:r>
      <w:r w:rsidR="00704DFB" w:rsidRPr="00B65FBF">
        <w:rPr>
          <w:rFonts w:ascii="Verdana" w:eastAsia="Malgun Gothic" w:hAnsi="Verdana"/>
          <w:sz w:val="18"/>
          <w:szCs w:val="18"/>
        </w:rPr>
        <w:t>,</w:t>
      </w:r>
      <w:r w:rsidR="00704DFB">
        <w:rPr>
          <w:rFonts w:ascii="Verdana" w:eastAsia="Malgun Gothic" w:hAnsi="Verdana"/>
          <w:sz w:val="18"/>
          <w:szCs w:val="18"/>
        </w:rPr>
        <w:t>2</w:t>
      </w:r>
      <w:r w:rsidR="00704DFB" w:rsidRPr="00B65FBF">
        <w:rPr>
          <w:rFonts w:ascii="Verdana" w:eastAsia="Malgun Gothic" w:hAnsi="Verdana"/>
          <w:sz w:val="18"/>
          <w:szCs w:val="18"/>
        </w:rPr>
        <w:t>% (</w:t>
      </w:r>
      <w:r w:rsidR="00901E50" w:rsidRPr="002D5C7D">
        <w:rPr>
          <w:rFonts w:ascii="Verdana" w:eastAsia="Malgun Gothic" w:hAnsi="Verdana"/>
          <w:sz w:val="18"/>
          <w:szCs w:val="18"/>
        </w:rPr>
        <w:t>21.837</w:t>
      </w:r>
      <w:r w:rsidR="00704DFB" w:rsidRPr="00B65FBF">
        <w:rPr>
          <w:rFonts w:ascii="Verdana" w:eastAsia="Malgun Gothic" w:hAnsi="Verdana"/>
          <w:sz w:val="18"/>
          <w:szCs w:val="18"/>
        </w:rPr>
        <w:t>)</w:t>
      </w:r>
      <w:r w:rsidRPr="00545E88">
        <w:rPr>
          <w:rFonts w:ascii="Verdana" w:eastAsia="Malgun Gothic" w:hAnsi="Verdana" w:cs="Arial"/>
          <w:sz w:val="18"/>
          <w:szCs w:val="18"/>
        </w:rPr>
        <w:t>.</w:t>
      </w:r>
    </w:p>
    <w:p w14:paraId="30BBA03D" w14:textId="77777777" w:rsidR="00545E88" w:rsidRDefault="00545E88" w:rsidP="0009495F">
      <w:pPr>
        <w:tabs>
          <w:tab w:val="left" w:pos="6840"/>
        </w:tabs>
        <w:jc w:val="both"/>
        <w:rPr>
          <w:rFonts w:ascii="Verdana" w:eastAsia="Malgun Gothic" w:hAnsi="Verdana" w:cs="Arial"/>
          <w:sz w:val="18"/>
          <w:szCs w:val="18"/>
        </w:rPr>
      </w:pPr>
    </w:p>
    <w:p w14:paraId="5AFB7C87" w14:textId="77777777" w:rsidR="00545E88" w:rsidRDefault="00545E88" w:rsidP="0009495F">
      <w:pPr>
        <w:tabs>
          <w:tab w:val="left" w:pos="6840"/>
        </w:tabs>
        <w:jc w:val="both"/>
        <w:rPr>
          <w:rFonts w:ascii="Verdana" w:eastAsia="Malgun Gothic" w:hAnsi="Verdana" w:cs="Arial"/>
          <w:sz w:val="18"/>
          <w:szCs w:val="18"/>
        </w:rPr>
      </w:pPr>
    </w:p>
    <w:p w14:paraId="00A387D1" w14:textId="77777777" w:rsidR="00545E88" w:rsidRDefault="00545E88" w:rsidP="0009495F">
      <w:pPr>
        <w:tabs>
          <w:tab w:val="left" w:pos="6840"/>
        </w:tabs>
        <w:jc w:val="both"/>
        <w:rPr>
          <w:rFonts w:ascii="Verdana" w:eastAsia="Malgun Gothic" w:hAnsi="Verdana" w:cs="Arial"/>
          <w:sz w:val="18"/>
          <w:szCs w:val="18"/>
        </w:rPr>
      </w:pPr>
    </w:p>
    <w:p w14:paraId="27132373" w14:textId="7CE53808" w:rsidR="002A10AB" w:rsidRPr="00545E88" w:rsidRDefault="002A10AB" w:rsidP="0009495F">
      <w:pPr>
        <w:tabs>
          <w:tab w:val="left" w:pos="6840"/>
        </w:tabs>
        <w:jc w:val="both"/>
        <w:rPr>
          <w:rFonts w:ascii="Verdana" w:eastAsia="Malgun Gothic" w:hAnsi="Verdana" w:cs="Arial"/>
          <w:sz w:val="18"/>
          <w:szCs w:val="18"/>
        </w:rPr>
      </w:pPr>
      <w:r w:rsidRPr="00545E88">
        <w:rPr>
          <w:rFonts w:ascii="Verdana" w:eastAsia="Malgun Gothic" w:hAnsi="Verdana" w:cs="Arial"/>
          <w:sz w:val="18"/>
          <w:szCs w:val="18"/>
        </w:rPr>
        <w:tab/>
      </w:r>
    </w:p>
    <w:p w14:paraId="2443B5FD" w14:textId="6F1E56F8" w:rsidR="002A10AB" w:rsidRPr="00545E88" w:rsidRDefault="002A10AB" w:rsidP="0009495F">
      <w:pPr>
        <w:jc w:val="both"/>
        <w:rPr>
          <w:rFonts w:ascii="Verdana" w:eastAsia="Malgun Gothic" w:hAnsi="Verdana" w:cs="Arial"/>
          <w:sz w:val="18"/>
          <w:szCs w:val="18"/>
        </w:rPr>
      </w:pPr>
      <w:r w:rsidRPr="00545E88">
        <w:rPr>
          <w:rFonts w:ascii="Verdana" w:eastAsia="Malgun Gothic" w:hAnsi="Verdana" w:cs="Arial"/>
          <w:sz w:val="18"/>
          <w:szCs w:val="18"/>
        </w:rPr>
        <w:lastRenderedPageBreak/>
        <w:t xml:space="preserve">For a percentage of </w:t>
      </w:r>
      <w:r w:rsidR="00104020" w:rsidRPr="00104020">
        <w:rPr>
          <w:rFonts w:ascii="Verdana" w:eastAsia="Malgun Gothic" w:hAnsi="Verdana" w:cs="Arial"/>
          <w:sz w:val="18"/>
          <w:szCs w:val="18"/>
        </w:rPr>
        <w:t>82,1</w:t>
      </w:r>
      <w:r w:rsidRPr="00545E88">
        <w:rPr>
          <w:rFonts w:ascii="Verdana" w:eastAsia="Malgun Gothic" w:hAnsi="Verdana" w:cs="Arial"/>
          <w:sz w:val="18"/>
          <w:szCs w:val="18"/>
        </w:rPr>
        <w:t xml:space="preserve">% of tourists, the purpose of their trip in </w:t>
      </w:r>
      <w:r w:rsidR="004B6B95">
        <w:rPr>
          <w:rFonts w:ascii="Verdana" w:eastAsia="Malgun Gothic" w:hAnsi="Verdana" w:cs="Arial"/>
          <w:sz w:val="18"/>
          <w:szCs w:val="18"/>
          <w:lang w:val="en-GB"/>
        </w:rPr>
        <w:t>May</w:t>
      </w:r>
      <w:r w:rsidRPr="00545E88">
        <w:rPr>
          <w:rFonts w:ascii="Verdana" w:eastAsia="Malgun Gothic" w:hAnsi="Verdana" w:cs="Arial"/>
          <w:sz w:val="18"/>
          <w:szCs w:val="18"/>
          <w:lang w:val="en-GB"/>
        </w:rPr>
        <w:t xml:space="preserve"> </w:t>
      </w:r>
      <w:r w:rsidRPr="00545E88">
        <w:rPr>
          <w:rFonts w:ascii="Verdana" w:eastAsia="Malgun Gothic" w:hAnsi="Verdana" w:cs="Arial"/>
          <w:sz w:val="18"/>
          <w:szCs w:val="18"/>
        </w:rPr>
        <w:t>202</w:t>
      </w:r>
      <w:r w:rsidR="00516C5F" w:rsidRPr="00545E88">
        <w:rPr>
          <w:rFonts w:ascii="Verdana" w:eastAsia="Malgun Gothic" w:hAnsi="Verdana" w:cs="Arial"/>
          <w:sz w:val="18"/>
          <w:szCs w:val="18"/>
        </w:rPr>
        <w:t>3</w:t>
      </w:r>
      <w:r w:rsidRPr="00545E88">
        <w:rPr>
          <w:rFonts w:ascii="Verdana" w:eastAsia="Malgun Gothic" w:hAnsi="Verdana" w:cs="Arial"/>
          <w:sz w:val="18"/>
          <w:szCs w:val="18"/>
        </w:rPr>
        <w:t xml:space="preserve"> was holidays, for </w:t>
      </w:r>
      <w:r w:rsidR="00104020" w:rsidRPr="00104020">
        <w:rPr>
          <w:rFonts w:ascii="Verdana" w:eastAsia="Times New Roman" w:hAnsi="Verdana" w:cs="Arial"/>
          <w:sz w:val="18"/>
          <w:szCs w:val="18"/>
        </w:rPr>
        <w:t>11,3</w:t>
      </w:r>
      <w:r w:rsidRPr="00545E88">
        <w:rPr>
          <w:rFonts w:ascii="Verdana" w:eastAsia="Malgun Gothic" w:hAnsi="Verdana" w:cs="Arial"/>
          <w:sz w:val="18"/>
          <w:szCs w:val="18"/>
        </w:rPr>
        <w:t xml:space="preserve">% visit to friends and relatives and for </w:t>
      </w:r>
      <w:r w:rsidR="00104020" w:rsidRPr="00104020">
        <w:rPr>
          <w:rFonts w:ascii="Verdana" w:eastAsia="Malgun Gothic" w:hAnsi="Verdana" w:cs="Arial"/>
          <w:sz w:val="18"/>
          <w:szCs w:val="18"/>
        </w:rPr>
        <w:t>6,5</w:t>
      </w:r>
      <w:r w:rsidRPr="00545E88">
        <w:rPr>
          <w:rFonts w:ascii="Verdana" w:eastAsia="Malgun Gothic" w:hAnsi="Verdana" w:cs="Arial"/>
          <w:sz w:val="18"/>
          <w:szCs w:val="18"/>
        </w:rPr>
        <w:t xml:space="preserve">% business. Respectively, in </w:t>
      </w:r>
      <w:r w:rsidR="004B6B95">
        <w:rPr>
          <w:rFonts w:ascii="Verdana" w:eastAsia="Malgun Gothic" w:hAnsi="Verdana" w:cs="Arial"/>
          <w:sz w:val="18"/>
          <w:szCs w:val="18"/>
        </w:rPr>
        <w:t>May</w:t>
      </w:r>
      <w:r w:rsidRPr="00545E88">
        <w:rPr>
          <w:rFonts w:ascii="Verdana" w:eastAsia="Malgun Gothic" w:hAnsi="Verdana" w:cs="Arial"/>
          <w:sz w:val="18"/>
          <w:szCs w:val="18"/>
        </w:rPr>
        <w:t xml:space="preserve"> 202</w:t>
      </w:r>
      <w:r w:rsidR="00516C5F" w:rsidRPr="00545E88">
        <w:rPr>
          <w:rFonts w:ascii="Verdana" w:eastAsia="Malgun Gothic" w:hAnsi="Verdana" w:cs="Arial"/>
          <w:sz w:val="18"/>
          <w:szCs w:val="18"/>
        </w:rPr>
        <w:t>2</w:t>
      </w:r>
      <w:r w:rsidRPr="00545E88">
        <w:rPr>
          <w:rFonts w:ascii="Verdana" w:eastAsia="Malgun Gothic" w:hAnsi="Verdana" w:cs="Arial"/>
          <w:sz w:val="18"/>
          <w:szCs w:val="18"/>
        </w:rPr>
        <w:t xml:space="preserve">, </w:t>
      </w:r>
      <w:r w:rsidR="00104020" w:rsidRPr="00104020">
        <w:rPr>
          <w:rFonts w:ascii="Verdana" w:eastAsia="Times New Roman" w:hAnsi="Verdana" w:cs="Arial"/>
          <w:sz w:val="18"/>
          <w:szCs w:val="18"/>
        </w:rPr>
        <w:t>79,5</w:t>
      </w:r>
      <w:r w:rsidRPr="00545E88">
        <w:rPr>
          <w:rFonts w:ascii="Verdana" w:eastAsia="Malgun Gothic" w:hAnsi="Verdana" w:cs="Arial"/>
          <w:sz w:val="18"/>
          <w:szCs w:val="18"/>
        </w:rPr>
        <w:t xml:space="preserve">% of tourists visited Cyprus for holidays, </w:t>
      </w:r>
      <w:r w:rsidR="00104020" w:rsidRPr="00104020">
        <w:rPr>
          <w:rFonts w:ascii="Verdana" w:eastAsia="Malgun Gothic" w:hAnsi="Verdana" w:cs="Arial"/>
          <w:sz w:val="18"/>
          <w:szCs w:val="18"/>
        </w:rPr>
        <w:t>12,5</w:t>
      </w:r>
      <w:r w:rsidRPr="00545E88">
        <w:rPr>
          <w:rFonts w:ascii="Verdana" w:eastAsia="Malgun Gothic" w:hAnsi="Verdana" w:cs="Arial"/>
          <w:sz w:val="18"/>
          <w:szCs w:val="18"/>
        </w:rPr>
        <w:t xml:space="preserve">% visited friends or relatives and </w:t>
      </w:r>
      <w:r w:rsidR="00104020" w:rsidRPr="00104020">
        <w:rPr>
          <w:rFonts w:ascii="Verdana" w:eastAsia="Malgun Gothic" w:hAnsi="Verdana" w:cs="Arial"/>
          <w:sz w:val="18"/>
          <w:szCs w:val="18"/>
        </w:rPr>
        <w:t>7,9</w:t>
      </w:r>
      <w:r w:rsidRPr="00545E88">
        <w:rPr>
          <w:rFonts w:ascii="Verdana" w:eastAsia="Malgun Gothic" w:hAnsi="Verdana" w:cs="Arial"/>
          <w:sz w:val="18"/>
          <w:szCs w:val="18"/>
        </w:rPr>
        <w:t>% visited Cyprus for business reasons</w:t>
      </w:r>
      <w:r w:rsidR="00D01229">
        <w:rPr>
          <w:rFonts w:ascii="Verdana" w:eastAsia="Malgun Gothic" w:hAnsi="Verdana" w:cs="Arial"/>
          <w:sz w:val="18"/>
          <w:szCs w:val="18"/>
        </w:rPr>
        <w:t xml:space="preserve"> (Table 1)</w:t>
      </w:r>
      <w:r w:rsidRPr="00545E88">
        <w:rPr>
          <w:rFonts w:ascii="Verdana" w:eastAsia="Malgun Gothic" w:hAnsi="Verdana" w:cs="Arial"/>
          <w:sz w:val="18"/>
          <w:szCs w:val="18"/>
        </w:rPr>
        <w:t>.</w:t>
      </w:r>
    </w:p>
    <w:p w14:paraId="54A9822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2D8F0D74" w14:textId="77777777" w:rsidR="002A10AB" w:rsidRPr="00545E88" w:rsidRDefault="002A10AB" w:rsidP="0009495F">
      <w:pPr>
        <w:tabs>
          <w:tab w:val="left" w:pos="1080"/>
          <w:tab w:val="left" w:pos="6840"/>
        </w:tabs>
        <w:jc w:val="both"/>
        <w:rPr>
          <w:rFonts w:ascii="Verdana" w:eastAsia="Malgun Gothic" w:hAnsi="Verdana" w:cs="Arial"/>
          <w:sz w:val="18"/>
          <w:szCs w:val="18"/>
          <w:u w:val="single"/>
        </w:rPr>
      </w:pPr>
    </w:p>
    <w:tbl>
      <w:tblPr>
        <w:tblW w:w="5000" w:type="pct"/>
        <w:jc w:val="center"/>
        <w:tblBorders>
          <w:bottom w:val="single" w:sz="4" w:space="0" w:color="2F5496" w:themeColor="accent1" w:themeShade="BF"/>
        </w:tblBorders>
        <w:tblLayout w:type="fixed"/>
        <w:tblLook w:val="04A0" w:firstRow="1" w:lastRow="0" w:firstColumn="1" w:lastColumn="0" w:noHBand="0" w:noVBand="1"/>
      </w:tblPr>
      <w:tblGrid>
        <w:gridCol w:w="108"/>
        <w:gridCol w:w="4201"/>
        <w:gridCol w:w="464"/>
        <w:gridCol w:w="1292"/>
        <w:gridCol w:w="109"/>
        <w:gridCol w:w="1526"/>
        <w:gridCol w:w="109"/>
        <w:gridCol w:w="1670"/>
        <w:gridCol w:w="109"/>
      </w:tblGrid>
      <w:tr w:rsidR="00FB3AF2" w:rsidRPr="00545E88" w14:paraId="5CF90C6A" w14:textId="77777777" w:rsidTr="008F2583">
        <w:trPr>
          <w:gridBefore w:val="1"/>
          <w:wBefore w:w="56" w:type="pct"/>
          <w:trHeight w:val="389"/>
          <w:jc w:val="center"/>
        </w:trPr>
        <w:tc>
          <w:tcPr>
            <w:tcW w:w="4944" w:type="pct"/>
            <w:gridSpan w:val="8"/>
            <w:tcBorders>
              <w:bottom w:val="single" w:sz="4" w:space="0" w:color="2F5496" w:themeColor="accent1" w:themeShade="BF"/>
            </w:tcBorders>
            <w:shd w:val="clear" w:color="FFFFFF" w:fill="FFFFFF"/>
            <w:vAlign w:val="center"/>
            <w:hideMark/>
          </w:tcPr>
          <w:p w14:paraId="44D93CAA" w14:textId="2B03E6D8" w:rsidR="00FB3AF2" w:rsidRPr="00545E88" w:rsidRDefault="00FB3AF2" w:rsidP="0009495F">
            <w:pPr>
              <w:rPr>
                <w:rFonts w:ascii="Verdana" w:eastAsia="Times New Roman" w:hAnsi="Verdana" w:cs="Arial"/>
                <w:b/>
                <w:bCs/>
                <w:color w:val="365F91"/>
                <w:sz w:val="18"/>
                <w:szCs w:val="18"/>
                <w:lang w:val="el-GR"/>
              </w:rPr>
            </w:pPr>
            <w:r w:rsidRPr="00545E88">
              <w:rPr>
                <w:rFonts w:ascii="Verdana" w:eastAsia="Times New Roman" w:hAnsi="Verdana" w:cs="Arial"/>
                <w:b/>
                <w:bCs/>
                <w:color w:val="365F91"/>
                <w:sz w:val="18"/>
                <w:szCs w:val="18"/>
              </w:rPr>
              <w:t>Table</w:t>
            </w:r>
            <w:r w:rsidRPr="00545E88">
              <w:rPr>
                <w:rFonts w:ascii="Verdana" w:eastAsia="Times New Roman" w:hAnsi="Verdana" w:cs="Arial"/>
                <w:b/>
                <w:bCs/>
                <w:color w:val="365F91"/>
                <w:sz w:val="18"/>
                <w:szCs w:val="18"/>
                <w:lang w:val="el-GR"/>
              </w:rPr>
              <w:t xml:space="preserve"> 1</w:t>
            </w:r>
          </w:p>
        </w:tc>
      </w:tr>
      <w:tr w:rsidR="00FB3AF2" w:rsidRPr="00545E88" w14:paraId="32852DAE" w14:textId="77777777" w:rsidTr="008F2583">
        <w:trPr>
          <w:gridBefore w:val="1"/>
          <w:wBefore w:w="56" w:type="pct"/>
          <w:trHeight w:val="278"/>
          <w:jc w:val="center"/>
        </w:trPr>
        <w:tc>
          <w:tcPr>
            <w:tcW w:w="2432" w:type="pct"/>
            <w:gridSpan w:val="2"/>
            <w:vMerge w:val="restart"/>
            <w:tcBorders>
              <w:top w:val="single" w:sz="4" w:space="0" w:color="2F5496" w:themeColor="accent1" w:themeShade="BF"/>
            </w:tcBorders>
            <w:vAlign w:val="center"/>
            <w:hideMark/>
          </w:tcPr>
          <w:p w14:paraId="595E235C" w14:textId="51894842" w:rsidR="00FB3AF2" w:rsidRPr="00545E88" w:rsidRDefault="00AB108F" w:rsidP="0009495F">
            <w:pPr>
              <w:rPr>
                <w:rFonts w:ascii="Verdana" w:eastAsia="Times New Roman" w:hAnsi="Verdana" w:cs="Arial"/>
                <w:b/>
                <w:bCs/>
                <w:color w:val="365F91"/>
                <w:sz w:val="18"/>
                <w:szCs w:val="18"/>
                <w:lang w:val="el-GR"/>
              </w:rPr>
            </w:pPr>
            <w:r w:rsidRPr="00545E88">
              <w:rPr>
                <w:rFonts w:ascii="Verdana" w:eastAsia="Times New Roman" w:hAnsi="Verdana" w:cs="Arial"/>
                <w:b/>
                <w:bCs/>
                <w:color w:val="365F91"/>
                <w:sz w:val="18"/>
                <w:szCs w:val="18"/>
              </w:rPr>
              <w:t>Purpose of visit</w:t>
            </w:r>
          </w:p>
        </w:tc>
        <w:tc>
          <w:tcPr>
            <w:tcW w:w="2512" w:type="pct"/>
            <w:gridSpan w:val="6"/>
            <w:tcBorders>
              <w:top w:val="single" w:sz="4" w:space="0" w:color="2F5496" w:themeColor="accent1" w:themeShade="BF"/>
              <w:bottom w:val="single" w:sz="4" w:space="0" w:color="2F5496" w:themeColor="accent1" w:themeShade="BF"/>
            </w:tcBorders>
            <w:vAlign w:val="center"/>
            <w:hideMark/>
          </w:tcPr>
          <w:p w14:paraId="0B7F6CFF" w14:textId="443D566A" w:rsidR="00FB3AF2" w:rsidRPr="00545E88" w:rsidRDefault="00AB108F" w:rsidP="0009495F">
            <w:pPr>
              <w:jc w:val="center"/>
              <w:rPr>
                <w:rFonts w:ascii="Verdana" w:eastAsia="Times New Roman" w:hAnsi="Verdana" w:cs="Arial"/>
                <w:b/>
                <w:bCs/>
                <w:color w:val="365F91"/>
                <w:sz w:val="18"/>
                <w:szCs w:val="18"/>
                <w:lang w:val="el-GR"/>
              </w:rPr>
            </w:pPr>
            <w:r w:rsidRPr="00545E88">
              <w:rPr>
                <w:rFonts w:ascii="Verdana" w:eastAsia="Times New Roman" w:hAnsi="Verdana" w:cs="Arial"/>
                <w:b/>
                <w:bCs/>
                <w:color w:val="366092"/>
                <w:sz w:val="18"/>
                <w:szCs w:val="18"/>
              </w:rPr>
              <w:t>Percentage (%)</w:t>
            </w:r>
            <w:r w:rsidRPr="00545E88">
              <w:rPr>
                <w:rFonts w:ascii="Verdana" w:eastAsia="Times New Roman" w:hAnsi="Verdana" w:cs="Arial"/>
                <w:b/>
                <w:bCs/>
                <w:color w:val="366092"/>
                <w:sz w:val="18"/>
                <w:szCs w:val="18"/>
                <w:lang w:val="el-GR"/>
              </w:rPr>
              <w:t xml:space="preserve"> </w:t>
            </w:r>
          </w:p>
        </w:tc>
      </w:tr>
      <w:tr w:rsidR="00FB3AF2" w:rsidRPr="00545E88" w14:paraId="3FABEF67" w14:textId="77777777" w:rsidTr="008F2583">
        <w:trPr>
          <w:gridBefore w:val="1"/>
          <w:wBefore w:w="56" w:type="pct"/>
          <w:trHeight w:val="615"/>
          <w:jc w:val="center"/>
        </w:trPr>
        <w:tc>
          <w:tcPr>
            <w:tcW w:w="2432" w:type="pct"/>
            <w:gridSpan w:val="2"/>
            <w:vMerge/>
            <w:tcBorders>
              <w:bottom w:val="single" w:sz="4" w:space="0" w:color="2F5496" w:themeColor="accent1" w:themeShade="BF"/>
            </w:tcBorders>
            <w:vAlign w:val="center"/>
            <w:hideMark/>
          </w:tcPr>
          <w:p w14:paraId="3A364B25" w14:textId="77777777" w:rsidR="00FB3AF2" w:rsidRPr="00545E88" w:rsidRDefault="00FB3AF2" w:rsidP="0009495F">
            <w:pPr>
              <w:rPr>
                <w:rFonts w:ascii="Verdana" w:eastAsia="Times New Roman" w:hAnsi="Verdana" w:cs="Arial"/>
                <w:b/>
                <w:bCs/>
                <w:color w:val="365F91"/>
                <w:sz w:val="18"/>
                <w:szCs w:val="18"/>
                <w:lang w:val="el-GR"/>
              </w:rPr>
            </w:pPr>
          </w:p>
        </w:tc>
        <w:tc>
          <w:tcPr>
            <w:tcW w:w="731" w:type="pct"/>
            <w:gridSpan w:val="2"/>
            <w:tcBorders>
              <w:bottom w:val="single" w:sz="4" w:space="0" w:color="2F5496" w:themeColor="accent1" w:themeShade="BF"/>
            </w:tcBorders>
            <w:vAlign w:val="center"/>
            <w:hideMark/>
          </w:tcPr>
          <w:p w14:paraId="4FEDA99A" w14:textId="2EEF7B9F" w:rsidR="00FB3AF2" w:rsidRPr="00545E88" w:rsidRDefault="00104020" w:rsidP="0009495F">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May</w:t>
            </w:r>
            <w:r w:rsidR="00BC5E3F" w:rsidRPr="00545E88">
              <w:rPr>
                <w:rFonts w:ascii="Verdana" w:eastAsia="Times New Roman" w:hAnsi="Verdana" w:cs="Arial"/>
                <w:b/>
                <w:bCs/>
                <w:color w:val="365F91"/>
                <w:sz w:val="18"/>
                <w:szCs w:val="18"/>
              </w:rPr>
              <w:t xml:space="preserve"> </w:t>
            </w:r>
            <w:r w:rsidR="00FB3AF2" w:rsidRPr="00545E88">
              <w:rPr>
                <w:rFonts w:ascii="Verdana" w:eastAsia="Times New Roman" w:hAnsi="Verdana" w:cs="Arial"/>
                <w:b/>
                <w:bCs/>
                <w:color w:val="365F91"/>
                <w:sz w:val="18"/>
                <w:szCs w:val="18"/>
                <w:lang w:val="el-GR"/>
              </w:rPr>
              <w:t>2</w:t>
            </w:r>
            <w:r w:rsidR="00803FE9" w:rsidRPr="00545E88">
              <w:rPr>
                <w:rFonts w:ascii="Verdana" w:eastAsia="Times New Roman" w:hAnsi="Verdana" w:cs="Arial"/>
                <w:b/>
                <w:bCs/>
                <w:color w:val="365F91"/>
                <w:sz w:val="18"/>
                <w:szCs w:val="18"/>
              </w:rPr>
              <w:t>1</w:t>
            </w:r>
          </w:p>
        </w:tc>
        <w:tc>
          <w:tcPr>
            <w:tcW w:w="853" w:type="pct"/>
            <w:gridSpan w:val="2"/>
            <w:tcBorders>
              <w:top w:val="single" w:sz="4" w:space="0" w:color="2F5496" w:themeColor="accent1" w:themeShade="BF"/>
              <w:bottom w:val="single" w:sz="4" w:space="0" w:color="2F5496" w:themeColor="accent1" w:themeShade="BF"/>
            </w:tcBorders>
            <w:shd w:val="clear" w:color="FFFFFF" w:fill="FFFFFF"/>
            <w:vAlign w:val="center"/>
            <w:hideMark/>
          </w:tcPr>
          <w:p w14:paraId="6B9046A5" w14:textId="64568BF4" w:rsidR="00FB3AF2" w:rsidRPr="00545E88" w:rsidRDefault="00104020" w:rsidP="0009495F">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May</w:t>
            </w:r>
            <w:r w:rsidRPr="00545E88">
              <w:rPr>
                <w:rFonts w:ascii="Verdana" w:eastAsia="Times New Roman" w:hAnsi="Verdana" w:cs="Arial"/>
                <w:b/>
                <w:bCs/>
                <w:color w:val="365F91"/>
                <w:sz w:val="18"/>
                <w:szCs w:val="18"/>
              </w:rPr>
              <w:t xml:space="preserve"> </w:t>
            </w:r>
            <w:r w:rsidR="00FB3AF2" w:rsidRPr="00545E88">
              <w:rPr>
                <w:rFonts w:ascii="Verdana" w:eastAsia="Times New Roman" w:hAnsi="Verdana" w:cs="Arial"/>
                <w:b/>
                <w:bCs/>
                <w:color w:val="365F91"/>
                <w:sz w:val="18"/>
                <w:szCs w:val="18"/>
                <w:lang w:val="el-GR"/>
              </w:rPr>
              <w:t>2</w:t>
            </w:r>
            <w:r w:rsidR="00803FE9" w:rsidRPr="00545E88">
              <w:rPr>
                <w:rFonts w:ascii="Verdana" w:eastAsia="Times New Roman" w:hAnsi="Verdana" w:cs="Arial"/>
                <w:b/>
                <w:bCs/>
                <w:color w:val="365F91"/>
                <w:sz w:val="18"/>
                <w:szCs w:val="18"/>
              </w:rPr>
              <w:t>2</w:t>
            </w:r>
          </w:p>
        </w:tc>
        <w:tc>
          <w:tcPr>
            <w:tcW w:w="928" w:type="pct"/>
            <w:gridSpan w:val="2"/>
            <w:tcBorders>
              <w:top w:val="single" w:sz="4" w:space="0" w:color="2F5496" w:themeColor="accent1" w:themeShade="BF"/>
              <w:bottom w:val="single" w:sz="4" w:space="0" w:color="2F5496" w:themeColor="accent1" w:themeShade="BF"/>
            </w:tcBorders>
            <w:shd w:val="clear" w:color="FFFFFF" w:fill="FFFFFF"/>
            <w:vAlign w:val="center"/>
          </w:tcPr>
          <w:p w14:paraId="18F30FA5" w14:textId="19FD92CD" w:rsidR="00FB3AF2" w:rsidRPr="00545E88" w:rsidRDefault="00104020" w:rsidP="0009495F">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00FB3AF2" w:rsidRPr="00545E88">
              <w:rPr>
                <w:rFonts w:ascii="Verdana" w:eastAsia="Times New Roman" w:hAnsi="Verdana" w:cs="Arial"/>
                <w:b/>
                <w:bCs/>
                <w:color w:val="365F91"/>
                <w:sz w:val="18"/>
                <w:szCs w:val="18"/>
                <w:lang w:val="el-GR"/>
              </w:rPr>
              <w:t>2</w:t>
            </w:r>
            <w:r w:rsidR="00803FE9" w:rsidRPr="00545E88">
              <w:rPr>
                <w:rFonts w:ascii="Verdana" w:eastAsia="Times New Roman" w:hAnsi="Verdana" w:cs="Arial"/>
                <w:b/>
                <w:bCs/>
                <w:color w:val="365F91"/>
                <w:sz w:val="18"/>
                <w:szCs w:val="18"/>
              </w:rPr>
              <w:t>3</w:t>
            </w:r>
          </w:p>
        </w:tc>
      </w:tr>
      <w:tr w:rsidR="00104020" w:rsidRPr="00545E88" w14:paraId="4BE7916D" w14:textId="77777777" w:rsidTr="008F2583">
        <w:trPr>
          <w:gridAfter w:val="1"/>
          <w:wAfter w:w="57" w:type="pct"/>
          <w:trHeight w:val="375"/>
          <w:jc w:val="center"/>
        </w:trPr>
        <w:tc>
          <w:tcPr>
            <w:tcW w:w="2246" w:type="pct"/>
            <w:gridSpan w:val="2"/>
            <w:tcBorders>
              <w:top w:val="single" w:sz="4" w:space="0" w:color="2F5496" w:themeColor="accent1" w:themeShade="BF"/>
            </w:tcBorders>
            <w:shd w:val="clear" w:color="FFFFFF" w:fill="FFFFFF"/>
            <w:vAlign w:val="center"/>
            <w:hideMark/>
          </w:tcPr>
          <w:p w14:paraId="420C20AE" w14:textId="7265559A" w:rsidR="00104020" w:rsidRPr="00545E88" w:rsidRDefault="00104020" w:rsidP="00104020">
            <w:pPr>
              <w:ind w:left="162"/>
              <w:rPr>
                <w:rFonts w:ascii="Verdana" w:eastAsia="Times New Roman" w:hAnsi="Verdana" w:cs="Arial"/>
                <w:color w:val="365F91"/>
                <w:sz w:val="18"/>
                <w:szCs w:val="18"/>
                <w:lang w:val="el-GR"/>
              </w:rPr>
            </w:pPr>
            <w:r w:rsidRPr="00545E88">
              <w:rPr>
                <w:rFonts w:ascii="Verdana" w:eastAsia="Times New Roman" w:hAnsi="Verdana" w:cs="Arial"/>
                <w:color w:val="365F91"/>
                <w:sz w:val="18"/>
                <w:szCs w:val="18"/>
              </w:rPr>
              <w:t>Holidays</w:t>
            </w:r>
          </w:p>
        </w:tc>
        <w:tc>
          <w:tcPr>
            <w:tcW w:w="916" w:type="pct"/>
            <w:gridSpan w:val="2"/>
            <w:tcBorders>
              <w:top w:val="single" w:sz="4" w:space="0" w:color="2F5496" w:themeColor="accent1" w:themeShade="BF"/>
            </w:tcBorders>
            <w:shd w:val="clear" w:color="FFFFFF" w:fill="FFFFFF"/>
            <w:vAlign w:val="center"/>
          </w:tcPr>
          <w:p w14:paraId="664E7A04" w14:textId="4D1CB0DE" w:rsidR="00104020" w:rsidRPr="00545E88" w:rsidRDefault="00104020" w:rsidP="00104020">
            <w:pPr>
              <w:ind w:firstLineChars="100" w:firstLine="180"/>
              <w:jc w:val="right"/>
              <w:rPr>
                <w:rFonts w:ascii="Verdana" w:eastAsia="Times New Roman" w:hAnsi="Verdana" w:cs="Arial"/>
                <w:color w:val="365F91"/>
                <w:sz w:val="18"/>
                <w:szCs w:val="18"/>
                <w:highlight w:val="yellow"/>
                <w:lang w:val="el-GR"/>
              </w:rPr>
            </w:pPr>
            <w:r>
              <w:rPr>
                <w:rFonts w:ascii="Verdana" w:eastAsia="Times New Roman" w:hAnsi="Verdana" w:cs="Arial"/>
                <w:color w:val="365F91"/>
                <w:sz w:val="18"/>
                <w:szCs w:val="18"/>
                <w:lang w:val="el-GR"/>
              </w:rPr>
              <w:t>80</w:t>
            </w:r>
            <w:r w:rsidRPr="00E4465E">
              <w:rPr>
                <w:rFonts w:ascii="Verdana" w:eastAsia="Times New Roman" w:hAnsi="Verdana" w:cs="Arial"/>
                <w:color w:val="365F91"/>
                <w:sz w:val="18"/>
                <w:szCs w:val="18"/>
                <w:lang w:val="el-GR"/>
              </w:rPr>
              <w:t>,7</w:t>
            </w:r>
          </w:p>
        </w:tc>
        <w:tc>
          <w:tcPr>
            <w:tcW w:w="853" w:type="pct"/>
            <w:gridSpan w:val="2"/>
            <w:tcBorders>
              <w:top w:val="single" w:sz="4" w:space="0" w:color="2F5496" w:themeColor="accent1" w:themeShade="BF"/>
            </w:tcBorders>
            <w:shd w:val="clear" w:color="FFFFFF" w:fill="FFFFFF"/>
            <w:noWrap/>
            <w:vAlign w:val="center"/>
          </w:tcPr>
          <w:p w14:paraId="6BABDE3E" w14:textId="5AE4D8F0" w:rsidR="00104020" w:rsidRPr="00545E88" w:rsidRDefault="00104020" w:rsidP="00104020">
            <w:pPr>
              <w:ind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rPr>
              <w:t>79,5</w:t>
            </w:r>
          </w:p>
        </w:tc>
        <w:tc>
          <w:tcPr>
            <w:tcW w:w="928" w:type="pct"/>
            <w:gridSpan w:val="2"/>
            <w:tcBorders>
              <w:top w:val="single" w:sz="4" w:space="0" w:color="2F5496" w:themeColor="accent1" w:themeShade="BF"/>
            </w:tcBorders>
            <w:shd w:val="clear" w:color="000000" w:fill="FFFFFF"/>
            <w:vAlign w:val="center"/>
          </w:tcPr>
          <w:p w14:paraId="3B79D4DA" w14:textId="34C739C6" w:rsidR="00104020" w:rsidRPr="00545E88" w:rsidRDefault="00104020" w:rsidP="00104020">
            <w:pPr>
              <w:ind w:firstLineChars="100" w:firstLine="180"/>
              <w:jc w:val="right"/>
              <w:rPr>
                <w:rFonts w:ascii="Verdana" w:hAnsi="Verdana" w:cs="Calibri"/>
                <w:color w:val="365F91"/>
                <w:sz w:val="18"/>
                <w:szCs w:val="18"/>
                <w:lang w:val="el-GR"/>
              </w:rPr>
            </w:pPr>
            <w:r>
              <w:rPr>
                <w:rFonts w:ascii="Verdana" w:hAnsi="Verdana" w:cs="Calibri"/>
                <w:color w:val="365F91"/>
                <w:sz w:val="18"/>
                <w:szCs w:val="18"/>
              </w:rPr>
              <w:t>82,1</w:t>
            </w:r>
          </w:p>
        </w:tc>
      </w:tr>
      <w:tr w:rsidR="00104020" w:rsidRPr="00545E88" w14:paraId="4533B3DC" w14:textId="77777777" w:rsidTr="008F2583">
        <w:trPr>
          <w:gridAfter w:val="1"/>
          <w:wAfter w:w="57" w:type="pct"/>
          <w:trHeight w:val="375"/>
          <w:jc w:val="center"/>
        </w:trPr>
        <w:tc>
          <w:tcPr>
            <w:tcW w:w="2246" w:type="pct"/>
            <w:gridSpan w:val="2"/>
            <w:shd w:val="clear" w:color="FFFFFF" w:fill="FFFFFF"/>
            <w:noWrap/>
            <w:vAlign w:val="center"/>
            <w:hideMark/>
          </w:tcPr>
          <w:p w14:paraId="0DC2E176" w14:textId="2261A5BC" w:rsidR="00104020" w:rsidRPr="00545E88" w:rsidRDefault="00104020" w:rsidP="00104020">
            <w:pPr>
              <w:ind w:left="162"/>
              <w:rPr>
                <w:rFonts w:ascii="Verdana" w:eastAsia="Times New Roman" w:hAnsi="Verdana" w:cs="Arial"/>
                <w:color w:val="365F91"/>
                <w:sz w:val="18"/>
                <w:szCs w:val="18"/>
                <w:lang w:val="el-GR"/>
              </w:rPr>
            </w:pPr>
            <w:r w:rsidRPr="00545E88">
              <w:rPr>
                <w:rFonts w:ascii="Verdana" w:eastAsia="Times New Roman" w:hAnsi="Verdana" w:cs="Arial"/>
                <w:color w:val="365F91"/>
                <w:sz w:val="18"/>
                <w:szCs w:val="18"/>
              </w:rPr>
              <w:t>Visiting friends &amp; relatives</w:t>
            </w:r>
          </w:p>
        </w:tc>
        <w:tc>
          <w:tcPr>
            <w:tcW w:w="916" w:type="pct"/>
            <w:gridSpan w:val="2"/>
            <w:shd w:val="clear" w:color="FFFFFF" w:fill="FFFFFF"/>
            <w:noWrap/>
            <w:vAlign w:val="center"/>
          </w:tcPr>
          <w:p w14:paraId="08501DB3" w14:textId="56B2FF8A" w:rsidR="00104020" w:rsidRPr="00545E88" w:rsidRDefault="00104020" w:rsidP="00104020">
            <w:pPr>
              <w:ind w:firstLineChars="100" w:firstLine="180"/>
              <w:jc w:val="right"/>
              <w:rPr>
                <w:rFonts w:ascii="Verdana" w:eastAsia="Times New Roman" w:hAnsi="Verdana" w:cs="Arial"/>
                <w:color w:val="365F91"/>
                <w:sz w:val="18"/>
                <w:szCs w:val="18"/>
                <w:highlight w:val="yellow"/>
                <w:lang w:val="el-GR"/>
              </w:rPr>
            </w:pPr>
            <w:r>
              <w:rPr>
                <w:rFonts w:ascii="Verdana" w:eastAsia="Times New Roman" w:hAnsi="Verdana" w:cs="Arial"/>
                <w:color w:val="365F91"/>
                <w:sz w:val="18"/>
                <w:szCs w:val="18"/>
                <w:lang w:val="el-GR"/>
              </w:rPr>
              <w:t>9</w:t>
            </w:r>
            <w:r w:rsidRPr="00E4465E">
              <w:rPr>
                <w:rFonts w:ascii="Verdana" w:eastAsia="Times New Roman" w:hAnsi="Verdana" w:cs="Arial"/>
                <w:color w:val="365F91"/>
                <w:sz w:val="18"/>
                <w:szCs w:val="18"/>
              </w:rPr>
              <w:t>,</w:t>
            </w:r>
            <w:r>
              <w:rPr>
                <w:rFonts w:ascii="Verdana" w:eastAsia="Times New Roman" w:hAnsi="Verdana" w:cs="Arial"/>
                <w:color w:val="365F91"/>
                <w:sz w:val="18"/>
                <w:szCs w:val="18"/>
                <w:lang w:val="el-GR"/>
              </w:rPr>
              <w:t>8</w:t>
            </w:r>
          </w:p>
        </w:tc>
        <w:tc>
          <w:tcPr>
            <w:tcW w:w="853" w:type="pct"/>
            <w:gridSpan w:val="2"/>
            <w:shd w:val="clear" w:color="FFFFFF" w:fill="FFFFFF"/>
            <w:noWrap/>
            <w:vAlign w:val="center"/>
          </w:tcPr>
          <w:p w14:paraId="0490077D" w14:textId="69D2C8A7" w:rsidR="00104020" w:rsidRPr="00545E88" w:rsidRDefault="00104020" w:rsidP="00104020">
            <w:pPr>
              <w:ind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rPr>
              <w:t>12,5</w:t>
            </w:r>
          </w:p>
        </w:tc>
        <w:tc>
          <w:tcPr>
            <w:tcW w:w="928" w:type="pct"/>
            <w:gridSpan w:val="2"/>
            <w:shd w:val="clear" w:color="000000" w:fill="FFFFFF"/>
            <w:vAlign w:val="center"/>
          </w:tcPr>
          <w:p w14:paraId="247C0760" w14:textId="0796A35F" w:rsidR="00104020" w:rsidRPr="00545E88" w:rsidRDefault="00104020" w:rsidP="00104020">
            <w:pPr>
              <w:ind w:firstLineChars="100" w:firstLine="180"/>
              <w:jc w:val="right"/>
              <w:rPr>
                <w:rFonts w:ascii="Verdana" w:hAnsi="Verdana" w:cs="Calibri"/>
                <w:color w:val="365F91"/>
                <w:sz w:val="18"/>
                <w:szCs w:val="18"/>
                <w:lang w:val="el-GR"/>
              </w:rPr>
            </w:pPr>
            <w:r>
              <w:rPr>
                <w:rFonts w:ascii="Verdana" w:hAnsi="Verdana" w:cs="Calibri"/>
                <w:color w:val="365F91"/>
                <w:sz w:val="18"/>
                <w:szCs w:val="18"/>
              </w:rPr>
              <w:t>11,3</w:t>
            </w:r>
          </w:p>
        </w:tc>
      </w:tr>
      <w:tr w:rsidR="00104020" w:rsidRPr="00545E88" w14:paraId="387CFB37" w14:textId="77777777" w:rsidTr="008F2583">
        <w:trPr>
          <w:gridAfter w:val="1"/>
          <w:wAfter w:w="57" w:type="pct"/>
          <w:trHeight w:val="375"/>
          <w:jc w:val="center"/>
        </w:trPr>
        <w:tc>
          <w:tcPr>
            <w:tcW w:w="2246" w:type="pct"/>
            <w:gridSpan w:val="2"/>
            <w:shd w:val="clear" w:color="FFFFFF" w:fill="FFFFFF"/>
            <w:vAlign w:val="center"/>
            <w:hideMark/>
          </w:tcPr>
          <w:p w14:paraId="6B87CB6C" w14:textId="1195DE57" w:rsidR="00104020" w:rsidRPr="00545E88" w:rsidRDefault="00104020" w:rsidP="00104020">
            <w:pPr>
              <w:ind w:left="162"/>
              <w:rPr>
                <w:rFonts w:ascii="Verdana" w:eastAsia="Times New Roman" w:hAnsi="Verdana" w:cs="Arial"/>
                <w:color w:val="365F91"/>
                <w:sz w:val="18"/>
                <w:szCs w:val="18"/>
                <w:lang w:val="el-GR"/>
              </w:rPr>
            </w:pPr>
            <w:r w:rsidRPr="00545E88">
              <w:rPr>
                <w:rFonts w:ascii="Verdana" w:eastAsia="Times New Roman" w:hAnsi="Verdana" w:cs="Arial"/>
                <w:color w:val="365F91"/>
                <w:sz w:val="18"/>
                <w:szCs w:val="18"/>
              </w:rPr>
              <w:t>Business</w:t>
            </w:r>
          </w:p>
        </w:tc>
        <w:tc>
          <w:tcPr>
            <w:tcW w:w="916" w:type="pct"/>
            <w:gridSpan w:val="2"/>
            <w:shd w:val="clear" w:color="FFFFFF" w:fill="FFFFFF"/>
            <w:vAlign w:val="center"/>
          </w:tcPr>
          <w:p w14:paraId="5393D988" w14:textId="3B2F73CD" w:rsidR="00104020" w:rsidRPr="00545E88" w:rsidRDefault="00104020" w:rsidP="00104020">
            <w:pPr>
              <w:ind w:firstLineChars="100" w:firstLine="180"/>
              <w:jc w:val="right"/>
              <w:rPr>
                <w:rFonts w:ascii="Verdana" w:eastAsia="Times New Roman" w:hAnsi="Verdana" w:cs="Arial"/>
                <w:color w:val="365F91"/>
                <w:sz w:val="18"/>
                <w:szCs w:val="18"/>
                <w:highlight w:val="yellow"/>
                <w:lang w:val="el-GR"/>
              </w:rPr>
            </w:pPr>
            <w:r>
              <w:rPr>
                <w:rFonts w:ascii="Verdana" w:eastAsia="Times New Roman" w:hAnsi="Verdana" w:cs="Arial"/>
                <w:color w:val="365F91"/>
                <w:sz w:val="18"/>
                <w:szCs w:val="18"/>
                <w:lang w:val="el-GR"/>
              </w:rPr>
              <w:t>9</w:t>
            </w:r>
            <w:r w:rsidRPr="00E4465E">
              <w:rPr>
                <w:rFonts w:ascii="Verdana" w:eastAsia="Times New Roman" w:hAnsi="Verdana" w:cs="Arial"/>
                <w:color w:val="365F91"/>
                <w:sz w:val="18"/>
                <w:szCs w:val="18"/>
              </w:rPr>
              <w:t>,</w:t>
            </w:r>
            <w:r>
              <w:rPr>
                <w:rFonts w:ascii="Verdana" w:eastAsia="Times New Roman" w:hAnsi="Verdana" w:cs="Arial"/>
                <w:color w:val="365F91"/>
                <w:sz w:val="18"/>
                <w:szCs w:val="18"/>
                <w:lang w:val="el-GR"/>
              </w:rPr>
              <w:t>4</w:t>
            </w:r>
          </w:p>
        </w:tc>
        <w:tc>
          <w:tcPr>
            <w:tcW w:w="853" w:type="pct"/>
            <w:gridSpan w:val="2"/>
            <w:shd w:val="clear" w:color="FFFFFF" w:fill="FFFFFF"/>
            <w:noWrap/>
            <w:vAlign w:val="center"/>
          </w:tcPr>
          <w:p w14:paraId="6A0D1470" w14:textId="3BBBE686" w:rsidR="00104020" w:rsidRPr="00545E88" w:rsidRDefault="00104020" w:rsidP="00104020">
            <w:pPr>
              <w:ind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rPr>
              <w:t>7,9</w:t>
            </w:r>
          </w:p>
        </w:tc>
        <w:tc>
          <w:tcPr>
            <w:tcW w:w="928" w:type="pct"/>
            <w:gridSpan w:val="2"/>
            <w:shd w:val="clear" w:color="000000" w:fill="FFFFFF"/>
            <w:vAlign w:val="center"/>
          </w:tcPr>
          <w:p w14:paraId="12D60B52" w14:textId="1217339F" w:rsidR="00104020" w:rsidRPr="00545E88" w:rsidRDefault="00104020" w:rsidP="00104020">
            <w:pPr>
              <w:ind w:firstLineChars="100" w:firstLine="180"/>
              <w:jc w:val="right"/>
              <w:rPr>
                <w:rFonts w:ascii="Verdana" w:hAnsi="Verdana" w:cs="Calibri"/>
                <w:color w:val="365F91"/>
                <w:sz w:val="18"/>
                <w:szCs w:val="18"/>
                <w:lang w:val="el-GR"/>
              </w:rPr>
            </w:pPr>
            <w:r>
              <w:rPr>
                <w:rFonts w:ascii="Verdana" w:hAnsi="Verdana" w:cs="Calibri"/>
                <w:color w:val="365F91"/>
                <w:sz w:val="18"/>
                <w:szCs w:val="18"/>
              </w:rPr>
              <w:t>6,5</w:t>
            </w:r>
          </w:p>
        </w:tc>
      </w:tr>
    </w:tbl>
    <w:p w14:paraId="6DC942CD" w14:textId="77777777" w:rsidR="002A10AB" w:rsidRPr="00545E88" w:rsidRDefault="002A10AB" w:rsidP="0009495F">
      <w:pPr>
        <w:tabs>
          <w:tab w:val="left" w:pos="1080"/>
          <w:tab w:val="left" w:pos="6840"/>
        </w:tabs>
        <w:rPr>
          <w:rFonts w:ascii="Verdana" w:eastAsia="Malgun Gothic" w:hAnsi="Verdana" w:cs="Arial"/>
          <w:sz w:val="18"/>
          <w:szCs w:val="18"/>
          <w:u w:val="single"/>
        </w:rPr>
      </w:pPr>
    </w:p>
    <w:p w14:paraId="2F51D6C4" w14:textId="71A8F790" w:rsidR="00D65191" w:rsidRPr="00545E88" w:rsidRDefault="00D65191" w:rsidP="0009495F">
      <w:pPr>
        <w:tabs>
          <w:tab w:val="left" w:pos="1080"/>
          <w:tab w:val="left" w:pos="6840"/>
        </w:tabs>
        <w:rPr>
          <w:rFonts w:ascii="Verdana" w:eastAsia="Malgun Gothic" w:hAnsi="Verdana" w:cs="Arial"/>
          <w:b/>
          <w:sz w:val="18"/>
          <w:szCs w:val="18"/>
          <w:u w:val="single"/>
        </w:rPr>
      </w:pPr>
    </w:p>
    <w:p w14:paraId="614D1D1E" w14:textId="7CFAE909" w:rsidR="00044CF1" w:rsidRPr="00D044B5" w:rsidRDefault="00044CF1" w:rsidP="0009495F">
      <w:pPr>
        <w:rPr>
          <w:rFonts w:ascii="Verdana" w:eastAsia="Malgun Gothic" w:hAnsi="Verdana" w:cs="Arial"/>
          <w:b/>
          <w:bCs/>
          <w:sz w:val="18"/>
          <w:szCs w:val="18"/>
          <w:u w:val="single"/>
        </w:rPr>
      </w:pPr>
      <w:r w:rsidRPr="00D044B5">
        <w:rPr>
          <w:rFonts w:ascii="Verdana" w:eastAsia="Malgun Gothic" w:hAnsi="Verdana" w:cs="Arial"/>
          <w:b/>
          <w:bCs/>
          <w:sz w:val="18"/>
          <w:szCs w:val="18"/>
          <w:u w:val="single"/>
        </w:rPr>
        <w:t>Returns of Residents of Cyprus</w:t>
      </w:r>
    </w:p>
    <w:p w14:paraId="008965E6" w14:textId="77777777" w:rsidR="00044CF1" w:rsidRPr="00545E88" w:rsidRDefault="00044CF1" w:rsidP="0009495F">
      <w:pPr>
        <w:tabs>
          <w:tab w:val="left" w:pos="1080"/>
          <w:tab w:val="left" w:pos="6840"/>
        </w:tabs>
        <w:rPr>
          <w:rFonts w:ascii="Verdana" w:eastAsia="Malgun Gothic" w:hAnsi="Verdana" w:cs="Arial"/>
          <w:b/>
          <w:sz w:val="18"/>
          <w:szCs w:val="18"/>
        </w:rPr>
      </w:pPr>
    </w:p>
    <w:p w14:paraId="3216C780" w14:textId="1816A150" w:rsidR="00044CF1" w:rsidRPr="00545E88" w:rsidRDefault="001C0938" w:rsidP="0009495F">
      <w:pPr>
        <w:tabs>
          <w:tab w:val="left" w:pos="1080"/>
          <w:tab w:val="left" w:pos="6840"/>
        </w:tabs>
        <w:jc w:val="both"/>
        <w:rPr>
          <w:rFonts w:ascii="Verdana" w:eastAsia="Malgun Gothic" w:hAnsi="Verdana"/>
          <w:sz w:val="18"/>
          <w:szCs w:val="18"/>
          <w:lang w:eastAsia="x-none"/>
        </w:rPr>
      </w:pPr>
      <w:r w:rsidRPr="00545E88">
        <w:rPr>
          <w:rFonts w:ascii="Verdana" w:eastAsia="Arial" w:hAnsi="Verdana" w:cs="Arial"/>
          <w:sz w:val="18"/>
          <w:szCs w:val="18"/>
        </w:rPr>
        <w:t xml:space="preserve">A total number of </w:t>
      </w:r>
      <w:r w:rsidR="00D044B5" w:rsidRPr="00D044B5">
        <w:rPr>
          <w:rFonts w:ascii="Verdana" w:eastAsia="Malgun Gothic" w:hAnsi="Verdana"/>
          <w:sz w:val="18"/>
          <w:szCs w:val="18"/>
          <w:lang w:eastAsia="x-none"/>
        </w:rPr>
        <w:t>126.583</w:t>
      </w:r>
      <w:r w:rsidRPr="00545E88">
        <w:rPr>
          <w:rFonts w:ascii="Verdana" w:eastAsia="Arial" w:hAnsi="Verdana" w:cs="Arial"/>
          <w:sz w:val="18"/>
          <w:szCs w:val="18"/>
        </w:rPr>
        <w:t xml:space="preserve"> </w:t>
      </w:r>
      <w:r w:rsidRPr="00545E88">
        <w:rPr>
          <w:rFonts w:ascii="Verdana" w:eastAsia="Malgun Gothic" w:hAnsi="Verdana"/>
          <w:sz w:val="18"/>
          <w:szCs w:val="18"/>
          <w:lang w:eastAsia="x-none"/>
        </w:rPr>
        <w:t xml:space="preserve">residents of Cyprus returned from a trip abroad in </w:t>
      </w:r>
      <w:r w:rsidR="004B6B95">
        <w:rPr>
          <w:rFonts w:ascii="Verdana" w:eastAsia="Malgun Gothic" w:hAnsi="Verdana"/>
          <w:sz w:val="18"/>
          <w:szCs w:val="18"/>
          <w:lang w:eastAsia="x-none"/>
        </w:rPr>
        <w:t>May</w:t>
      </w:r>
      <w:r w:rsidRPr="00545E88">
        <w:rPr>
          <w:rFonts w:ascii="Verdana" w:eastAsia="Malgun Gothic" w:hAnsi="Verdana"/>
          <w:sz w:val="18"/>
          <w:szCs w:val="18"/>
          <w:lang w:eastAsia="x-none"/>
        </w:rPr>
        <w:t xml:space="preserve"> 2023</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compared to </w:t>
      </w:r>
      <w:r w:rsidR="00D044B5" w:rsidRPr="00D044B5">
        <w:rPr>
          <w:rFonts w:ascii="Verdana" w:eastAsia="Malgun Gothic" w:hAnsi="Verdana"/>
          <w:sz w:val="18"/>
          <w:szCs w:val="18"/>
          <w:lang w:eastAsia="x-none"/>
        </w:rPr>
        <w:t>135.661</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in the corresponding month last year, recording a </w:t>
      </w:r>
      <w:r w:rsidR="00D044B5">
        <w:rPr>
          <w:rFonts w:ascii="Verdana" w:eastAsia="Malgun Gothic" w:hAnsi="Verdana"/>
          <w:sz w:val="18"/>
          <w:szCs w:val="18"/>
          <w:lang w:eastAsia="x-none"/>
        </w:rPr>
        <w:t>de</w:t>
      </w:r>
      <w:r w:rsidRPr="00545E88">
        <w:rPr>
          <w:rFonts w:ascii="Verdana" w:eastAsia="Malgun Gothic" w:hAnsi="Verdana"/>
          <w:sz w:val="18"/>
          <w:szCs w:val="18"/>
          <w:lang w:eastAsia="x-none"/>
        </w:rPr>
        <w:t xml:space="preserve">crease of </w:t>
      </w:r>
      <w:r w:rsidR="00D044B5" w:rsidRPr="00D044B5">
        <w:rPr>
          <w:rFonts w:ascii="Verdana" w:eastAsia="Malgun Gothic" w:hAnsi="Verdana"/>
          <w:sz w:val="18"/>
          <w:szCs w:val="18"/>
          <w:lang w:eastAsia="x-none"/>
        </w:rPr>
        <w:t>6,7</w:t>
      </w:r>
      <w:r w:rsidR="00044CF1" w:rsidRPr="00545E88">
        <w:rPr>
          <w:rFonts w:ascii="Verdana" w:eastAsia="Malgun Gothic" w:hAnsi="Verdana"/>
          <w:sz w:val="18"/>
          <w:szCs w:val="18"/>
          <w:lang w:eastAsia="x-none"/>
        </w:rPr>
        <w:t xml:space="preserve">%. </w:t>
      </w:r>
    </w:p>
    <w:p w14:paraId="5858933C" w14:textId="77777777" w:rsidR="00044CF1" w:rsidRPr="00545E88" w:rsidRDefault="00044CF1" w:rsidP="0009495F">
      <w:pPr>
        <w:tabs>
          <w:tab w:val="left" w:pos="1080"/>
          <w:tab w:val="left" w:pos="6840"/>
        </w:tabs>
        <w:jc w:val="both"/>
        <w:rPr>
          <w:rFonts w:ascii="Verdana" w:eastAsia="Malgun Gothic" w:hAnsi="Verdana"/>
          <w:sz w:val="18"/>
          <w:szCs w:val="18"/>
          <w:lang w:eastAsia="x-none"/>
        </w:rPr>
      </w:pPr>
    </w:p>
    <w:p w14:paraId="209A932C" w14:textId="0B793366" w:rsidR="00044CF1" w:rsidRPr="005A5ABB" w:rsidRDefault="001C0938" w:rsidP="0009495F">
      <w:pPr>
        <w:tabs>
          <w:tab w:val="left" w:pos="1080"/>
          <w:tab w:val="left" w:pos="6840"/>
        </w:tabs>
        <w:jc w:val="both"/>
        <w:rPr>
          <w:rFonts w:ascii="Verdana" w:eastAsia="Malgun Gothic" w:hAnsi="Verdana"/>
          <w:sz w:val="18"/>
          <w:szCs w:val="18"/>
          <w:lang w:eastAsia="x-none"/>
        </w:rPr>
      </w:pPr>
      <w:r w:rsidRPr="00545E88">
        <w:rPr>
          <w:rFonts w:ascii="Verdana" w:eastAsia="Malgun Gothic" w:hAnsi="Verdana"/>
          <w:sz w:val="18"/>
          <w:szCs w:val="18"/>
          <w:lang w:eastAsia="x-none"/>
        </w:rPr>
        <w:t>The main countries from which</w:t>
      </w:r>
      <w:r w:rsidR="00CD7FE1" w:rsidRPr="00545E88">
        <w:rPr>
          <w:rFonts w:ascii="Verdana" w:eastAsia="Malgun Gothic" w:hAnsi="Verdana"/>
          <w:sz w:val="18"/>
          <w:szCs w:val="18"/>
          <w:lang w:eastAsia="x-none"/>
        </w:rPr>
        <w:t xml:space="preserve"> </w:t>
      </w:r>
      <w:r w:rsidR="00D35A7E" w:rsidRPr="00D35A7E">
        <w:rPr>
          <w:rFonts w:ascii="Verdana" w:eastAsia="Malgun Gothic" w:hAnsi="Verdana"/>
          <w:sz w:val="18"/>
          <w:szCs w:val="18"/>
          <w:lang w:eastAsia="x-none"/>
        </w:rPr>
        <w:t xml:space="preserve">residents of Cyprus returned in </w:t>
      </w:r>
      <w:r w:rsidR="004B6B95">
        <w:rPr>
          <w:rFonts w:ascii="Verdana" w:eastAsia="Malgun Gothic" w:hAnsi="Verdana"/>
          <w:sz w:val="18"/>
          <w:szCs w:val="18"/>
          <w:lang w:eastAsia="x-none"/>
        </w:rPr>
        <w:t>May</w:t>
      </w:r>
      <w:r w:rsidR="00D35A7E" w:rsidRPr="00D35A7E">
        <w:rPr>
          <w:rFonts w:ascii="Verdana" w:eastAsia="Malgun Gothic" w:hAnsi="Verdana"/>
          <w:sz w:val="18"/>
          <w:szCs w:val="18"/>
          <w:lang w:eastAsia="x-none"/>
        </w:rPr>
        <w:t xml:space="preserve"> 2023</w:t>
      </w:r>
      <w:r w:rsidRPr="00545E88">
        <w:rPr>
          <w:rFonts w:ascii="Verdana" w:eastAsia="Malgun Gothic" w:hAnsi="Verdana"/>
          <w:sz w:val="18"/>
          <w:szCs w:val="18"/>
          <w:lang w:eastAsia="x-none"/>
        </w:rPr>
        <w:t xml:space="preserve"> were Greece with a share of </w:t>
      </w:r>
      <w:bookmarkStart w:id="0" w:name="_Hlk134772593"/>
      <w:r w:rsidR="005A5ABB" w:rsidRPr="005A5ABB">
        <w:rPr>
          <w:rFonts w:ascii="Verdana" w:eastAsia="Malgun Gothic" w:hAnsi="Verdana"/>
          <w:sz w:val="18"/>
          <w:szCs w:val="18"/>
          <w:lang w:eastAsia="x-none"/>
        </w:rPr>
        <w:t>31,4</w:t>
      </w:r>
      <w:r w:rsidRPr="00545E88">
        <w:rPr>
          <w:rFonts w:ascii="Verdana" w:eastAsia="Malgun Gothic" w:hAnsi="Verdana"/>
          <w:sz w:val="18"/>
          <w:szCs w:val="18"/>
          <w:lang w:eastAsia="x-none"/>
        </w:rPr>
        <w:t>% (</w:t>
      </w:r>
      <w:r w:rsidR="005A5ABB" w:rsidRPr="005A5ABB">
        <w:rPr>
          <w:rFonts w:ascii="Verdana" w:eastAsia="Malgun Gothic" w:hAnsi="Verdana"/>
          <w:sz w:val="18"/>
          <w:szCs w:val="18"/>
          <w:lang w:eastAsia="x-none"/>
        </w:rPr>
        <w:t>39.738</w:t>
      </w:r>
      <w:r w:rsidRPr="00545E88">
        <w:rPr>
          <w:rFonts w:ascii="Verdana" w:eastAsia="Malgun Gothic" w:hAnsi="Verdana"/>
          <w:sz w:val="18"/>
          <w:szCs w:val="18"/>
          <w:lang w:eastAsia="x-none"/>
        </w:rPr>
        <w:t>)</w:t>
      </w:r>
      <w:bookmarkEnd w:id="0"/>
      <w:r w:rsidRPr="00545E88">
        <w:rPr>
          <w:rFonts w:ascii="Verdana" w:eastAsia="Malgun Gothic" w:hAnsi="Verdana"/>
          <w:sz w:val="18"/>
          <w:szCs w:val="18"/>
          <w:lang w:eastAsia="x-none"/>
        </w:rPr>
        <w:t xml:space="preserve">, the United Kingdom with </w:t>
      </w:r>
      <w:bookmarkStart w:id="1" w:name="_Hlk134772611"/>
      <w:r w:rsidR="005A5ABB" w:rsidRPr="005A5ABB">
        <w:rPr>
          <w:rFonts w:ascii="Verdana" w:eastAsia="Malgun Gothic" w:hAnsi="Verdana"/>
          <w:sz w:val="18"/>
          <w:szCs w:val="18"/>
          <w:lang w:eastAsia="x-none"/>
        </w:rPr>
        <w:t>10,1% (12.739)</w:t>
      </w:r>
      <w:bookmarkEnd w:id="1"/>
      <w:r w:rsidR="00675097">
        <w:rPr>
          <w:rFonts w:ascii="Verdana" w:eastAsia="Malgun Gothic" w:hAnsi="Verdana"/>
          <w:sz w:val="18"/>
          <w:szCs w:val="18"/>
          <w:lang w:eastAsia="x-none"/>
        </w:rPr>
        <w:t>,</w:t>
      </w:r>
      <w:r w:rsidR="00675097" w:rsidRPr="00675097">
        <w:rPr>
          <w:rFonts w:ascii="Verdana" w:eastAsia="Malgun Gothic" w:hAnsi="Verdana"/>
          <w:sz w:val="18"/>
          <w:szCs w:val="18"/>
          <w:lang w:eastAsia="x-none"/>
        </w:rPr>
        <w:t xml:space="preserve"> </w:t>
      </w:r>
      <w:r w:rsidR="005A5ABB">
        <w:rPr>
          <w:rFonts w:ascii="Verdana" w:eastAsia="Malgun Gothic" w:hAnsi="Verdana"/>
          <w:sz w:val="18"/>
          <w:szCs w:val="18"/>
          <w:lang w:eastAsia="x-none"/>
        </w:rPr>
        <w:t xml:space="preserve">Italy </w:t>
      </w:r>
      <w:r w:rsidR="00675097" w:rsidRPr="00545E88">
        <w:rPr>
          <w:rFonts w:ascii="Verdana" w:eastAsia="Malgun Gothic" w:hAnsi="Verdana"/>
          <w:sz w:val="18"/>
          <w:szCs w:val="18"/>
          <w:lang w:eastAsia="x-none"/>
        </w:rPr>
        <w:t xml:space="preserve">with </w:t>
      </w:r>
      <w:bookmarkStart w:id="2" w:name="_Hlk134772668"/>
      <w:r w:rsidR="005A5ABB" w:rsidRPr="005A5ABB">
        <w:rPr>
          <w:rFonts w:ascii="Verdana" w:eastAsia="Malgun Gothic" w:hAnsi="Verdana"/>
          <w:sz w:val="18"/>
          <w:szCs w:val="18"/>
          <w:lang w:eastAsia="x-none"/>
        </w:rPr>
        <w:t>5,6% (7.098)</w:t>
      </w:r>
      <w:bookmarkEnd w:id="2"/>
      <w:r w:rsidR="005A5ABB">
        <w:rPr>
          <w:rFonts w:ascii="Verdana" w:eastAsia="Malgun Gothic" w:hAnsi="Verdana"/>
          <w:sz w:val="18"/>
          <w:szCs w:val="18"/>
          <w:lang w:eastAsia="x-none"/>
        </w:rPr>
        <w:t xml:space="preserve"> </w:t>
      </w:r>
      <w:r w:rsidR="00867C29">
        <w:rPr>
          <w:rFonts w:ascii="Verdana" w:eastAsia="Malgun Gothic" w:hAnsi="Verdana"/>
          <w:sz w:val="18"/>
          <w:szCs w:val="18"/>
          <w:lang w:eastAsia="x-none"/>
        </w:rPr>
        <w:t>and</w:t>
      </w:r>
      <w:r w:rsidR="00867C29" w:rsidRPr="00867C29">
        <w:rPr>
          <w:rFonts w:ascii="Verdana" w:eastAsia="Malgun Gothic" w:hAnsi="Verdana"/>
          <w:sz w:val="18"/>
          <w:szCs w:val="18"/>
          <w:lang w:eastAsia="x-none"/>
        </w:rPr>
        <w:t xml:space="preserve"> </w:t>
      </w:r>
      <w:r w:rsidR="00BC1CE1">
        <w:rPr>
          <w:rFonts w:ascii="Verdana" w:eastAsia="Malgun Gothic" w:hAnsi="Verdana"/>
          <w:sz w:val="18"/>
          <w:szCs w:val="18"/>
          <w:lang w:eastAsia="x-none"/>
        </w:rPr>
        <w:t>Germany</w:t>
      </w:r>
      <w:r w:rsidR="00867C29">
        <w:rPr>
          <w:rFonts w:ascii="Verdana" w:eastAsia="Malgun Gothic" w:hAnsi="Verdana"/>
          <w:sz w:val="18"/>
          <w:szCs w:val="18"/>
          <w:lang w:eastAsia="x-none"/>
        </w:rPr>
        <w:t xml:space="preserve"> </w:t>
      </w:r>
      <w:r w:rsidR="00867C29" w:rsidRPr="00675097">
        <w:rPr>
          <w:rFonts w:ascii="Verdana" w:eastAsia="Malgun Gothic" w:hAnsi="Verdana"/>
          <w:sz w:val="18"/>
          <w:szCs w:val="18"/>
          <w:lang w:eastAsia="x-none"/>
        </w:rPr>
        <w:t xml:space="preserve">with </w:t>
      </w:r>
      <w:bookmarkStart w:id="3" w:name="_Hlk134772634"/>
      <w:r w:rsidR="005A5ABB" w:rsidRPr="005A5ABB">
        <w:rPr>
          <w:rFonts w:ascii="Verdana" w:eastAsia="Malgun Gothic" w:hAnsi="Verdana"/>
          <w:sz w:val="18"/>
          <w:szCs w:val="18"/>
          <w:lang w:eastAsia="x-none"/>
        </w:rPr>
        <w:t>4,0% (5.095)</w:t>
      </w:r>
      <w:bookmarkEnd w:id="3"/>
      <w:r w:rsidR="005A5ABB" w:rsidRPr="005A5ABB">
        <w:rPr>
          <w:rFonts w:ascii="Verdana" w:eastAsia="Malgun Gothic" w:hAnsi="Verdana"/>
          <w:sz w:val="18"/>
          <w:szCs w:val="18"/>
          <w:lang w:eastAsia="x-none"/>
        </w:rPr>
        <w:t>.</w:t>
      </w:r>
    </w:p>
    <w:p w14:paraId="03F5134D" w14:textId="77777777" w:rsidR="001C0938" w:rsidRDefault="001C0938" w:rsidP="0009495F">
      <w:pPr>
        <w:tabs>
          <w:tab w:val="left" w:pos="1080"/>
          <w:tab w:val="left" w:pos="6840"/>
        </w:tabs>
        <w:jc w:val="both"/>
        <w:rPr>
          <w:rFonts w:ascii="Verdana" w:eastAsia="Malgun Gothic" w:hAnsi="Verdana"/>
          <w:sz w:val="18"/>
          <w:szCs w:val="18"/>
          <w:lang w:eastAsia="x-none"/>
        </w:rPr>
      </w:pPr>
    </w:p>
    <w:p w14:paraId="4E54722E" w14:textId="6E91E979" w:rsidR="00B36372" w:rsidRDefault="008463E5" w:rsidP="0009495F">
      <w:pPr>
        <w:tabs>
          <w:tab w:val="left" w:pos="1080"/>
          <w:tab w:val="left" w:pos="6840"/>
        </w:tabs>
        <w:jc w:val="both"/>
        <w:rPr>
          <w:rFonts w:ascii="Verdana" w:eastAsia="Malgun Gothic" w:hAnsi="Verdana"/>
          <w:sz w:val="18"/>
          <w:szCs w:val="18"/>
          <w:lang w:eastAsia="x-none"/>
        </w:rPr>
      </w:pPr>
      <w:r>
        <w:rPr>
          <w:rFonts w:ascii="Verdana" w:eastAsia="Malgun Gothic" w:hAnsi="Verdana"/>
          <w:noProof/>
          <w:sz w:val="18"/>
          <w:szCs w:val="18"/>
          <w:lang w:eastAsia="x-none"/>
        </w:rPr>
        <w:drawing>
          <wp:inline distT="0" distB="0" distL="0" distR="0" wp14:anchorId="7FD53A79" wp14:editId="143273D2">
            <wp:extent cx="6059805" cy="3230880"/>
            <wp:effectExtent l="0" t="0" r="0" b="7620"/>
            <wp:docPr id="2142495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03AA1601" w14:textId="77777777" w:rsidR="00D463C1" w:rsidRPr="00545E88" w:rsidRDefault="00D463C1" w:rsidP="0009495F">
      <w:pPr>
        <w:tabs>
          <w:tab w:val="left" w:pos="1080"/>
          <w:tab w:val="left" w:pos="6840"/>
        </w:tabs>
        <w:jc w:val="both"/>
        <w:rPr>
          <w:rFonts w:ascii="Verdana" w:eastAsia="Malgun Gothic" w:hAnsi="Verdana" w:cs="Arial"/>
          <w:sz w:val="18"/>
          <w:szCs w:val="18"/>
        </w:rPr>
      </w:pPr>
    </w:p>
    <w:p w14:paraId="7192FF44" w14:textId="44E6DB6E" w:rsidR="00044CF1" w:rsidRPr="00545E88" w:rsidRDefault="00216634" w:rsidP="0009495F">
      <w:pPr>
        <w:tabs>
          <w:tab w:val="left" w:pos="1080"/>
          <w:tab w:val="left" w:pos="6840"/>
        </w:tabs>
        <w:jc w:val="both"/>
        <w:rPr>
          <w:rFonts w:ascii="Verdana" w:eastAsia="Malgun Gothic" w:hAnsi="Verdana" w:cs="Arial"/>
          <w:sz w:val="18"/>
          <w:szCs w:val="18"/>
        </w:rPr>
      </w:pPr>
      <w:r w:rsidRPr="00216634">
        <w:rPr>
          <w:rFonts w:ascii="Verdana" w:eastAsia="Malgun Gothic" w:hAnsi="Verdana" w:cs="Arial"/>
          <w:sz w:val="18"/>
          <w:szCs w:val="18"/>
        </w:rPr>
        <w:t xml:space="preserve">The purpose of travel for the residents of Cyprus in </w:t>
      </w:r>
      <w:r w:rsidR="004B6B95">
        <w:rPr>
          <w:rFonts w:ascii="Verdana" w:eastAsia="Malgun Gothic" w:hAnsi="Verdana" w:cs="Arial"/>
          <w:sz w:val="18"/>
          <w:szCs w:val="18"/>
        </w:rPr>
        <w:t>May</w:t>
      </w:r>
      <w:r w:rsidRPr="00216634">
        <w:rPr>
          <w:rFonts w:ascii="Verdana" w:eastAsia="Malgun Gothic" w:hAnsi="Verdana" w:cs="Arial"/>
          <w:sz w:val="18"/>
          <w:szCs w:val="18"/>
        </w:rPr>
        <w:t xml:space="preserve"> 2023 was mainly holidays, with a percentage of </w:t>
      </w:r>
      <w:bookmarkStart w:id="4" w:name="_Hlk134772918"/>
      <w:r w:rsidR="008463E5" w:rsidRPr="008463E5">
        <w:rPr>
          <w:rFonts w:ascii="Verdana" w:eastAsia="Malgun Gothic" w:hAnsi="Verdana" w:cs="Arial"/>
          <w:sz w:val="18"/>
          <w:szCs w:val="18"/>
        </w:rPr>
        <w:t>64,</w:t>
      </w:r>
      <w:bookmarkEnd w:id="4"/>
      <w:r w:rsidR="008463E5" w:rsidRPr="008463E5">
        <w:rPr>
          <w:rFonts w:ascii="Verdana" w:eastAsia="Malgun Gothic" w:hAnsi="Verdana" w:cs="Arial"/>
          <w:sz w:val="18"/>
          <w:szCs w:val="18"/>
        </w:rPr>
        <w:t>8</w:t>
      </w:r>
      <w:r w:rsidRPr="00216634">
        <w:rPr>
          <w:rFonts w:ascii="Verdana" w:eastAsia="Malgun Gothic" w:hAnsi="Verdana" w:cs="Arial"/>
          <w:sz w:val="18"/>
          <w:szCs w:val="18"/>
        </w:rPr>
        <w:t xml:space="preserve">%, whilst business reasons held a percentage of </w:t>
      </w:r>
      <w:bookmarkStart w:id="5" w:name="_Hlk134772954"/>
      <w:r w:rsidR="008463E5" w:rsidRPr="008463E5">
        <w:rPr>
          <w:rFonts w:ascii="Verdana" w:eastAsia="Malgun Gothic" w:hAnsi="Verdana" w:cs="Arial"/>
          <w:sz w:val="18"/>
          <w:szCs w:val="18"/>
        </w:rPr>
        <w:t>28,</w:t>
      </w:r>
      <w:bookmarkEnd w:id="5"/>
      <w:r w:rsidR="008463E5" w:rsidRPr="008463E5">
        <w:rPr>
          <w:rFonts w:ascii="Verdana" w:eastAsia="Malgun Gothic" w:hAnsi="Verdana" w:cs="Arial"/>
          <w:sz w:val="18"/>
          <w:szCs w:val="18"/>
        </w:rPr>
        <w:t>5</w:t>
      </w:r>
      <w:r w:rsidRPr="00216634">
        <w:rPr>
          <w:rFonts w:ascii="Verdana" w:eastAsia="Malgun Gothic" w:hAnsi="Verdana" w:cs="Arial"/>
          <w:sz w:val="18"/>
          <w:szCs w:val="18"/>
        </w:rPr>
        <w:t xml:space="preserve">%, studies </w:t>
      </w:r>
      <w:bookmarkStart w:id="6" w:name="_Hlk134772937"/>
      <w:r w:rsidR="008463E5" w:rsidRPr="008463E5">
        <w:rPr>
          <w:rFonts w:ascii="Verdana" w:eastAsia="Malgun Gothic" w:hAnsi="Verdana" w:cs="Arial"/>
          <w:sz w:val="18"/>
          <w:szCs w:val="18"/>
        </w:rPr>
        <w:t>3,</w:t>
      </w:r>
      <w:bookmarkEnd w:id="6"/>
      <w:r w:rsidR="008463E5" w:rsidRPr="008463E5">
        <w:rPr>
          <w:rFonts w:ascii="Verdana" w:eastAsia="Malgun Gothic" w:hAnsi="Verdana" w:cs="Arial"/>
          <w:sz w:val="18"/>
          <w:szCs w:val="18"/>
        </w:rPr>
        <w:t>6</w:t>
      </w:r>
      <w:r w:rsidRPr="00216634">
        <w:rPr>
          <w:rFonts w:ascii="Verdana" w:eastAsia="Malgun Gothic" w:hAnsi="Verdana" w:cs="Arial"/>
          <w:sz w:val="18"/>
          <w:szCs w:val="18"/>
        </w:rPr>
        <w:t xml:space="preserve">% and other reasons </w:t>
      </w:r>
      <w:bookmarkStart w:id="7" w:name="_Hlk134772972"/>
      <w:r w:rsidR="008463E5" w:rsidRPr="003551F1">
        <w:rPr>
          <w:rFonts w:ascii="Verdana" w:eastAsia="Malgun Gothic" w:hAnsi="Verdana" w:cs="Arial"/>
          <w:sz w:val="18"/>
          <w:szCs w:val="18"/>
        </w:rPr>
        <w:t>3,1</w:t>
      </w:r>
      <w:bookmarkEnd w:id="7"/>
      <w:r w:rsidRPr="00216634">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70C79278" w14:textId="77777777" w:rsidR="008463E5" w:rsidRDefault="008463E5" w:rsidP="0009495F">
      <w:pPr>
        <w:tabs>
          <w:tab w:val="left" w:pos="1080"/>
          <w:tab w:val="left" w:pos="6840"/>
        </w:tabs>
        <w:rPr>
          <w:rFonts w:ascii="Verdana" w:eastAsia="Malgun Gothic" w:hAnsi="Verdana" w:cs="Arial"/>
          <w:b/>
          <w:sz w:val="18"/>
          <w:szCs w:val="18"/>
          <w:u w:val="single"/>
        </w:rPr>
      </w:pPr>
    </w:p>
    <w:p w14:paraId="5F4FBEAF" w14:textId="77777777" w:rsidR="008463E5" w:rsidRDefault="008463E5"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113657D7" w14:textId="77777777" w:rsidR="00545E88" w:rsidRPr="00545E88" w:rsidRDefault="00545E88" w:rsidP="0009495F">
      <w:pPr>
        <w:tabs>
          <w:tab w:val="left" w:pos="1080"/>
          <w:tab w:val="left" w:pos="6840"/>
        </w:tabs>
        <w:rPr>
          <w:rFonts w:ascii="Verdana" w:eastAsia="Malgun Gothic" w:hAnsi="Verdana" w:cs="Arial"/>
          <w:b/>
          <w:sz w:val="18"/>
          <w:szCs w:val="18"/>
          <w:u w:val="single"/>
        </w:rPr>
      </w:pPr>
    </w:p>
    <w:p w14:paraId="1F8400AC" w14:textId="77777777"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METHODOLOGICAL NOTES</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The data are obtained from the Passengers Survey which is carried out at the points of arrival in Larna</w:t>
      </w:r>
      <w:r w:rsidR="002853FB">
        <w:rPr>
          <w:rFonts w:ascii="Verdana" w:hAnsi="Verdana"/>
          <w:sz w:val="18"/>
          <w:szCs w:val="18"/>
        </w:rPr>
        <w:t>k</w:t>
      </w:r>
      <w:r w:rsidRPr="00545E88">
        <w:rPr>
          <w:rFonts w:ascii="Verdana" w:hAnsi="Verdana"/>
          <w:sz w:val="18"/>
          <w:szCs w:val="18"/>
        </w:rPr>
        <w:t>a and Pa</w:t>
      </w:r>
      <w:r w:rsidR="002853FB">
        <w:rPr>
          <w:rFonts w:ascii="Verdana" w:hAnsi="Verdana"/>
          <w:sz w:val="18"/>
          <w:szCs w:val="18"/>
        </w:rPr>
        <w:t>f</w:t>
      </w:r>
      <w:r w:rsidRPr="00545E88">
        <w:rPr>
          <w:rFonts w:ascii="Verdana" w:hAnsi="Verdana"/>
          <w:sz w:val="18"/>
          <w:szCs w:val="18"/>
        </w:rPr>
        <w:t>os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000000" w:rsidP="0009495F">
      <w:pPr>
        <w:rPr>
          <w:rFonts w:ascii="Verdana" w:hAnsi="Verdana"/>
          <w:sz w:val="18"/>
          <w:szCs w:val="18"/>
        </w:rPr>
      </w:pPr>
      <w:hyperlink r:id="rId11"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000000" w:rsidP="0009495F">
      <w:pPr>
        <w:jc w:val="both"/>
        <w:rPr>
          <w:rFonts w:ascii="Verdana" w:hAnsi="Verdana"/>
          <w:sz w:val="18"/>
          <w:szCs w:val="18"/>
        </w:rPr>
      </w:pPr>
      <w:hyperlink r:id="rId12"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000000" w:rsidP="0009495F">
      <w:pPr>
        <w:jc w:val="both"/>
        <w:rPr>
          <w:rFonts w:ascii="Verdana" w:eastAsia="Malgun Gothic" w:hAnsi="Verdana" w:cs="Arial"/>
          <w:sz w:val="18"/>
          <w:szCs w:val="18"/>
        </w:rPr>
      </w:pPr>
      <w:hyperlink r:id="rId13" w:history="1">
        <w:r w:rsidR="00F12DF4" w:rsidRPr="00545E88">
          <w:rPr>
            <w:rStyle w:val="Hyperlink"/>
            <w:rFonts w:ascii="Verdana" w:hAnsi="Verdana"/>
            <w:sz w:val="18"/>
            <w:szCs w:val="18"/>
          </w:rPr>
          <w:t>Methodological Information</w:t>
        </w:r>
      </w:hyperlink>
    </w:p>
    <w:p w14:paraId="52A75D49" w14:textId="77777777" w:rsidR="002A10AB" w:rsidRPr="00545E88" w:rsidRDefault="002A10AB"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77777777"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Tel.:+35722602152,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938ED">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C050" w14:textId="77777777" w:rsidR="006D2B30" w:rsidRDefault="006D2B30" w:rsidP="00FB398F">
      <w:r>
        <w:separator/>
      </w:r>
    </w:p>
  </w:endnote>
  <w:endnote w:type="continuationSeparator" w:id="0">
    <w:p w14:paraId="487A7DAF" w14:textId="77777777" w:rsidR="006D2B30" w:rsidRDefault="006D2B3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2A10AB" w:rsidRDefault="00122143" w:rsidP="0060256A">
    <w:pPr>
      <w:pStyle w:val="Footer"/>
      <w:tabs>
        <w:tab w:val="left" w:pos="4500"/>
      </w:tabs>
      <w:jc w:val="center"/>
      <w:rPr>
        <w:rFonts w:ascii="Arial" w:hAnsi="Arial" w:cs="Arial"/>
        <w:i/>
        <w:iCs/>
        <w:sz w:val="16"/>
        <w:szCs w:val="16"/>
        <w:lang w:val="pt-PT"/>
      </w:rPr>
    </w:pPr>
    <w:r w:rsidRPr="002A10AB">
      <w:rPr>
        <w:rFonts w:ascii="Arial" w:hAnsi="Arial" w:cs="Arial"/>
        <w:i/>
        <w:iCs/>
        <w:sz w:val="16"/>
        <w:szCs w:val="16"/>
        <w:lang w:val="pt-PT"/>
      </w:rPr>
      <w:t xml:space="preserve">Tel.:  22 602129, </w:t>
    </w:r>
    <w:r w:rsidR="0060256A" w:rsidRPr="002A10AB">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6AE5" w14:textId="77777777" w:rsidR="006D2B30" w:rsidRDefault="006D2B30" w:rsidP="00FB398F">
      <w:r>
        <w:separator/>
      </w:r>
    </w:p>
  </w:footnote>
  <w:footnote w:type="continuationSeparator" w:id="0">
    <w:p w14:paraId="78442E55" w14:textId="77777777" w:rsidR="006D2B30" w:rsidRDefault="006D2B3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0D8E2980"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53CC"/>
    <w:rsid w:val="000161B1"/>
    <w:rsid w:val="00025A39"/>
    <w:rsid w:val="00027853"/>
    <w:rsid w:val="00030E18"/>
    <w:rsid w:val="00031D32"/>
    <w:rsid w:val="00032A4E"/>
    <w:rsid w:val="0003603D"/>
    <w:rsid w:val="00036FA9"/>
    <w:rsid w:val="00044CF1"/>
    <w:rsid w:val="00045088"/>
    <w:rsid w:val="00045A06"/>
    <w:rsid w:val="00050391"/>
    <w:rsid w:val="00052583"/>
    <w:rsid w:val="00052F9E"/>
    <w:rsid w:val="00055291"/>
    <w:rsid w:val="000563D3"/>
    <w:rsid w:val="00057E44"/>
    <w:rsid w:val="00061299"/>
    <w:rsid w:val="00070576"/>
    <w:rsid w:val="00071DDF"/>
    <w:rsid w:val="00072754"/>
    <w:rsid w:val="000752BB"/>
    <w:rsid w:val="00081ADF"/>
    <w:rsid w:val="00084A02"/>
    <w:rsid w:val="00084BF7"/>
    <w:rsid w:val="000870E9"/>
    <w:rsid w:val="000932CF"/>
    <w:rsid w:val="0009495F"/>
    <w:rsid w:val="00096ED8"/>
    <w:rsid w:val="000A1A88"/>
    <w:rsid w:val="000A2B5C"/>
    <w:rsid w:val="000A3601"/>
    <w:rsid w:val="000A5389"/>
    <w:rsid w:val="000A6FA8"/>
    <w:rsid w:val="000B6F3B"/>
    <w:rsid w:val="000C4E72"/>
    <w:rsid w:val="000D1E7A"/>
    <w:rsid w:val="000D77AF"/>
    <w:rsid w:val="000E24B1"/>
    <w:rsid w:val="000E2735"/>
    <w:rsid w:val="000E32D6"/>
    <w:rsid w:val="000E57F2"/>
    <w:rsid w:val="000E72A7"/>
    <w:rsid w:val="000F1162"/>
    <w:rsid w:val="000F3467"/>
    <w:rsid w:val="000F38DE"/>
    <w:rsid w:val="000F5D6C"/>
    <w:rsid w:val="00104020"/>
    <w:rsid w:val="00106852"/>
    <w:rsid w:val="00107C54"/>
    <w:rsid w:val="00110F9D"/>
    <w:rsid w:val="00114A67"/>
    <w:rsid w:val="00122143"/>
    <w:rsid w:val="001253B6"/>
    <w:rsid w:val="00127320"/>
    <w:rsid w:val="00127456"/>
    <w:rsid w:val="001312D8"/>
    <w:rsid w:val="0013137B"/>
    <w:rsid w:val="00137E6A"/>
    <w:rsid w:val="0014433C"/>
    <w:rsid w:val="0015118B"/>
    <w:rsid w:val="001519CE"/>
    <w:rsid w:val="00153B02"/>
    <w:rsid w:val="0015449C"/>
    <w:rsid w:val="0015633C"/>
    <w:rsid w:val="00161CF3"/>
    <w:rsid w:val="00162C00"/>
    <w:rsid w:val="001639EF"/>
    <w:rsid w:val="0016589F"/>
    <w:rsid w:val="00166FC4"/>
    <w:rsid w:val="00171FC1"/>
    <w:rsid w:val="00176558"/>
    <w:rsid w:val="0017756A"/>
    <w:rsid w:val="0017769A"/>
    <w:rsid w:val="001776EA"/>
    <w:rsid w:val="00183DFC"/>
    <w:rsid w:val="00184384"/>
    <w:rsid w:val="00186717"/>
    <w:rsid w:val="00187FFC"/>
    <w:rsid w:val="0019761C"/>
    <w:rsid w:val="00197A90"/>
    <w:rsid w:val="001A2018"/>
    <w:rsid w:val="001A3DD4"/>
    <w:rsid w:val="001A44F5"/>
    <w:rsid w:val="001A4FC9"/>
    <w:rsid w:val="001A7204"/>
    <w:rsid w:val="001B2C39"/>
    <w:rsid w:val="001B35FD"/>
    <w:rsid w:val="001B3675"/>
    <w:rsid w:val="001B54AB"/>
    <w:rsid w:val="001B5E10"/>
    <w:rsid w:val="001B6AB3"/>
    <w:rsid w:val="001B73D5"/>
    <w:rsid w:val="001C0681"/>
    <w:rsid w:val="001C0938"/>
    <w:rsid w:val="001C14B9"/>
    <w:rsid w:val="001C62B3"/>
    <w:rsid w:val="001C7C8C"/>
    <w:rsid w:val="001D0D6A"/>
    <w:rsid w:val="001D20A4"/>
    <w:rsid w:val="001E00D1"/>
    <w:rsid w:val="001E0E58"/>
    <w:rsid w:val="001E14F3"/>
    <w:rsid w:val="001E15ED"/>
    <w:rsid w:val="001E61AA"/>
    <w:rsid w:val="001E7D09"/>
    <w:rsid w:val="001F3B0A"/>
    <w:rsid w:val="0020309E"/>
    <w:rsid w:val="00205BA0"/>
    <w:rsid w:val="00210B58"/>
    <w:rsid w:val="00213CB4"/>
    <w:rsid w:val="00216634"/>
    <w:rsid w:val="00217784"/>
    <w:rsid w:val="00222423"/>
    <w:rsid w:val="00225B28"/>
    <w:rsid w:val="002313AC"/>
    <w:rsid w:val="00231DE5"/>
    <w:rsid w:val="00235FB2"/>
    <w:rsid w:val="00237BC1"/>
    <w:rsid w:val="00237BC8"/>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4F04"/>
    <w:rsid w:val="00267554"/>
    <w:rsid w:val="0027122D"/>
    <w:rsid w:val="00277866"/>
    <w:rsid w:val="0028338F"/>
    <w:rsid w:val="002853FB"/>
    <w:rsid w:val="00285C24"/>
    <w:rsid w:val="002915C4"/>
    <w:rsid w:val="00291BC1"/>
    <w:rsid w:val="002A10AB"/>
    <w:rsid w:val="002A1D1C"/>
    <w:rsid w:val="002A4D64"/>
    <w:rsid w:val="002A6FD2"/>
    <w:rsid w:val="002B6554"/>
    <w:rsid w:val="002C26AD"/>
    <w:rsid w:val="002D05F0"/>
    <w:rsid w:val="002D342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4EF"/>
    <w:rsid w:val="00350654"/>
    <w:rsid w:val="00350A3A"/>
    <w:rsid w:val="003522BB"/>
    <w:rsid w:val="00352F6C"/>
    <w:rsid w:val="003551F1"/>
    <w:rsid w:val="003556EA"/>
    <w:rsid w:val="0035796D"/>
    <w:rsid w:val="00364377"/>
    <w:rsid w:val="003707C5"/>
    <w:rsid w:val="00377ABB"/>
    <w:rsid w:val="00382B55"/>
    <w:rsid w:val="003854F5"/>
    <w:rsid w:val="00386FC7"/>
    <w:rsid w:val="00390A32"/>
    <w:rsid w:val="00393F34"/>
    <w:rsid w:val="00396C89"/>
    <w:rsid w:val="003A40F2"/>
    <w:rsid w:val="003A50D1"/>
    <w:rsid w:val="003B196D"/>
    <w:rsid w:val="003B2710"/>
    <w:rsid w:val="003B39D9"/>
    <w:rsid w:val="003B4608"/>
    <w:rsid w:val="003C1B8E"/>
    <w:rsid w:val="003C2392"/>
    <w:rsid w:val="003C5174"/>
    <w:rsid w:val="003C5240"/>
    <w:rsid w:val="003D14E0"/>
    <w:rsid w:val="003D1BBD"/>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FB1"/>
    <w:rsid w:val="00453CB9"/>
    <w:rsid w:val="0046078F"/>
    <w:rsid w:val="00463214"/>
    <w:rsid w:val="0046434D"/>
    <w:rsid w:val="004656FA"/>
    <w:rsid w:val="00471D77"/>
    <w:rsid w:val="00471EA2"/>
    <w:rsid w:val="00474E2B"/>
    <w:rsid w:val="00475587"/>
    <w:rsid w:val="00480BC2"/>
    <w:rsid w:val="004929C2"/>
    <w:rsid w:val="00493FDD"/>
    <w:rsid w:val="0049586B"/>
    <w:rsid w:val="004A3E44"/>
    <w:rsid w:val="004A7983"/>
    <w:rsid w:val="004B2896"/>
    <w:rsid w:val="004B38E9"/>
    <w:rsid w:val="004B3FBA"/>
    <w:rsid w:val="004B556F"/>
    <w:rsid w:val="004B6599"/>
    <w:rsid w:val="004B6B95"/>
    <w:rsid w:val="004C35CE"/>
    <w:rsid w:val="004C434A"/>
    <w:rsid w:val="004C63B6"/>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497"/>
    <w:rsid w:val="005022AC"/>
    <w:rsid w:val="0050269F"/>
    <w:rsid w:val="00505503"/>
    <w:rsid w:val="0051107B"/>
    <w:rsid w:val="0051222D"/>
    <w:rsid w:val="00512F9C"/>
    <w:rsid w:val="00516C5F"/>
    <w:rsid w:val="00527CDB"/>
    <w:rsid w:val="005317FB"/>
    <w:rsid w:val="00533014"/>
    <w:rsid w:val="00533C9F"/>
    <w:rsid w:val="005341C9"/>
    <w:rsid w:val="005369CA"/>
    <w:rsid w:val="00536DE9"/>
    <w:rsid w:val="00540668"/>
    <w:rsid w:val="00541E08"/>
    <w:rsid w:val="00545E88"/>
    <w:rsid w:val="0055624D"/>
    <w:rsid w:val="0055789A"/>
    <w:rsid w:val="005652D1"/>
    <w:rsid w:val="005660A0"/>
    <w:rsid w:val="00566A4F"/>
    <w:rsid w:val="00567974"/>
    <w:rsid w:val="00567D64"/>
    <w:rsid w:val="00567E4C"/>
    <w:rsid w:val="00572BC2"/>
    <w:rsid w:val="00577B8E"/>
    <w:rsid w:val="00587799"/>
    <w:rsid w:val="005938ED"/>
    <w:rsid w:val="0059478C"/>
    <w:rsid w:val="005978D4"/>
    <w:rsid w:val="005A5ABB"/>
    <w:rsid w:val="005A7CB0"/>
    <w:rsid w:val="005B2A67"/>
    <w:rsid w:val="005B3DCD"/>
    <w:rsid w:val="005B4ABF"/>
    <w:rsid w:val="005B4AD4"/>
    <w:rsid w:val="005B5CC7"/>
    <w:rsid w:val="005C2798"/>
    <w:rsid w:val="005C36C3"/>
    <w:rsid w:val="005C56EE"/>
    <w:rsid w:val="005C5D4B"/>
    <w:rsid w:val="005D1714"/>
    <w:rsid w:val="005D2D39"/>
    <w:rsid w:val="005D3C3E"/>
    <w:rsid w:val="005D7638"/>
    <w:rsid w:val="005F0F2C"/>
    <w:rsid w:val="005F12F5"/>
    <w:rsid w:val="005F24E9"/>
    <w:rsid w:val="005F4B4F"/>
    <w:rsid w:val="005F7C7D"/>
    <w:rsid w:val="0060256A"/>
    <w:rsid w:val="006044B7"/>
    <w:rsid w:val="00605A4A"/>
    <w:rsid w:val="006071CE"/>
    <w:rsid w:val="006075B5"/>
    <w:rsid w:val="0061018C"/>
    <w:rsid w:val="00610351"/>
    <w:rsid w:val="0061094E"/>
    <w:rsid w:val="00613440"/>
    <w:rsid w:val="00613BE3"/>
    <w:rsid w:val="00621C82"/>
    <w:rsid w:val="0062327B"/>
    <w:rsid w:val="00623CB8"/>
    <w:rsid w:val="00632777"/>
    <w:rsid w:val="00633750"/>
    <w:rsid w:val="006339F8"/>
    <w:rsid w:val="00634491"/>
    <w:rsid w:val="0063679C"/>
    <w:rsid w:val="00637055"/>
    <w:rsid w:val="00641D59"/>
    <w:rsid w:val="00643DD6"/>
    <w:rsid w:val="00644507"/>
    <w:rsid w:val="00646880"/>
    <w:rsid w:val="00647D2A"/>
    <w:rsid w:val="006537BB"/>
    <w:rsid w:val="0065711B"/>
    <w:rsid w:val="006613EB"/>
    <w:rsid w:val="00671785"/>
    <w:rsid w:val="00672BA9"/>
    <w:rsid w:val="00673005"/>
    <w:rsid w:val="00675097"/>
    <w:rsid w:val="006804BE"/>
    <w:rsid w:val="00683783"/>
    <w:rsid w:val="006844A3"/>
    <w:rsid w:val="0069008E"/>
    <w:rsid w:val="0069087E"/>
    <w:rsid w:val="00691191"/>
    <w:rsid w:val="006925C4"/>
    <w:rsid w:val="00692E7F"/>
    <w:rsid w:val="0069309C"/>
    <w:rsid w:val="006A02B7"/>
    <w:rsid w:val="006B46D5"/>
    <w:rsid w:val="006B46F4"/>
    <w:rsid w:val="006B6B20"/>
    <w:rsid w:val="006B7229"/>
    <w:rsid w:val="006C4909"/>
    <w:rsid w:val="006C7AF3"/>
    <w:rsid w:val="006D112A"/>
    <w:rsid w:val="006D2B30"/>
    <w:rsid w:val="006D6548"/>
    <w:rsid w:val="006E0E20"/>
    <w:rsid w:val="006E4256"/>
    <w:rsid w:val="006E4BBA"/>
    <w:rsid w:val="006E5F43"/>
    <w:rsid w:val="006E60A6"/>
    <w:rsid w:val="006F0932"/>
    <w:rsid w:val="006F0F69"/>
    <w:rsid w:val="006F116B"/>
    <w:rsid w:val="006F117F"/>
    <w:rsid w:val="006F13DF"/>
    <w:rsid w:val="006F1E66"/>
    <w:rsid w:val="00701CAD"/>
    <w:rsid w:val="00702F26"/>
    <w:rsid w:val="0070313E"/>
    <w:rsid w:val="00703799"/>
    <w:rsid w:val="00704DFB"/>
    <w:rsid w:val="00705C5C"/>
    <w:rsid w:val="0070785F"/>
    <w:rsid w:val="00711475"/>
    <w:rsid w:val="00715046"/>
    <w:rsid w:val="0072548A"/>
    <w:rsid w:val="007277A6"/>
    <w:rsid w:val="007437AB"/>
    <w:rsid w:val="00751E80"/>
    <w:rsid w:val="007534F8"/>
    <w:rsid w:val="007545AD"/>
    <w:rsid w:val="00763722"/>
    <w:rsid w:val="00764BC1"/>
    <w:rsid w:val="00770869"/>
    <w:rsid w:val="007737EB"/>
    <w:rsid w:val="007738AA"/>
    <w:rsid w:val="00780A62"/>
    <w:rsid w:val="00783241"/>
    <w:rsid w:val="007838EC"/>
    <w:rsid w:val="00784BDC"/>
    <w:rsid w:val="00792F28"/>
    <w:rsid w:val="0079543F"/>
    <w:rsid w:val="00795880"/>
    <w:rsid w:val="007A4367"/>
    <w:rsid w:val="007B0867"/>
    <w:rsid w:val="007B1AC1"/>
    <w:rsid w:val="007B3D1A"/>
    <w:rsid w:val="007B5A08"/>
    <w:rsid w:val="007B5F30"/>
    <w:rsid w:val="007B693D"/>
    <w:rsid w:val="007D2772"/>
    <w:rsid w:val="007D6DFF"/>
    <w:rsid w:val="007E041B"/>
    <w:rsid w:val="007E199A"/>
    <w:rsid w:val="007E2415"/>
    <w:rsid w:val="007E39F3"/>
    <w:rsid w:val="007E68F4"/>
    <w:rsid w:val="007F31BA"/>
    <w:rsid w:val="007F3347"/>
    <w:rsid w:val="007F4078"/>
    <w:rsid w:val="0080014B"/>
    <w:rsid w:val="00801034"/>
    <w:rsid w:val="00801793"/>
    <w:rsid w:val="00803642"/>
    <w:rsid w:val="00803C3F"/>
    <w:rsid w:val="00803FE9"/>
    <w:rsid w:val="00806EA2"/>
    <w:rsid w:val="00812A2B"/>
    <w:rsid w:val="00814A4C"/>
    <w:rsid w:val="0081789A"/>
    <w:rsid w:val="00831AAB"/>
    <w:rsid w:val="0083574E"/>
    <w:rsid w:val="0083640C"/>
    <w:rsid w:val="0084157B"/>
    <w:rsid w:val="00842BFB"/>
    <w:rsid w:val="008434A7"/>
    <w:rsid w:val="008463E5"/>
    <w:rsid w:val="00846B85"/>
    <w:rsid w:val="00847DC3"/>
    <w:rsid w:val="00847F49"/>
    <w:rsid w:val="008535C5"/>
    <w:rsid w:val="00853765"/>
    <w:rsid w:val="0085516F"/>
    <w:rsid w:val="008573F6"/>
    <w:rsid w:val="00861278"/>
    <w:rsid w:val="0086373F"/>
    <w:rsid w:val="008641E3"/>
    <w:rsid w:val="00867186"/>
    <w:rsid w:val="00867C29"/>
    <w:rsid w:val="00870AF6"/>
    <w:rsid w:val="00877B94"/>
    <w:rsid w:val="00881268"/>
    <w:rsid w:val="0088394A"/>
    <w:rsid w:val="008860BD"/>
    <w:rsid w:val="00887073"/>
    <w:rsid w:val="00887399"/>
    <w:rsid w:val="0088779E"/>
    <w:rsid w:val="008912AF"/>
    <w:rsid w:val="00892114"/>
    <w:rsid w:val="00892CB9"/>
    <w:rsid w:val="008935CB"/>
    <w:rsid w:val="008935FE"/>
    <w:rsid w:val="008A0953"/>
    <w:rsid w:val="008B0E7E"/>
    <w:rsid w:val="008B4B91"/>
    <w:rsid w:val="008B5FF0"/>
    <w:rsid w:val="008B65BD"/>
    <w:rsid w:val="008B7900"/>
    <w:rsid w:val="008C4A21"/>
    <w:rsid w:val="008C71BF"/>
    <w:rsid w:val="008C7FE0"/>
    <w:rsid w:val="008D5717"/>
    <w:rsid w:val="008E44A9"/>
    <w:rsid w:val="008E6B4D"/>
    <w:rsid w:val="008E6BFF"/>
    <w:rsid w:val="008F21AF"/>
    <w:rsid w:val="008F2400"/>
    <w:rsid w:val="008F2583"/>
    <w:rsid w:val="008F61BA"/>
    <w:rsid w:val="008F6E3C"/>
    <w:rsid w:val="008F7C55"/>
    <w:rsid w:val="00901E50"/>
    <w:rsid w:val="00902F21"/>
    <w:rsid w:val="0090338C"/>
    <w:rsid w:val="00914A23"/>
    <w:rsid w:val="00915A58"/>
    <w:rsid w:val="00930754"/>
    <w:rsid w:val="00931164"/>
    <w:rsid w:val="00934F68"/>
    <w:rsid w:val="009355AC"/>
    <w:rsid w:val="00935933"/>
    <w:rsid w:val="00935F38"/>
    <w:rsid w:val="00937586"/>
    <w:rsid w:val="00947889"/>
    <w:rsid w:val="0095588A"/>
    <w:rsid w:val="00956FF1"/>
    <w:rsid w:val="00960E98"/>
    <w:rsid w:val="00963A82"/>
    <w:rsid w:val="00972912"/>
    <w:rsid w:val="00972CA0"/>
    <w:rsid w:val="00976D1F"/>
    <w:rsid w:val="00981C81"/>
    <w:rsid w:val="00992209"/>
    <w:rsid w:val="009930CD"/>
    <w:rsid w:val="009A2D24"/>
    <w:rsid w:val="009A456C"/>
    <w:rsid w:val="009A4B24"/>
    <w:rsid w:val="009B00E0"/>
    <w:rsid w:val="009B292A"/>
    <w:rsid w:val="009B76D5"/>
    <w:rsid w:val="009C165D"/>
    <w:rsid w:val="009C37F7"/>
    <w:rsid w:val="009C3CEA"/>
    <w:rsid w:val="009C583D"/>
    <w:rsid w:val="009D2611"/>
    <w:rsid w:val="009D79D2"/>
    <w:rsid w:val="009E1401"/>
    <w:rsid w:val="009E247C"/>
    <w:rsid w:val="009E31BA"/>
    <w:rsid w:val="009E36AE"/>
    <w:rsid w:val="009E3BDE"/>
    <w:rsid w:val="009F0528"/>
    <w:rsid w:val="009F0806"/>
    <w:rsid w:val="009F0B47"/>
    <w:rsid w:val="009F233B"/>
    <w:rsid w:val="00A05D16"/>
    <w:rsid w:val="00A0659F"/>
    <w:rsid w:val="00A079BA"/>
    <w:rsid w:val="00A20374"/>
    <w:rsid w:val="00A33875"/>
    <w:rsid w:val="00A360A1"/>
    <w:rsid w:val="00A3630F"/>
    <w:rsid w:val="00A402B3"/>
    <w:rsid w:val="00A544B7"/>
    <w:rsid w:val="00A618CF"/>
    <w:rsid w:val="00A62770"/>
    <w:rsid w:val="00A62EEB"/>
    <w:rsid w:val="00A660FF"/>
    <w:rsid w:val="00A6625A"/>
    <w:rsid w:val="00A711E9"/>
    <w:rsid w:val="00A73395"/>
    <w:rsid w:val="00A82B4C"/>
    <w:rsid w:val="00A83EBB"/>
    <w:rsid w:val="00A846F0"/>
    <w:rsid w:val="00A93A4C"/>
    <w:rsid w:val="00A94D5D"/>
    <w:rsid w:val="00AA1D9B"/>
    <w:rsid w:val="00AA2543"/>
    <w:rsid w:val="00AA3804"/>
    <w:rsid w:val="00AA55C2"/>
    <w:rsid w:val="00AB0ACA"/>
    <w:rsid w:val="00AB0F78"/>
    <w:rsid w:val="00AB108F"/>
    <w:rsid w:val="00AB1D41"/>
    <w:rsid w:val="00AB3587"/>
    <w:rsid w:val="00AC5E9A"/>
    <w:rsid w:val="00AC704B"/>
    <w:rsid w:val="00AD35A7"/>
    <w:rsid w:val="00AD553E"/>
    <w:rsid w:val="00AD5848"/>
    <w:rsid w:val="00AE5ADA"/>
    <w:rsid w:val="00AF6145"/>
    <w:rsid w:val="00AF6F1D"/>
    <w:rsid w:val="00B01386"/>
    <w:rsid w:val="00B01BB5"/>
    <w:rsid w:val="00B042F0"/>
    <w:rsid w:val="00B04886"/>
    <w:rsid w:val="00B04AF4"/>
    <w:rsid w:val="00B05214"/>
    <w:rsid w:val="00B0736F"/>
    <w:rsid w:val="00B30D97"/>
    <w:rsid w:val="00B31738"/>
    <w:rsid w:val="00B3181A"/>
    <w:rsid w:val="00B35A7C"/>
    <w:rsid w:val="00B36372"/>
    <w:rsid w:val="00B450D1"/>
    <w:rsid w:val="00B529F2"/>
    <w:rsid w:val="00B53D47"/>
    <w:rsid w:val="00B54A25"/>
    <w:rsid w:val="00B618C3"/>
    <w:rsid w:val="00B63652"/>
    <w:rsid w:val="00B668B0"/>
    <w:rsid w:val="00B70F5C"/>
    <w:rsid w:val="00B71873"/>
    <w:rsid w:val="00B7375D"/>
    <w:rsid w:val="00B75AE5"/>
    <w:rsid w:val="00B800C0"/>
    <w:rsid w:val="00B8132B"/>
    <w:rsid w:val="00B8443E"/>
    <w:rsid w:val="00B84C5A"/>
    <w:rsid w:val="00B858F5"/>
    <w:rsid w:val="00B85ADA"/>
    <w:rsid w:val="00B873E7"/>
    <w:rsid w:val="00B93668"/>
    <w:rsid w:val="00B969D8"/>
    <w:rsid w:val="00BA6540"/>
    <w:rsid w:val="00BA68C6"/>
    <w:rsid w:val="00BB12F1"/>
    <w:rsid w:val="00BB276E"/>
    <w:rsid w:val="00BB3FEE"/>
    <w:rsid w:val="00BB5EB0"/>
    <w:rsid w:val="00BB7A27"/>
    <w:rsid w:val="00BC1CE1"/>
    <w:rsid w:val="00BC245A"/>
    <w:rsid w:val="00BC340C"/>
    <w:rsid w:val="00BC5E3F"/>
    <w:rsid w:val="00BD087F"/>
    <w:rsid w:val="00BD16FA"/>
    <w:rsid w:val="00BD2BFD"/>
    <w:rsid w:val="00BD41C3"/>
    <w:rsid w:val="00BD488B"/>
    <w:rsid w:val="00BD7CCC"/>
    <w:rsid w:val="00BE002A"/>
    <w:rsid w:val="00BE1BC9"/>
    <w:rsid w:val="00BE5CDA"/>
    <w:rsid w:val="00BE608F"/>
    <w:rsid w:val="00BF23BB"/>
    <w:rsid w:val="00BF33DD"/>
    <w:rsid w:val="00BF5755"/>
    <w:rsid w:val="00BF684B"/>
    <w:rsid w:val="00C016F3"/>
    <w:rsid w:val="00C01754"/>
    <w:rsid w:val="00C068E9"/>
    <w:rsid w:val="00C07283"/>
    <w:rsid w:val="00C15193"/>
    <w:rsid w:val="00C15609"/>
    <w:rsid w:val="00C15F6A"/>
    <w:rsid w:val="00C23EA7"/>
    <w:rsid w:val="00C256F3"/>
    <w:rsid w:val="00C26329"/>
    <w:rsid w:val="00C270A2"/>
    <w:rsid w:val="00C315B5"/>
    <w:rsid w:val="00C32D3A"/>
    <w:rsid w:val="00C354ED"/>
    <w:rsid w:val="00C35E28"/>
    <w:rsid w:val="00C426AF"/>
    <w:rsid w:val="00C464C5"/>
    <w:rsid w:val="00C469C1"/>
    <w:rsid w:val="00C50659"/>
    <w:rsid w:val="00C51B39"/>
    <w:rsid w:val="00C5338A"/>
    <w:rsid w:val="00C54EF9"/>
    <w:rsid w:val="00C56BBF"/>
    <w:rsid w:val="00C572AA"/>
    <w:rsid w:val="00C5733D"/>
    <w:rsid w:val="00C57A9A"/>
    <w:rsid w:val="00C6016A"/>
    <w:rsid w:val="00C60B3F"/>
    <w:rsid w:val="00C623EB"/>
    <w:rsid w:val="00C6258A"/>
    <w:rsid w:val="00C64C6B"/>
    <w:rsid w:val="00C65138"/>
    <w:rsid w:val="00C66F2E"/>
    <w:rsid w:val="00C67833"/>
    <w:rsid w:val="00C6785C"/>
    <w:rsid w:val="00C70B88"/>
    <w:rsid w:val="00C70FD1"/>
    <w:rsid w:val="00C733AA"/>
    <w:rsid w:val="00C81EAA"/>
    <w:rsid w:val="00C83027"/>
    <w:rsid w:val="00C84B8A"/>
    <w:rsid w:val="00C85E65"/>
    <w:rsid w:val="00C87CA1"/>
    <w:rsid w:val="00C911B4"/>
    <w:rsid w:val="00C91B3B"/>
    <w:rsid w:val="00C94262"/>
    <w:rsid w:val="00C976E1"/>
    <w:rsid w:val="00CA148E"/>
    <w:rsid w:val="00CA300C"/>
    <w:rsid w:val="00CA3A9A"/>
    <w:rsid w:val="00CB6BC1"/>
    <w:rsid w:val="00CB7021"/>
    <w:rsid w:val="00CC63A6"/>
    <w:rsid w:val="00CD3294"/>
    <w:rsid w:val="00CD4524"/>
    <w:rsid w:val="00CD784D"/>
    <w:rsid w:val="00CD7FE1"/>
    <w:rsid w:val="00CE20B6"/>
    <w:rsid w:val="00CE2D08"/>
    <w:rsid w:val="00CF1C79"/>
    <w:rsid w:val="00CF40F8"/>
    <w:rsid w:val="00D008DA"/>
    <w:rsid w:val="00D01229"/>
    <w:rsid w:val="00D0416F"/>
    <w:rsid w:val="00D044B5"/>
    <w:rsid w:val="00D05851"/>
    <w:rsid w:val="00D10FED"/>
    <w:rsid w:val="00D11736"/>
    <w:rsid w:val="00D12EE8"/>
    <w:rsid w:val="00D15FF1"/>
    <w:rsid w:val="00D167F4"/>
    <w:rsid w:val="00D2092A"/>
    <w:rsid w:val="00D20BBF"/>
    <w:rsid w:val="00D22065"/>
    <w:rsid w:val="00D2216D"/>
    <w:rsid w:val="00D31A6F"/>
    <w:rsid w:val="00D33293"/>
    <w:rsid w:val="00D353D1"/>
    <w:rsid w:val="00D35A7E"/>
    <w:rsid w:val="00D367DB"/>
    <w:rsid w:val="00D36E05"/>
    <w:rsid w:val="00D379F8"/>
    <w:rsid w:val="00D44F27"/>
    <w:rsid w:val="00D45304"/>
    <w:rsid w:val="00D461C7"/>
    <w:rsid w:val="00D463C1"/>
    <w:rsid w:val="00D50424"/>
    <w:rsid w:val="00D55760"/>
    <w:rsid w:val="00D57D3E"/>
    <w:rsid w:val="00D60B79"/>
    <w:rsid w:val="00D65191"/>
    <w:rsid w:val="00D825DA"/>
    <w:rsid w:val="00D843F4"/>
    <w:rsid w:val="00D90E33"/>
    <w:rsid w:val="00DA4A21"/>
    <w:rsid w:val="00DA77DB"/>
    <w:rsid w:val="00DB5B14"/>
    <w:rsid w:val="00DC23CF"/>
    <w:rsid w:val="00DC2B85"/>
    <w:rsid w:val="00DC6562"/>
    <w:rsid w:val="00DD1CF9"/>
    <w:rsid w:val="00DD5F69"/>
    <w:rsid w:val="00DE130D"/>
    <w:rsid w:val="00DE24CF"/>
    <w:rsid w:val="00DE407C"/>
    <w:rsid w:val="00DE4BC5"/>
    <w:rsid w:val="00DE7C7D"/>
    <w:rsid w:val="00DF072E"/>
    <w:rsid w:val="00DF158A"/>
    <w:rsid w:val="00DF2992"/>
    <w:rsid w:val="00DF2A55"/>
    <w:rsid w:val="00DF2D0C"/>
    <w:rsid w:val="00DF3EE5"/>
    <w:rsid w:val="00DF67AB"/>
    <w:rsid w:val="00E01B9D"/>
    <w:rsid w:val="00E04F5E"/>
    <w:rsid w:val="00E0522E"/>
    <w:rsid w:val="00E120F4"/>
    <w:rsid w:val="00E155F9"/>
    <w:rsid w:val="00E156BA"/>
    <w:rsid w:val="00E17172"/>
    <w:rsid w:val="00E216A0"/>
    <w:rsid w:val="00E24738"/>
    <w:rsid w:val="00E3181C"/>
    <w:rsid w:val="00E3280A"/>
    <w:rsid w:val="00E372AF"/>
    <w:rsid w:val="00E37D68"/>
    <w:rsid w:val="00E40EAE"/>
    <w:rsid w:val="00E42114"/>
    <w:rsid w:val="00E436AC"/>
    <w:rsid w:val="00E44FF8"/>
    <w:rsid w:val="00E5066A"/>
    <w:rsid w:val="00E52CF9"/>
    <w:rsid w:val="00E55970"/>
    <w:rsid w:val="00E63F34"/>
    <w:rsid w:val="00E6715A"/>
    <w:rsid w:val="00E75DC9"/>
    <w:rsid w:val="00E81610"/>
    <w:rsid w:val="00E84910"/>
    <w:rsid w:val="00E85B28"/>
    <w:rsid w:val="00E91976"/>
    <w:rsid w:val="00E947A6"/>
    <w:rsid w:val="00E97FC7"/>
    <w:rsid w:val="00EA0690"/>
    <w:rsid w:val="00EA3956"/>
    <w:rsid w:val="00EA5571"/>
    <w:rsid w:val="00EB17A9"/>
    <w:rsid w:val="00EC02A5"/>
    <w:rsid w:val="00EC176B"/>
    <w:rsid w:val="00EC3153"/>
    <w:rsid w:val="00EC33CD"/>
    <w:rsid w:val="00EC4FAD"/>
    <w:rsid w:val="00EC5BE5"/>
    <w:rsid w:val="00ED2650"/>
    <w:rsid w:val="00ED319D"/>
    <w:rsid w:val="00ED721A"/>
    <w:rsid w:val="00EE393D"/>
    <w:rsid w:val="00EE7EC5"/>
    <w:rsid w:val="00EF01CF"/>
    <w:rsid w:val="00EF6A66"/>
    <w:rsid w:val="00EF7AF9"/>
    <w:rsid w:val="00F01495"/>
    <w:rsid w:val="00F01EE6"/>
    <w:rsid w:val="00F04C59"/>
    <w:rsid w:val="00F10138"/>
    <w:rsid w:val="00F12DF4"/>
    <w:rsid w:val="00F13F92"/>
    <w:rsid w:val="00F16447"/>
    <w:rsid w:val="00F22ECA"/>
    <w:rsid w:val="00F240E8"/>
    <w:rsid w:val="00F244FA"/>
    <w:rsid w:val="00F273AA"/>
    <w:rsid w:val="00F3363A"/>
    <w:rsid w:val="00F34156"/>
    <w:rsid w:val="00F366A2"/>
    <w:rsid w:val="00F44F43"/>
    <w:rsid w:val="00F450E1"/>
    <w:rsid w:val="00F45BBF"/>
    <w:rsid w:val="00F50DF4"/>
    <w:rsid w:val="00F57AFE"/>
    <w:rsid w:val="00F6170B"/>
    <w:rsid w:val="00F6278E"/>
    <w:rsid w:val="00F63C41"/>
    <w:rsid w:val="00F63E96"/>
    <w:rsid w:val="00F701E3"/>
    <w:rsid w:val="00F715F0"/>
    <w:rsid w:val="00F71F8C"/>
    <w:rsid w:val="00F80362"/>
    <w:rsid w:val="00F8143B"/>
    <w:rsid w:val="00F836DD"/>
    <w:rsid w:val="00F8627C"/>
    <w:rsid w:val="00F86AD4"/>
    <w:rsid w:val="00F92EE4"/>
    <w:rsid w:val="00FA0113"/>
    <w:rsid w:val="00FA12B2"/>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24A5"/>
    <w:rsid w:val="00FE31E5"/>
    <w:rsid w:val="00FE4D8B"/>
    <w:rsid w:val="00FF18EC"/>
    <w:rsid w:val="00FF19AD"/>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3698</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Panagidou  Loukia</cp:lastModifiedBy>
  <cp:revision>176</cp:revision>
  <cp:lastPrinted>2022-10-13T06:38:00Z</cp:lastPrinted>
  <dcterms:created xsi:type="dcterms:W3CDTF">2022-06-09T08:02:00Z</dcterms:created>
  <dcterms:modified xsi:type="dcterms:W3CDTF">2023-06-16T06:45:00Z</dcterms:modified>
</cp:coreProperties>
</file>