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7D88" w14:textId="77777777" w:rsidR="00A67570" w:rsidRDefault="00A67570" w:rsidP="00FD0E68">
      <w:pPr>
        <w:tabs>
          <w:tab w:val="left" w:pos="1080"/>
          <w:tab w:val="left" w:pos="7088"/>
        </w:tabs>
        <w:rPr>
          <w:rFonts w:ascii="Verdana" w:eastAsia="Malgun Gothic" w:hAnsi="Verdana" w:cs="Arial"/>
          <w:sz w:val="18"/>
          <w:szCs w:val="18"/>
        </w:rPr>
      </w:pPr>
    </w:p>
    <w:p w14:paraId="7C126AC9" w14:textId="77777777" w:rsidR="00A67570" w:rsidRDefault="00A67570" w:rsidP="00FD0E68">
      <w:pPr>
        <w:tabs>
          <w:tab w:val="left" w:pos="1080"/>
          <w:tab w:val="left" w:pos="7088"/>
        </w:tabs>
        <w:rPr>
          <w:rFonts w:ascii="Verdana" w:eastAsia="Malgun Gothic" w:hAnsi="Verdana" w:cs="Arial"/>
          <w:sz w:val="18"/>
          <w:szCs w:val="18"/>
        </w:rPr>
      </w:pPr>
    </w:p>
    <w:p w14:paraId="21D9D077" w14:textId="64E10ADC" w:rsidR="00A67570" w:rsidRPr="00761ACF" w:rsidRDefault="00A67570" w:rsidP="00A67570">
      <w:pPr>
        <w:tabs>
          <w:tab w:val="left" w:pos="1080"/>
          <w:tab w:val="left" w:pos="7088"/>
        </w:tabs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  </w:t>
      </w:r>
      <w:r w:rsidR="00A45F07" w:rsidRPr="00761ACF">
        <w:rPr>
          <w:rFonts w:ascii="Verdana" w:eastAsia="Malgun Gothic" w:hAnsi="Verdana" w:cs="Arial"/>
          <w:sz w:val="18"/>
          <w:szCs w:val="18"/>
        </w:rPr>
        <w:t>5</w:t>
      </w:r>
      <w:r>
        <w:rPr>
          <w:rFonts w:ascii="Verdana" w:eastAsia="Malgun Gothic" w:hAnsi="Verdana" w:cs="Arial"/>
          <w:sz w:val="18"/>
          <w:szCs w:val="18"/>
        </w:rPr>
        <w:t xml:space="preserve"> July, 202</w:t>
      </w:r>
      <w:r w:rsidR="00A45F07" w:rsidRPr="00761ACF">
        <w:rPr>
          <w:rFonts w:ascii="Verdana" w:eastAsia="Malgun Gothic" w:hAnsi="Verdana" w:cs="Arial"/>
          <w:sz w:val="18"/>
          <w:szCs w:val="18"/>
        </w:rPr>
        <w:t>2</w:t>
      </w:r>
    </w:p>
    <w:p w14:paraId="3C1F261E" w14:textId="77777777" w:rsidR="00A67570" w:rsidRDefault="00A67570" w:rsidP="00A67570">
      <w:pPr>
        <w:tabs>
          <w:tab w:val="left" w:pos="776"/>
          <w:tab w:val="right" w:pos="9498"/>
        </w:tabs>
        <w:rPr>
          <w:rFonts w:ascii="Verdana" w:eastAsia="Malgun Gothic" w:hAnsi="Verdana" w:cs="Arial"/>
          <w:sz w:val="18"/>
          <w:szCs w:val="18"/>
        </w:rPr>
      </w:pPr>
    </w:p>
    <w:p w14:paraId="12063248" w14:textId="77777777" w:rsidR="00A67570" w:rsidRDefault="00A67570" w:rsidP="00A67570">
      <w:pPr>
        <w:tabs>
          <w:tab w:val="right" w:pos="9498"/>
        </w:tabs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12C39E6B" w14:textId="77777777" w:rsidR="00A67570" w:rsidRDefault="00A67570" w:rsidP="00A67570">
      <w:pPr>
        <w:tabs>
          <w:tab w:val="right" w:pos="9498"/>
        </w:tabs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5A1336D" w14:textId="77777777" w:rsidR="00A67570" w:rsidRDefault="00A67570" w:rsidP="00A67570">
      <w:pPr>
        <w:pStyle w:val="BodyText"/>
        <w:tabs>
          <w:tab w:val="right" w:pos="9498"/>
        </w:tabs>
        <w:jc w:val="center"/>
        <w:rPr>
          <w:rFonts w:ascii="Verdana" w:hAnsi="Verdana"/>
          <w:szCs w:val="22"/>
          <w:u w:val="single"/>
          <w:lang w:val="en-US"/>
        </w:rPr>
      </w:pPr>
    </w:p>
    <w:p w14:paraId="443EE485" w14:textId="1EAE300E" w:rsidR="00A67570" w:rsidRPr="00A45F07" w:rsidRDefault="00A67570" w:rsidP="00A67570">
      <w:pPr>
        <w:pStyle w:val="BodyText"/>
        <w:tabs>
          <w:tab w:val="right" w:pos="9498"/>
        </w:tabs>
        <w:jc w:val="center"/>
        <w:rPr>
          <w:rFonts w:ascii="Verdana" w:hAnsi="Verdana"/>
          <w:b/>
          <w:szCs w:val="22"/>
          <w:u w:val="single"/>
          <w:lang w:val="en-US"/>
        </w:rPr>
      </w:pPr>
      <w:r>
        <w:rPr>
          <w:rFonts w:ascii="Verdana" w:hAnsi="Verdana"/>
          <w:szCs w:val="22"/>
          <w:u w:val="single"/>
          <w:lang w:val="en-US"/>
        </w:rPr>
        <w:t>RESULTS OF THE WHOLESALE AND RETAIL TRADE SURVEY 20</w:t>
      </w:r>
      <w:r w:rsidR="00A45F07" w:rsidRPr="00A45F07">
        <w:rPr>
          <w:rFonts w:ascii="Verdana" w:hAnsi="Verdana"/>
          <w:szCs w:val="22"/>
          <w:u w:val="single"/>
          <w:lang w:val="en-US"/>
        </w:rPr>
        <w:t>20</w:t>
      </w:r>
    </w:p>
    <w:p w14:paraId="3BD188F9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0809D4F" w14:textId="5170CD69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According to the results of the Wholesale and Retail Trade Survey, the main aggregates of the trade sector in 20</w:t>
      </w:r>
      <w:r w:rsidR="00A45F07" w:rsidRPr="00A45F07">
        <w:rPr>
          <w:rFonts w:ascii="Verdana" w:hAnsi="Verdana" w:cs="Arial"/>
          <w:sz w:val="18"/>
          <w:szCs w:val="18"/>
        </w:rPr>
        <w:t>20</w:t>
      </w:r>
      <w:r>
        <w:rPr>
          <w:rFonts w:ascii="Verdana" w:hAnsi="Verdana" w:cs="Arial"/>
          <w:sz w:val="18"/>
          <w:szCs w:val="18"/>
        </w:rPr>
        <w:t xml:space="preserve"> registered a </w:t>
      </w:r>
      <w:r w:rsidR="00A45F07">
        <w:rPr>
          <w:rFonts w:ascii="Verdana" w:hAnsi="Verdana" w:cs="Arial"/>
          <w:sz w:val="18"/>
          <w:szCs w:val="18"/>
        </w:rPr>
        <w:t>negative</w:t>
      </w:r>
      <w:r>
        <w:rPr>
          <w:rFonts w:ascii="Verdana" w:hAnsi="Verdana" w:cs="Arial"/>
          <w:sz w:val="18"/>
          <w:szCs w:val="18"/>
        </w:rPr>
        <w:t xml:space="preserve"> growth rate compared to 201</w:t>
      </w:r>
      <w:r w:rsidR="00A45F07" w:rsidRPr="00A45F07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.</w:t>
      </w:r>
    </w:p>
    <w:p w14:paraId="111FCC46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0BEC548D" w14:textId="133DC31B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particular, turnover in the broad trade sector </w:t>
      </w:r>
      <w:r w:rsidR="00A45F07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creased in 20</w:t>
      </w:r>
      <w:r w:rsidR="00A45F07" w:rsidRPr="00A45F07">
        <w:rPr>
          <w:rFonts w:ascii="Verdana" w:hAnsi="Verdana" w:cs="Arial"/>
          <w:sz w:val="18"/>
          <w:szCs w:val="18"/>
        </w:rPr>
        <w:t>20</w:t>
      </w:r>
      <w:r>
        <w:rPr>
          <w:rFonts w:ascii="Verdana" w:hAnsi="Verdana" w:cs="Arial"/>
          <w:sz w:val="18"/>
          <w:szCs w:val="18"/>
        </w:rPr>
        <w:t xml:space="preserve"> by </w:t>
      </w:r>
      <w:r w:rsidR="00A45F07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>% to €</w:t>
      </w:r>
      <w:bookmarkStart w:id="0" w:name="_Hlk76027616"/>
      <w:r>
        <w:rPr>
          <w:rFonts w:ascii="Verdana" w:hAnsi="Verdana" w:cs="Arial"/>
          <w:sz w:val="18"/>
          <w:szCs w:val="18"/>
        </w:rPr>
        <w:t>1</w:t>
      </w:r>
      <w:r w:rsidR="00A45F07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.</w:t>
      </w:r>
      <w:r w:rsidR="00A45F07">
        <w:rPr>
          <w:rFonts w:ascii="Verdana" w:hAnsi="Verdana" w:cs="Arial"/>
          <w:sz w:val="18"/>
          <w:szCs w:val="18"/>
        </w:rPr>
        <w:t>673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</w:t>
      </w:r>
      <w:bookmarkEnd w:id="0"/>
      <w:r>
        <w:rPr>
          <w:rFonts w:ascii="Verdana" w:hAnsi="Verdana" w:cs="Arial"/>
          <w:sz w:val="18"/>
          <w:szCs w:val="18"/>
        </w:rPr>
        <w:t>million compared to €13.</w:t>
      </w:r>
      <w:r w:rsidR="00FD0E68" w:rsidRPr="00FD0E68">
        <w:rPr>
          <w:rFonts w:ascii="Verdana" w:hAnsi="Verdana" w:cs="Arial"/>
          <w:sz w:val="18"/>
          <w:szCs w:val="18"/>
        </w:rPr>
        <w:t>319</w:t>
      </w:r>
      <w:r>
        <w:rPr>
          <w:rFonts w:ascii="Verdana" w:hAnsi="Verdana" w:cs="Arial"/>
          <w:sz w:val="18"/>
          <w:szCs w:val="18"/>
        </w:rPr>
        <w:t>,</w:t>
      </w:r>
      <w:r w:rsidR="00FD0E68" w:rsidRPr="00FD0E68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 million in 201</w:t>
      </w:r>
      <w:r w:rsidR="00A45F07" w:rsidRPr="00A45F07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 xml:space="preserve">. At division level, in wholesale and retail trade and repair of motor vehicles and motorcycles turnover </w:t>
      </w:r>
      <w:r w:rsidR="00A45F07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creased by </w:t>
      </w:r>
      <w:r w:rsidR="00A45F07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% to €9</w:t>
      </w:r>
      <w:r w:rsidR="00A45F07">
        <w:rPr>
          <w:rFonts w:ascii="Verdana" w:hAnsi="Verdana" w:cs="Arial"/>
          <w:sz w:val="18"/>
          <w:szCs w:val="18"/>
        </w:rPr>
        <w:t>06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 million, in wholesale trade by </w:t>
      </w:r>
      <w:r w:rsidR="00A45F07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>% to €</w:t>
      </w:r>
      <w:r w:rsidR="00A45F07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.</w:t>
      </w:r>
      <w:r w:rsidR="00A45F07">
        <w:rPr>
          <w:rFonts w:ascii="Verdana" w:hAnsi="Verdana" w:cs="Arial"/>
          <w:sz w:val="18"/>
          <w:szCs w:val="18"/>
        </w:rPr>
        <w:t>872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 xml:space="preserve"> million and in retail trade by </w:t>
      </w:r>
      <w:r w:rsidR="00A45F07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% to €</w:t>
      </w:r>
      <w:r w:rsidR="00A45F07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.</w:t>
      </w:r>
      <w:r w:rsidR="00A45F07">
        <w:rPr>
          <w:rFonts w:ascii="Verdana" w:hAnsi="Verdana" w:cs="Arial"/>
          <w:sz w:val="18"/>
          <w:szCs w:val="18"/>
        </w:rPr>
        <w:t>895</w:t>
      </w:r>
      <w:r>
        <w:rPr>
          <w:rFonts w:ascii="Verdana" w:hAnsi="Verdana" w:cs="Arial"/>
          <w:sz w:val="18"/>
          <w:szCs w:val="18"/>
        </w:rPr>
        <w:t>,2 million.</w:t>
      </w:r>
    </w:p>
    <w:p w14:paraId="047464C4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004A67E2" w14:textId="791BC60E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Production value in 20</w:t>
      </w:r>
      <w:r w:rsidR="00A45F07" w:rsidRPr="00A45F07">
        <w:rPr>
          <w:rFonts w:ascii="Verdana" w:hAnsi="Verdana" w:cs="Arial"/>
          <w:sz w:val="18"/>
          <w:szCs w:val="18"/>
        </w:rPr>
        <w:t>20</w:t>
      </w:r>
      <w:r>
        <w:rPr>
          <w:rFonts w:ascii="Verdana" w:hAnsi="Verdana" w:cs="Arial"/>
          <w:sz w:val="18"/>
          <w:szCs w:val="18"/>
        </w:rPr>
        <w:t xml:space="preserve"> reached €3.</w:t>
      </w:r>
      <w:r w:rsidR="00646C10">
        <w:rPr>
          <w:rFonts w:ascii="Verdana" w:hAnsi="Verdana" w:cs="Arial"/>
          <w:sz w:val="18"/>
          <w:szCs w:val="18"/>
        </w:rPr>
        <w:t>260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 xml:space="preserve"> million, registering a </w:t>
      </w:r>
      <w:r w:rsidR="00FD0E68">
        <w:rPr>
          <w:rFonts w:ascii="Verdana" w:hAnsi="Verdana" w:cs="Arial"/>
          <w:sz w:val="18"/>
          <w:szCs w:val="18"/>
        </w:rPr>
        <w:t>decrease</w:t>
      </w:r>
      <w:r>
        <w:rPr>
          <w:rFonts w:ascii="Verdana" w:hAnsi="Verdana" w:cs="Arial"/>
          <w:sz w:val="18"/>
          <w:szCs w:val="18"/>
        </w:rPr>
        <w:t xml:space="preserve"> of </w:t>
      </w:r>
      <w:r w:rsidR="00A45F07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A45F07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% over 201</w:t>
      </w:r>
      <w:r w:rsidR="00A45F07" w:rsidRPr="00A45F07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.</w:t>
      </w:r>
    </w:p>
    <w:p w14:paraId="417FF0D0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4463FBE" w14:textId="53C80C56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the whole of the trade sector, value added at current prices </w:t>
      </w:r>
      <w:r w:rsidR="004B32A3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creased by </w:t>
      </w:r>
      <w:r w:rsidR="004B32A3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,</w:t>
      </w:r>
      <w:r w:rsidR="004B32A3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% to €2.</w:t>
      </w:r>
      <w:r w:rsidR="00646C10">
        <w:rPr>
          <w:rFonts w:ascii="Verdana" w:hAnsi="Verdana" w:cs="Arial"/>
          <w:sz w:val="18"/>
          <w:szCs w:val="18"/>
        </w:rPr>
        <w:t>072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million in 20</w:t>
      </w:r>
      <w:r w:rsidR="00646C10">
        <w:rPr>
          <w:rFonts w:ascii="Verdana" w:hAnsi="Verdana" w:cs="Arial"/>
          <w:sz w:val="18"/>
          <w:szCs w:val="18"/>
        </w:rPr>
        <w:t>20</w:t>
      </w:r>
      <w:r>
        <w:rPr>
          <w:rFonts w:ascii="Verdana" w:hAnsi="Verdana" w:cs="Arial"/>
          <w:sz w:val="18"/>
          <w:szCs w:val="18"/>
        </w:rPr>
        <w:t xml:space="preserve"> compared to €</w:t>
      </w:r>
      <w:r w:rsidR="00646C10">
        <w:rPr>
          <w:rFonts w:ascii="Verdana" w:hAnsi="Verdana" w:cs="Arial"/>
          <w:sz w:val="18"/>
          <w:szCs w:val="18"/>
        </w:rPr>
        <w:t xml:space="preserve">2.118,3 </w:t>
      </w:r>
      <w:r>
        <w:rPr>
          <w:rFonts w:ascii="Verdana" w:hAnsi="Verdana" w:cs="Arial"/>
          <w:sz w:val="18"/>
          <w:szCs w:val="18"/>
        </w:rPr>
        <w:t>million in 201</w:t>
      </w:r>
      <w:r w:rsidR="00646C10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 xml:space="preserve">. In wholesale and retail trade and repair of motor vehicles and motorcycles, value added </w:t>
      </w:r>
      <w:r w:rsidR="00646C10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creased by </w:t>
      </w:r>
      <w:r w:rsidR="00646C10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% to €1</w:t>
      </w:r>
      <w:r w:rsidR="00646C10">
        <w:rPr>
          <w:rFonts w:ascii="Verdana" w:hAnsi="Verdana" w:cs="Arial"/>
          <w:sz w:val="18"/>
          <w:szCs w:val="18"/>
        </w:rPr>
        <w:t>87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 million, in wholesale trade </w:t>
      </w:r>
      <w:r w:rsidR="00646C10">
        <w:rPr>
          <w:rFonts w:ascii="Verdana" w:hAnsi="Verdana" w:cs="Arial"/>
          <w:sz w:val="18"/>
          <w:szCs w:val="18"/>
        </w:rPr>
        <w:t xml:space="preserve">increased </w:t>
      </w:r>
      <w:r>
        <w:rPr>
          <w:rFonts w:ascii="Verdana" w:hAnsi="Verdana" w:cs="Arial"/>
          <w:sz w:val="18"/>
          <w:szCs w:val="18"/>
        </w:rPr>
        <w:t>by</w:t>
      </w:r>
      <w:r w:rsidR="00646C10">
        <w:rPr>
          <w:rFonts w:ascii="Verdana" w:hAnsi="Verdana" w:cs="Arial"/>
          <w:sz w:val="18"/>
          <w:szCs w:val="18"/>
        </w:rPr>
        <w:t xml:space="preserve"> 0</w:t>
      </w:r>
      <w:r>
        <w:rPr>
          <w:rFonts w:ascii="Verdana" w:hAnsi="Verdana" w:cs="Arial"/>
          <w:sz w:val="18"/>
          <w:szCs w:val="18"/>
        </w:rPr>
        <w:t>,</w:t>
      </w:r>
      <w:r w:rsidR="00B87C7E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% to €9</w:t>
      </w:r>
      <w:r w:rsidR="00646C10">
        <w:rPr>
          <w:rFonts w:ascii="Verdana" w:hAnsi="Verdana" w:cs="Arial"/>
          <w:sz w:val="18"/>
          <w:szCs w:val="18"/>
        </w:rPr>
        <w:t>22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 xml:space="preserve"> million and in retail trade </w:t>
      </w:r>
      <w:r w:rsidR="00646C10">
        <w:rPr>
          <w:rFonts w:ascii="Verdana" w:hAnsi="Verdana" w:cs="Arial"/>
          <w:sz w:val="18"/>
          <w:szCs w:val="18"/>
        </w:rPr>
        <w:t xml:space="preserve">decreased </w:t>
      </w:r>
      <w:r>
        <w:rPr>
          <w:rFonts w:ascii="Verdana" w:hAnsi="Verdana" w:cs="Arial"/>
          <w:sz w:val="18"/>
          <w:szCs w:val="18"/>
        </w:rPr>
        <w:t xml:space="preserve">by </w:t>
      </w:r>
      <w:r w:rsidR="00646C10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4B32A3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% to €</w:t>
      </w:r>
      <w:r w:rsidR="00646C10">
        <w:rPr>
          <w:rFonts w:ascii="Verdana" w:hAnsi="Verdana" w:cs="Arial"/>
          <w:sz w:val="18"/>
          <w:szCs w:val="18"/>
        </w:rPr>
        <w:t>963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 million.</w:t>
      </w:r>
    </w:p>
    <w:p w14:paraId="3CEB773B" w14:textId="77777777" w:rsidR="004B32A3" w:rsidRDefault="004B32A3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6083EA0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355781D4" w14:textId="7AE3CBA0" w:rsidR="00A67570" w:rsidRDefault="00A45F07" w:rsidP="00A67570">
      <w:pPr>
        <w:tabs>
          <w:tab w:val="right" w:pos="9498"/>
        </w:tabs>
        <w:jc w:val="center"/>
        <w:rPr>
          <w:rFonts w:ascii="Verdana" w:hAnsi="Verdana" w:cs="Arial"/>
          <w:sz w:val="18"/>
          <w:szCs w:val="18"/>
        </w:rPr>
      </w:pPr>
      <w:r>
        <w:rPr>
          <w:noProof/>
        </w:rPr>
        <w:drawing>
          <wp:inline distT="0" distB="0" distL="0" distR="0" wp14:anchorId="1007A3AD" wp14:editId="4CDF1219">
            <wp:extent cx="6088380" cy="3686810"/>
            <wp:effectExtent l="0" t="0" r="7620" b="889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C5FE02" w14:textId="77777777" w:rsidR="00A45F07" w:rsidRDefault="00A45F07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91C65AC" w14:textId="19A87E8D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Employment in the trade sector </w:t>
      </w:r>
      <w:r w:rsidR="00646C10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creased in 20</w:t>
      </w:r>
      <w:r w:rsidR="00646C10">
        <w:rPr>
          <w:rFonts w:ascii="Verdana" w:hAnsi="Verdana" w:cs="Arial"/>
          <w:sz w:val="18"/>
          <w:szCs w:val="18"/>
        </w:rPr>
        <w:t>20</w:t>
      </w:r>
      <w:r>
        <w:rPr>
          <w:rFonts w:ascii="Verdana" w:hAnsi="Verdana" w:cs="Arial"/>
          <w:sz w:val="18"/>
          <w:szCs w:val="18"/>
        </w:rPr>
        <w:t xml:space="preserve"> by 2,</w:t>
      </w:r>
      <w:r w:rsidR="00646C10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% to 7</w:t>
      </w:r>
      <w:r w:rsidR="00646C10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1</w:t>
      </w:r>
      <w:r>
        <w:rPr>
          <w:rFonts w:ascii="Verdana" w:hAnsi="Verdana" w:cs="Arial"/>
          <w:sz w:val="18"/>
          <w:szCs w:val="18"/>
        </w:rPr>
        <w:t xml:space="preserve"> thousand compared to 7</w:t>
      </w:r>
      <w:r w:rsidR="00646C10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 xml:space="preserve">6 </w:t>
      </w:r>
      <w:r>
        <w:rPr>
          <w:rFonts w:ascii="Verdana" w:hAnsi="Verdana" w:cs="Arial"/>
          <w:sz w:val="18"/>
          <w:szCs w:val="18"/>
        </w:rPr>
        <w:t>thousand in 201</w:t>
      </w:r>
      <w:r w:rsidR="00646C10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. In wholesale and retail trade and repair of motor vehicles and motorcycles employment reached 8,</w:t>
      </w:r>
      <w:r w:rsidR="00646C10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 xml:space="preserve"> thousand, in wholesale trade 24,</w:t>
      </w:r>
      <w:r w:rsidR="00646C10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 xml:space="preserve"> thousand and in retail trade </w:t>
      </w:r>
      <w:r w:rsidR="00646C10">
        <w:rPr>
          <w:rFonts w:ascii="Verdana" w:hAnsi="Verdana" w:cs="Arial"/>
          <w:sz w:val="18"/>
          <w:szCs w:val="18"/>
        </w:rPr>
        <w:t>38</w:t>
      </w:r>
      <w:r>
        <w:rPr>
          <w:rFonts w:ascii="Verdana" w:hAnsi="Verdana" w:cs="Arial"/>
          <w:sz w:val="18"/>
          <w:szCs w:val="18"/>
        </w:rPr>
        <w:t>,</w:t>
      </w:r>
      <w:r w:rsidR="00646C10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thousand persons.</w:t>
      </w:r>
    </w:p>
    <w:p w14:paraId="768E3BE5" w14:textId="499CBE5F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3803E3C5" w14:textId="0845BF68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6CCAD27" w14:textId="77777777" w:rsidR="00A67570" w:rsidRDefault="00A67570" w:rsidP="00A6757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940"/>
        <w:gridCol w:w="2860"/>
        <w:gridCol w:w="1060"/>
        <w:gridCol w:w="820"/>
        <w:gridCol w:w="1060"/>
        <w:gridCol w:w="820"/>
        <w:gridCol w:w="1060"/>
        <w:gridCol w:w="820"/>
      </w:tblGrid>
      <w:tr w:rsidR="00A45F07" w:rsidRPr="00A45F07" w14:paraId="69E942B3" w14:textId="77777777" w:rsidTr="00A45F07">
        <w:trPr>
          <w:trHeight w:val="315"/>
        </w:trPr>
        <w:tc>
          <w:tcPr>
            <w:tcW w:w="9440" w:type="dxa"/>
            <w:gridSpan w:val="8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bottom"/>
            <w:hideMark/>
          </w:tcPr>
          <w:p w14:paraId="58A91721" w14:textId="77777777" w:rsidR="00A45F07" w:rsidRPr="00A45F07" w:rsidRDefault="00A45F07" w:rsidP="00A45F07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Table</w:t>
            </w:r>
          </w:p>
        </w:tc>
      </w:tr>
      <w:tr w:rsidR="00A45F07" w:rsidRPr="00A45F07" w14:paraId="696F4C68" w14:textId="77777777" w:rsidTr="00A45F07">
        <w:trPr>
          <w:trHeight w:val="555"/>
        </w:trPr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34B0B494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NACE Rev. 2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A0C6CA7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Economic Activity</w:t>
            </w:r>
          </w:p>
        </w:tc>
        <w:tc>
          <w:tcPr>
            <w:tcW w:w="1880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9B1292B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Turnover</w:t>
            </w:r>
          </w:p>
        </w:tc>
        <w:tc>
          <w:tcPr>
            <w:tcW w:w="1880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2C85430B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Value Added at Current Prices</w:t>
            </w:r>
          </w:p>
        </w:tc>
        <w:tc>
          <w:tcPr>
            <w:tcW w:w="1880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0F69D078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Employment</w:t>
            </w:r>
          </w:p>
        </w:tc>
      </w:tr>
      <w:tr w:rsidR="00A45F07" w:rsidRPr="00A45F07" w14:paraId="33536BFB" w14:textId="77777777" w:rsidTr="00A45F07">
        <w:trPr>
          <w:trHeight w:val="420"/>
        </w:trPr>
        <w:tc>
          <w:tcPr>
            <w:tcW w:w="940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6DD31030" w14:textId="77777777" w:rsidR="00A45F07" w:rsidRPr="00A45F07" w:rsidRDefault="00A45F07" w:rsidP="00A45F07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5520FC8B" w14:textId="77777777" w:rsidR="00A45F07" w:rsidRPr="00A45F07" w:rsidRDefault="00A45F07" w:rsidP="00A45F07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D854B1E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 xml:space="preserve">€mn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D9FA9F2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%*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147800E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€mn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F087C72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%*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539ACF58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Number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5114A11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%*</w:t>
            </w:r>
          </w:p>
        </w:tc>
      </w:tr>
      <w:tr w:rsidR="00A45F07" w:rsidRPr="00A45F07" w14:paraId="04333FA1" w14:textId="77777777" w:rsidTr="00A45F07">
        <w:trPr>
          <w:trHeight w:val="9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5520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7768" w14:textId="77777777" w:rsidR="00A45F07" w:rsidRPr="00A45F07" w:rsidRDefault="00A45F07" w:rsidP="00A45F07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Wholesale and Retail Trade,</w:t>
            </w: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br/>
              <w:t>Repair of Motor Vehicles           and Motorcycles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8EE6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12.673,7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5CABD748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-4,8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DB2B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2.072,7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2DADDB0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-2,2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4CFB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72.127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FAD2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-2,0</w:t>
            </w:r>
          </w:p>
        </w:tc>
      </w:tr>
      <w:tr w:rsidR="00A45F07" w:rsidRPr="00A45F07" w14:paraId="30897EDD" w14:textId="77777777" w:rsidTr="00A45F07">
        <w:trPr>
          <w:trHeight w:val="9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C859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45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D567" w14:textId="77777777" w:rsidR="00A45F07" w:rsidRPr="00A45F07" w:rsidRDefault="00A45F07" w:rsidP="00A45F07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Wholesale and Retail Trade and Repair of Motor Vehicles and Motorcycles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D8671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906,3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556B7577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-7,5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3CF6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187,4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6DD5DF8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-3,9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BA33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8.817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1ED4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-0,7</w:t>
            </w:r>
          </w:p>
        </w:tc>
      </w:tr>
      <w:tr w:rsidR="00A45F07" w:rsidRPr="00A45F07" w14:paraId="76C02CF1" w14:textId="77777777" w:rsidTr="00A45F07">
        <w:trPr>
          <w:trHeight w:val="9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A194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C091" w14:textId="77777777" w:rsidR="00416E32" w:rsidRDefault="00A45F07" w:rsidP="00A45F07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 xml:space="preserve">Wholesale </w:t>
            </w:r>
            <w:r w:rsidR="00416E32"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Trade,</w:t>
            </w:r>
          </w:p>
          <w:p w14:paraId="69477491" w14:textId="54C64FCC" w:rsidR="00A45F07" w:rsidRPr="00A45F07" w:rsidRDefault="00A45F07" w:rsidP="00A45F07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except of Motor Vehicles         and Motorcycles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DBA7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5.872,2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3AA94F9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-5,8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1DF50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922,0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880C526" w14:textId="5A76C018" w:rsidR="00A45F07" w:rsidRPr="00B87C7E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0,</w:t>
            </w:r>
            <w:r w:rsidR="00B87C7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086A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24.629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9A89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-0,1</w:t>
            </w:r>
          </w:p>
        </w:tc>
      </w:tr>
      <w:tr w:rsidR="00A45F07" w:rsidRPr="00A45F07" w14:paraId="3A17D3E7" w14:textId="77777777" w:rsidTr="00A45F07">
        <w:trPr>
          <w:trHeight w:val="960"/>
        </w:trPr>
        <w:tc>
          <w:tcPr>
            <w:tcW w:w="94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5891C13" w14:textId="77777777" w:rsidR="00A45F07" w:rsidRPr="00A45F07" w:rsidRDefault="00A45F07" w:rsidP="00A45F07">
            <w:pPr>
              <w:jc w:val="center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3806EEED" w14:textId="77777777" w:rsidR="00A45F07" w:rsidRPr="00A45F07" w:rsidRDefault="00A45F07" w:rsidP="00A45F07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Retail Trade,</w:t>
            </w: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br/>
              <w:t>except of Motor Vehicles        and Motorcycles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D08D4C2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5.895,2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56D70E70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1351B130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963,3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0073164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EFE9095" w14:textId="77777777" w:rsidR="00A45F07" w:rsidRPr="00A45F07" w:rsidRDefault="00A45F07" w:rsidP="00A45F07">
            <w:pPr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38.681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36FD9A5E" w14:textId="77777777" w:rsidR="00A45F07" w:rsidRPr="00A45F07" w:rsidRDefault="00A45F07" w:rsidP="00A45F0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-3,4</w:t>
            </w:r>
          </w:p>
        </w:tc>
      </w:tr>
      <w:tr w:rsidR="00A45F07" w:rsidRPr="00A45F07" w14:paraId="60F98CEA" w14:textId="77777777" w:rsidTr="00A45F07">
        <w:trPr>
          <w:trHeight w:val="300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0E5" w14:textId="77777777" w:rsidR="00A45F07" w:rsidRPr="00A45F07" w:rsidRDefault="00A45F07" w:rsidP="00A45F07">
            <w:pPr>
              <w:rPr>
                <w:rFonts w:ascii="Verdana" w:eastAsia="Times New Roman" w:hAnsi="Verdana" w:cs="Calibri"/>
                <w:b/>
                <w:bCs/>
                <w:i/>
                <w:iCs/>
                <w:color w:val="365F91"/>
                <w:sz w:val="16"/>
                <w:szCs w:val="16"/>
                <w:lang w:val="en-CY" w:eastAsia="en-CY"/>
              </w:rPr>
            </w:pPr>
            <w:r w:rsidRPr="00A45F07">
              <w:rPr>
                <w:rFonts w:ascii="Verdana" w:eastAsia="Times New Roman" w:hAnsi="Verdana" w:cs="Calibri"/>
                <w:b/>
                <w:bCs/>
                <w:i/>
                <w:iCs/>
                <w:color w:val="365F91"/>
                <w:sz w:val="16"/>
                <w:szCs w:val="16"/>
                <w:lang w:val="en-CY" w:eastAsia="en-CY"/>
              </w:rPr>
              <w:t>* Annual percentage change of 2020 compared to 2019.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0213" w14:textId="77777777" w:rsidR="00A45F07" w:rsidRPr="00A45F07" w:rsidRDefault="00A45F07" w:rsidP="00A45F07">
            <w:pPr>
              <w:rPr>
                <w:rFonts w:ascii="Verdana" w:eastAsia="Times New Roman" w:hAnsi="Verdana" w:cs="Calibri"/>
                <w:b/>
                <w:bCs/>
                <w:i/>
                <w:iCs/>
                <w:color w:val="365F91"/>
                <w:sz w:val="16"/>
                <w:szCs w:val="16"/>
                <w:lang w:val="en-CY" w:eastAsia="en-CY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676C" w14:textId="77777777" w:rsidR="00A45F07" w:rsidRPr="00A45F07" w:rsidRDefault="00A45F07" w:rsidP="00A45F07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6FE1" w14:textId="77777777" w:rsidR="00A45F07" w:rsidRPr="00A45F07" w:rsidRDefault="00A45F07" w:rsidP="00A45F07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D5D1" w14:textId="77777777" w:rsidR="00A45F07" w:rsidRPr="00A45F07" w:rsidRDefault="00A45F07" w:rsidP="00A45F07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</w:tbl>
    <w:p w14:paraId="2C12E2E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  <w:lang w:val="en-CY"/>
        </w:rPr>
      </w:pPr>
    </w:p>
    <w:p w14:paraId="6B96E35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9BBE39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46E1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F50C18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1DDACFD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424F8F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AF2FF2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732A18D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C6C952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A21D4F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4B1F04" w14:textId="6EE81CAA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A0A68F" w14:textId="03229F15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3DA804" w14:textId="726394EB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54E8B0" w14:textId="616FA8BD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A93DCB" w14:textId="5EB45422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0C8FD1" w14:textId="47F61B3E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7FFCF4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F1A29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72EEF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D04384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BAFDBD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3A50CE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DEC100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305CF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6A9FEF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865C80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C97A20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7077" w14:textId="77EFD93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6CF8CF" w14:textId="3A91F158" w:rsidR="00761ACF" w:rsidRDefault="00761ACF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E49623" w14:textId="5B607609" w:rsidR="00761ACF" w:rsidRDefault="00761ACF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9D0F63" w14:textId="77777777" w:rsidR="00761ACF" w:rsidRDefault="00761ACF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D57516F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DBDEC0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FD33E8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BD220C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0D00D3D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989FB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9A38E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86BCA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013E39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ABCD078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8967B89" w14:textId="77777777" w:rsidR="00A67570" w:rsidRDefault="00A67570" w:rsidP="00A67570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t>METHODOLOGICAL INFORMATION</w:t>
      </w:r>
    </w:p>
    <w:p w14:paraId="700E1ED8" w14:textId="77777777" w:rsidR="00A67570" w:rsidRDefault="00A67570" w:rsidP="00A67570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</w:p>
    <w:p w14:paraId="68C229C5" w14:textId="77777777" w:rsidR="00A67570" w:rsidRDefault="00A67570" w:rsidP="00A67570">
      <w:pPr>
        <w:tabs>
          <w:tab w:val="right" w:pos="9498"/>
        </w:tabs>
        <w:ind w:right="255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7BC95A95" w14:textId="77777777" w:rsidR="00A67570" w:rsidRDefault="00A67570" w:rsidP="00A67570">
      <w:pPr>
        <w:tabs>
          <w:tab w:val="right" w:pos="9498"/>
        </w:tabs>
        <w:ind w:right="255"/>
        <w:rPr>
          <w:rFonts w:ascii="Verdana" w:eastAsia="Malgun Gothic" w:hAnsi="Verdana" w:cs="Arial"/>
          <w:b/>
          <w:u w:val="single"/>
        </w:rPr>
      </w:pPr>
    </w:p>
    <w:p w14:paraId="76A4F52B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Turnover</w:t>
      </w:r>
      <w:r>
        <w:rPr>
          <w:rFonts w:ascii="Verdana" w:eastAsia="Malgun Gothic" w:hAnsi="Verdana" w:cs="Arial"/>
          <w:sz w:val="18"/>
          <w:szCs w:val="18"/>
        </w:rPr>
        <w:t xml:space="preserve"> – The total value of the sales of goods and services, excluding VAT.</w:t>
      </w:r>
    </w:p>
    <w:p w14:paraId="315E7A51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10874D78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>
        <w:rPr>
          <w:rFonts w:ascii="Verdana" w:eastAsia="Malgun Gothic" w:hAnsi="Verdana" w:cs="Arial"/>
          <w:b/>
          <w:sz w:val="18"/>
          <w:szCs w:val="18"/>
        </w:rPr>
        <w:t>Production value</w:t>
      </w:r>
      <w:r>
        <w:rPr>
          <w:rFonts w:ascii="Verdana" w:eastAsia="Malgun Gothic" w:hAnsi="Verdana" w:cs="Arial"/>
          <w:sz w:val="18"/>
          <w:szCs w:val="18"/>
        </w:rPr>
        <w:t xml:space="preserve"> – Derived by adding on turnover other </w:t>
      </w:r>
      <w:r>
        <w:rPr>
          <w:rFonts w:ascii="Verdana" w:eastAsia="Malgun Gothic" w:hAnsi="Verdana" w:cs="Arial"/>
          <w:sz w:val="18"/>
          <w:szCs w:val="18"/>
          <w:lang w:val="en-GB"/>
        </w:rPr>
        <w:t>income and changes in the value of stocks at the end of the year and deducting the cost of goods purchased for resale.</w:t>
      </w:r>
    </w:p>
    <w:p w14:paraId="31B3B87B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56B90FE3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>
        <w:rPr>
          <w:rFonts w:ascii="Verdana" w:eastAsia="Malgun Gothic" w:hAnsi="Verdana" w:cs="Arial"/>
          <w:b/>
          <w:sz w:val="18"/>
          <w:szCs w:val="18"/>
          <w:lang w:val="en-GB"/>
        </w:rPr>
        <w:t>Value added</w:t>
      </w:r>
      <w:r>
        <w:rPr>
          <w:rFonts w:ascii="Verdana" w:eastAsia="Malgun Gothic" w:hAnsi="Verdana" w:cs="Arial"/>
          <w:sz w:val="18"/>
          <w:szCs w:val="18"/>
          <w:lang w:val="en-GB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</w:rPr>
        <w:t>at current prices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n-GB"/>
        </w:rPr>
        <w:t>- Derived by deducting from the production value the total cost of production expenses, administrative expenses and rents paid for buildings and machinery.</w:t>
      </w:r>
    </w:p>
    <w:p w14:paraId="14A36311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5B1C305B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Employment</w:t>
      </w:r>
      <w:r>
        <w:rPr>
          <w:rFonts w:ascii="Verdana" w:eastAsia="Malgun Gothic" w:hAnsi="Verdana" w:cs="Arial"/>
          <w:sz w:val="18"/>
          <w:szCs w:val="18"/>
        </w:rPr>
        <w:t xml:space="preserve"> – The total number of working proprietors and full-time and part-time employees during the year.</w:t>
      </w:r>
    </w:p>
    <w:p w14:paraId="63780134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0DD3022F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730773D4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 and collection of data</w:t>
      </w:r>
    </w:p>
    <w:p w14:paraId="7FF3730A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9913D8B" w14:textId="6F5D7821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Wholesale and Retail Trade Survey covers a sample of around 2.3</w:t>
      </w:r>
      <w:r w:rsidR="00646C10">
        <w:rPr>
          <w:rFonts w:ascii="Verdana" w:eastAsia="Malgun Gothic" w:hAnsi="Verdana" w:cs="Arial"/>
          <w:sz w:val="18"/>
          <w:szCs w:val="18"/>
        </w:rPr>
        <w:t>2</w:t>
      </w:r>
      <w:r>
        <w:rPr>
          <w:rFonts w:ascii="Verdana" w:eastAsia="Malgun Gothic" w:hAnsi="Verdana" w:cs="Arial"/>
          <w:sz w:val="18"/>
          <w:szCs w:val="18"/>
        </w:rPr>
        <w:t>0 enterprises with main activity falling under section G of the classification system of economic activities NACE Rev. 2 of the European Union, in particular divisions 45 (</w:t>
      </w:r>
      <w:r>
        <w:rPr>
          <w:rFonts w:ascii="Verdana" w:hAnsi="Verdana" w:cs="Arial"/>
          <w:sz w:val="18"/>
          <w:szCs w:val="18"/>
        </w:rPr>
        <w:t>wholesale and retail trade and repair of motor vehicles and motorcycles), 46 (wholesale trade, except of motor vehicles and motorcycles) and 47 (retail trade, except of motor vehicles and motorcycles)</w:t>
      </w:r>
      <w:r>
        <w:rPr>
          <w:rFonts w:ascii="Verdana" w:eastAsia="Malgun Gothic" w:hAnsi="Verdana" w:cs="Arial"/>
          <w:sz w:val="18"/>
          <w:szCs w:val="18"/>
        </w:rPr>
        <w:t>.</w:t>
      </w:r>
    </w:p>
    <w:p w14:paraId="13F2E187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7C2BE53" w14:textId="416E03F8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collection of data by the Statistical Service is done by</w:t>
      </w:r>
      <w:r w:rsidR="000A4DF8" w:rsidRPr="000A4DF8">
        <w:rPr>
          <w:rFonts w:ascii="Verdana" w:eastAsia="Malgun Gothic" w:hAnsi="Verdana" w:cs="Arial"/>
          <w:sz w:val="18"/>
          <w:szCs w:val="18"/>
        </w:rPr>
        <w:t xml:space="preserve"> </w:t>
      </w:r>
      <w:r w:rsidR="000A4DF8">
        <w:rPr>
          <w:rFonts w:ascii="Verdana" w:eastAsia="Malgun Gothic" w:hAnsi="Verdana" w:cs="Arial"/>
          <w:sz w:val="18"/>
          <w:szCs w:val="18"/>
        </w:rPr>
        <w:t>phone interviews, by email, by</w:t>
      </w:r>
      <w:r>
        <w:rPr>
          <w:rFonts w:ascii="Verdana" w:eastAsia="Malgun Gothic" w:hAnsi="Verdana" w:cs="Arial"/>
          <w:sz w:val="18"/>
          <w:szCs w:val="18"/>
        </w:rPr>
        <w:t xml:space="preserve"> personal interview</w:t>
      </w:r>
      <w:r w:rsidR="000A4DF8">
        <w:rPr>
          <w:rFonts w:ascii="Verdana" w:eastAsia="Malgun Gothic" w:hAnsi="Verdana" w:cs="Arial"/>
          <w:sz w:val="18"/>
          <w:szCs w:val="18"/>
        </w:rPr>
        <w:t>s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="000A4DF8">
        <w:rPr>
          <w:rFonts w:ascii="Verdana" w:eastAsia="Malgun Gothic" w:hAnsi="Verdana" w:cs="Arial"/>
          <w:sz w:val="18"/>
          <w:szCs w:val="18"/>
        </w:rPr>
        <w:t>and by the use of administrative sources.</w:t>
      </w:r>
    </w:p>
    <w:p w14:paraId="350C5E87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6933BDB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496C2018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41802E6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83404A7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EA33F01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17B4D605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0F832A54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35FB87F2" w14:textId="5CD4B537" w:rsidR="00A67570" w:rsidRDefault="00B87C7E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 xml:space="preserve">CYSTAT Portal, subtheme </w:t>
      </w:r>
      <w:hyperlink r:id="rId9" w:history="1">
        <w:r w:rsidR="00A67570">
          <w:rPr>
            <w:rStyle w:val="Hyperlink"/>
            <w:rFonts w:ascii="Verdana" w:eastAsia="Malgun Gothic" w:hAnsi="Verdana" w:cs="Arial"/>
            <w:sz w:val="18"/>
            <w:szCs w:val="18"/>
          </w:rPr>
          <w:t>Wholesale and Retail Trade</w:t>
        </w:r>
      </w:hyperlink>
    </w:p>
    <w:p w14:paraId="4AD2C5F7" w14:textId="43F472DB" w:rsidR="00BB45C2" w:rsidRDefault="00BB45C2" w:rsidP="00BB45C2">
      <w:pPr>
        <w:jc w:val="both"/>
        <w:rPr>
          <w:color w:val="000000"/>
        </w:rPr>
      </w:pPr>
      <w:hyperlink r:id="rId10" w:tooltip="Predefined Tables" w:history="1">
        <w:r w:rsidRPr="00BB45C2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28BB7B0E" w14:textId="77777777" w:rsidR="002B61C9" w:rsidRDefault="002B61C9" w:rsidP="002B61C9">
      <w:pPr>
        <w:jc w:val="both"/>
        <w:rPr>
          <w:rFonts w:ascii="Verdana" w:hAnsi="Verdana"/>
          <w:sz w:val="18"/>
          <w:szCs w:val="18"/>
        </w:rPr>
      </w:pPr>
      <w:hyperlink r:id="rId11" w:tooltip="Methodological Information" w:history="1">
        <w:r w:rsidRPr="00D138D4">
          <w:rPr>
            <w:rStyle w:val="Hyperlink"/>
            <w:rFonts w:ascii="Verdana" w:hAnsi="Verdana"/>
            <w:sz w:val="18"/>
            <w:szCs w:val="18"/>
          </w:rPr>
          <w:t>Methodological Informati</w:t>
        </w:r>
        <w:r w:rsidRPr="00D138D4">
          <w:rPr>
            <w:rStyle w:val="Hyperlink"/>
            <w:rFonts w:ascii="Verdana" w:hAnsi="Verdana"/>
            <w:sz w:val="18"/>
            <w:szCs w:val="18"/>
          </w:rPr>
          <w:t>o</w:t>
        </w:r>
        <w:r w:rsidRPr="00D138D4">
          <w:rPr>
            <w:rStyle w:val="Hyperlink"/>
            <w:rFonts w:ascii="Verdana" w:hAnsi="Verdana"/>
            <w:sz w:val="18"/>
            <w:szCs w:val="18"/>
          </w:rPr>
          <w:t>n</w:t>
        </w:r>
      </w:hyperlink>
    </w:p>
    <w:p w14:paraId="0D9B27EF" w14:textId="20D6224B" w:rsidR="00A67570" w:rsidRPr="002B61C9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Cs/>
          <w:iCs/>
          <w:sz w:val="18"/>
          <w:szCs w:val="18"/>
        </w:rPr>
      </w:pPr>
    </w:p>
    <w:p w14:paraId="51EE4D1E" w14:textId="77777777" w:rsidR="00BB45C2" w:rsidRDefault="00BB45C2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</w:p>
    <w:p w14:paraId="1457A736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</w:p>
    <w:p w14:paraId="01B67C9E" w14:textId="7B8407CA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Constantia Sergidi, </w:t>
      </w:r>
      <w:r w:rsidR="00416E32">
        <w:rPr>
          <w:rFonts w:ascii="Verdana" w:eastAsia="Malgun Gothic" w:hAnsi="Verdana" w:cs="Arial"/>
          <w:sz w:val="18"/>
          <w:szCs w:val="18"/>
        </w:rPr>
        <w:t>Tel: +</w:t>
      </w:r>
      <w:r>
        <w:rPr>
          <w:rFonts w:ascii="Verdana" w:eastAsia="Malgun Gothic" w:hAnsi="Verdana" w:cs="Arial"/>
          <w:sz w:val="18"/>
          <w:szCs w:val="18"/>
        </w:rPr>
        <w:t xml:space="preserve">35722602237, Email: </w:t>
      </w:r>
      <w:hyperlink r:id="rId12" w:history="1">
        <w:r>
          <w:rPr>
            <w:rStyle w:val="Hyperlink"/>
            <w:rFonts w:ascii="Verdana" w:hAnsi="Verdana"/>
            <w:sz w:val="18"/>
            <w:szCs w:val="18"/>
          </w:rPr>
          <w:t>ksergidi@cystat.mof.gov.cy</w:t>
        </w:r>
      </w:hyperlink>
    </w:p>
    <w:p w14:paraId="50D75D2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1CFA34" w14:textId="77777777" w:rsidR="00A67570" w:rsidRDefault="00A67570" w:rsidP="00A67570">
      <w:pPr>
        <w:jc w:val="both"/>
        <w:rPr>
          <w:rFonts w:ascii="Verdana" w:hAnsi="Verdana" w:cs="Arial"/>
          <w:sz w:val="18"/>
          <w:szCs w:val="18"/>
        </w:rPr>
      </w:pPr>
    </w:p>
    <w:p w14:paraId="7FB7A2B6" w14:textId="77777777" w:rsidR="00A67570" w:rsidRDefault="00A67570" w:rsidP="00A67570">
      <w:pPr>
        <w:jc w:val="both"/>
        <w:rPr>
          <w:rFonts w:ascii="Verdana" w:hAnsi="Verdana" w:cs="Arial"/>
          <w:sz w:val="18"/>
          <w:szCs w:val="18"/>
        </w:rPr>
      </w:pPr>
    </w:p>
    <w:p w14:paraId="42EA09D7" w14:textId="77777777" w:rsidR="00A67570" w:rsidRDefault="00A67570" w:rsidP="00A67570">
      <w:pPr>
        <w:jc w:val="both"/>
        <w:rPr>
          <w:rFonts w:ascii="Verdana" w:hAnsi="Verdana" w:cs="Arial"/>
          <w:sz w:val="18"/>
          <w:szCs w:val="18"/>
        </w:rPr>
      </w:pPr>
    </w:p>
    <w:p w14:paraId="27886256" w14:textId="77777777" w:rsidR="00A67570" w:rsidRDefault="00A67570" w:rsidP="00A67570">
      <w:pPr>
        <w:jc w:val="both"/>
        <w:rPr>
          <w:rFonts w:ascii="Verdana" w:hAnsi="Verdana" w:cs="Arial"/>
          <w:sz w:val="18"/>
          <w:szCs w:val="18"/>
        </w:rPr>
      </w:pPr>
    </w:p>
    <w:p w14:paraId="36313FEE" w14:textId="77777777" w:rsidR="00A67570" w:rsidRDefault="00A67570" w:rsidP="00A67570">
      <w:pPr>
        <w:jc w:val="both"/>
        <w:rPr>
          <w:rFonts w:ascii="Verdana" w:hAnsi="Verdana" w:cs="Arial"/>
          <w:sz w:val="18"/>
          <w:szCs w:val="18"/>
        </w:rPr>
      </w:pPr>
    </w:p>
    <w:p w14:paraId="1A6E5A44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899D2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5E885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A1E4D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D43D5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742A991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013E4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B7E12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4662E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4CEC71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17918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37BAA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3001F6A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C1E65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7ADB63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7EE8272" w14:textId="77777777" w:rsidR="007437AB" w:rsidRPr="00A67570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4CF89882" w14:textId="70DD252D" w:rsidR="0095405B" w:rsidRDefault="00463214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A67570">
        <w:rPr>
          <w:rFonts w:ascii="Arial" w:hAnsi="Arial" w:cs="Arial"/>
          <w:sz w:val="20"/>
          <w:szCs w:val="20"/>
        </w:rPr>
        <w:tab/>
      </w:r>
      <w:r w:rsidRPr="00A67570">
        <w:rPr>
          <w:rFonts w:ascii="Arial" w:hAnsi="Arial" w:cs="Arial"/>
          <w:sz w:val="18"/>
          <w:szCs w:val="18"/>
        </w:rPr>
        <w:tab/>
      </w:r>
    </w:p>
    <w:p w14:paraId="7677F316" w14:textId="72B59298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C5B7F2" w14:textId="4E2E99F4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CD4F3B7" w14:textId="409697A9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18EE" w14:textId="77777777" w:rsidR="00217314" w:rsidRDefault="00217314" w:rsidP="00FB398F">
      <w:r>
        <w:separator/>
      </w:r>
    </w:p>
  </w:endnote>
  <w:endnote w:type="continuationSeparator" w:id="0">
    <w:p w14:paraId="4112372A" w14:textId="77777777" w:rsidR="00217314" w:rsidRDefault="0021731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F2F" w14:textId="77777777" w:rsidR="00540668" w:rsidRDefault="00540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77777777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gramStart"/>
    <w:r w:rsidRPr="00122143">
      <w:rPr>
        <w:rFonts w:ascii="Arial" w:hAnsi="Arial" w:cs="Arial"/>
        <w:i/>
        <w:iCs/>
        <w:sz w:val="16"/>
        <w:szCs w:val="16"/>
      </w:rPr>
      <w:t>Karaoli  Str.</w:t>
    </w:r>
    <w:proofErr w:type="gramEnd"/>
    <w:r w:rsidRPr="00122143">
      <w:rPr>
        <w:rFonts w:ascii="Arial" w:hAnsi="Arial" w:cs="Arial"/>
        <w:i/>
        <w:iCs/>
        <w:sz w:val="16"/>
        <w:szCs w:val="16"/>
      </w:rPr>
      <w:t>, 1444 Nicosia, Cyprus</w:t>
    </w:r>
  </w:p>
  <w:p w14:paraId="5BFB5428" w14:textId="111B6790" w:rsidR="0060256A" w:rsidRPr="00122143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Tel.:  22 602129, </w:t>
    </w:r>
    <w:r w:rsidR="0060256A" w:rsidRPr="00122143">
      <w:rPr>
        <w:rFonts w:ascii="Arial" w:hAnsi="Arial" w:cs="Arial"/>
        <w:i/>
        <w:iCs/>
        <w:sz w:val="16"/>
        <w:szCs w:val="16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4C1A" w14:textId="77777777" w:rsidR="00217314" w:rsidRDefault="00217314" w:rsidP="00FB398F">
      <w:r>
        <w:separator/>
      </w:r>
    </w:p>
  </w:footnote>
  <w:footnote w:type="continuationSeparator" w:id="0">
    <w:p w14:paraId="2D0A71C8" w14:textId="77777777" w:rsidR="00217314" w:rsidRDefault="0021731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21CC" w14:textId="77777777" w:rsidR="00540668" w:rsidRDefault="00540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7777777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364377" w:rsidRPr="007C1520">
      <w:rPr>
        <w:rFonts w:ascii="Arial" w:hAnsi="Arial" w:cs="Arial"/>
        <w:b/>
        <w:bCs/>
        <w:sz w:val="20"/>
        <w:szCs w:val="20"/>
        <w:lang w:val="en-US"/>
      </w:rPr>
      <w:t>MINISTRY OF FINANCE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4DF8"/>
    <w:rsid w:val="000A6FA8"/>
    <w:rsid w:val="000B6F3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D8"/>
    <w:rsid w:val="0013137B"/>
    <w:rsid w:val="00144407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17314"/>
    <w:rsid w:val="00222423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2133"/>
    <w:rsid w:val="002B61C9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7B38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522BB"/>
    <w:rsid w:val="00352F6C"/>
    <w:rsid w:val="003556EA"/>
    <w:rsid w:val="00364377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16E32"/>
    <w:rsid w:val="00422F54"/>
    <w:rsid w:val="00431516"/>
    <w:rsid w:val="004361B3"/>
    <w:rsid w:val="0044249D"/>
    <w:rsid w:val="00443200"/>
    <w:rsid w:val="0044379F"/>
    <w:rsid w:val="00446FB1"/>
    <w:rsid w:val="0046078F"/>
    <w:rsid w:val="00463214"/>
    <w:rsid w:val="0046434D"/>
    <w:rsid w:val="004656FA"/>
    <w:rsid w:val="00467EE5"/>
    <w:rsid w:val="00471D77"/>
    <w:rsid w:val="00475587"/>
    <w:rsid w:val="00480BC2"/>
    <w:rsid w:val="004929C2"/>
    <w:rsid w:val="00493FDD"/>
    <w:rsid w:val="0049586B"/>
    <w:rsid w:val="004A3E44"/>
    <w:rsid w:val="004A7983"/>
    <w:rsid w:val="004B2896"/>
    <w:rsid w:val="004B32A3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7D64"/>
    <w:rsid w:val="00572BC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6C1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534F8"/>
    <w:rsid w:val="007545AD"/>
    <w:rsid w:val="00761ACF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B0867"/>
    <w:rsid w:val="007B1AC1"/>
    <w:rsid w:val="007B5A08"/>
    <w:rsid w:val="007B693D"/>
    <w:rsid w:val="007D0338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757C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3A82"/>
    <w:rsid w:val="00972912"/>
    <w:rsid w:val="00972CA0"/>
    <w:rsid w:val="00976D1F"/>
    <w:rsid w:val="00981C81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E413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45F07"/>
    <w:rsid w:val="00A544B7"/>
    <w:rsid w:val="00A618CF"/>
    <w:rsid w:val="00A62770"/>
    <w:rsid w:val="00A62EEB"/>
    <w:rsid w:val="00A660FF"/>
    <w:rsid w:val="00A6625A"/>
    <w:rsid w:val="00A66266"/>
    <w:rsid w:val="00A67570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B01386"/>
    <w:rsid w:val="00B01BB5"/>
    <w:rsid w:val="00B03560"/>
    <w:rsid w:val="00B04AF4"/>
    <w:rsid w:val="00B05214"/>
    <w:rsid w:val="00B0736F"/>
    <w:rsid w:val="00B12479"/>
    <w:rsid w:val="00B30D97"/>
    <w:rsid w:val="00B31738"/>
    <w:rsid w:val="00B3181A"/>
    <w:rsid w:val="00B35A7C"/>
    <w:rsid w:val="00B450D1"/>
    <w:rsid w:val="00B521D5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87C7E"/>
    <w:rsid w:val="00B93668"/>
    <w:rsid w:val="00BA68C6"/>
    <w:rsid w:val="00BB12F1"/>
    <w:rsid w:val="00BB276E"/>
    <w:rsid w:val="00BB3FEE"/>
    <w:rsid w:val="00BB45C2"/>
    <w:rsid w:val="00BB5EB0"/>
    <w:rsid w:val="00BB7A27"/>
    <w:rsid w:val="00BC245A"/>
    <w:rsid w:val="00BC340C"/>
    <w:rsid w:val="00BC444C"/>
    <w:rsid w:val="00BD16FA"/>
    <w:rsid w:val="00BD3B50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07F1A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692"/>
    <w:rsid w:val="00FB78DD"/>
    <w:rsid w:val="00FC015E"/>
    <w:rsid w:val="00FC125E"/>
    <w:rsid w:val="00FC3EF3"/>
    <w:rsid w:val="00FD0E68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A67570"/>
    <w:pPr>
      <w:tabs>
        <w:tab w:val="left" w:pos="5580"/>
      </w:tabs>
      <w:jc w:val="both"/>
    </w:pPr>
    <w:rPr>
      <w:rFonts w:ascii="Times New Roman" w:eastAsia="Times New Roman" w:hAnsi="Times New Roman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A67570"/>
    <w:rPr>
      <w:rFonts w:ascii="Times New Roman" w:eastAsia="Times New Roman" w:hAnsi="Times New Roman"/>
      <w:sz w:val="22"/>
      <w:szCs w:val="24"/>
      <w:lang w:val="el-G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ergidi@cystat.mof.gov.c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10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KeyFiguresList?s=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KeyFiguresList?s=52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en-US" sz="1100">
                <a:latin typeface="Verdana" pitchFamily="34" charset="0"/>
                <a:ea typeface="Verdana" pitchFamily="34" charset="0"/>
                <a:cs typeface="Verdana" pitchFamily="34" charset="0"/>
              </a:rPr>
              <a:t>Employment and Value</a:t>
            </a:r>
            <a:r>
              <a:rPr lang="en-US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Added in Trade</a:t>
            </a:r>
            <a:r>
              <a:rPr lang="el-G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,       </a:t>
            </a:r>
            <a:r>
              <a:rPr lang="en-US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                                  </a:t>
            </a:r>
            <a:r>
              <a:rPr lang="el-G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                2008-2020</a:t>
            </a:r>
            <a:endParaRPr lang="en-US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layout>
        <c:manualLayout>
          <c:xMode val="edge"/>
          <c:yMode val="edge"/>
          <c:x val="0.25872791460172895"/>
          <c:y val="1.846363692727385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0957965674488866"/>
          <c:y val="0.16400107466881589"/>
          <c:w val="0.81543080434414861"/>
          <c:h val="0.65622942801441209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'en data'!$A$3</c:f>
              <c:strCache>
                <c:ptCount val="1"/>
                <c:pt idx="0">
                  <c:v>Value added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numRef>
              <c:f>'en data'!$B$1:$N$1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'en data'!$B$3:$N$3</c:f>
              <c:numCache>
                <c:formatCode>#,##0.00</c:formatCode>
                <c:ptCount val="13"/>
                <c:pt idx="0" formatCode="#,##0">
                  <c:v>2119</c:v>
                </c:pt>
                <c:pt idx="1">
                  <c:v>1965.4</c:v>
                </c:pt>
                <c:pt idx="2">
                  <c:v>1978.3</c:v>
                </c:pt>
                <c:pt idx="3">
                  <c:v>1904.7</c:v>
                </c:pt>
                <c:pt idx="4">
                  <c:v>1777.2</c:v>
                </c:pt>
                <c:pt idx="5" formatCode="#,##0">
                  <c:v>1609</c:v>
                </c:pt>
                <c:pt idx="6">
                  <c:v>1601.7</c:v>
                </c:pt>
                <c:pt idx="7">
                  <c:v>1623.6</c:v>
                </c:pt>
                <c:pt idx="8">
                  <c:v>1745.9</c:v>
                </c:pt>
                <c:pt idx="9">
                  <c:v>1900.4</c:v>
                </c:pt>
                <c:pt idx="10">
                  <c:v>2007.2</c:v>
                </c:pt>
                <c:pt idx="11">
                  <c:v>2118.3000000000002</c:v>
                </c:pt>
                <c:pt idx="12" formatCode="General">
                  <c:v>2072.6999999999998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23-423C-B7F2-A7AD07E6D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59712"/>
        <c:axId val="76313344"/>
      </c:barChart>
      <c:lineChart>
        <c:grouping val="standard"/>
        <c:varyColors val="0"/>
        <c:ser>
          <c:idx val="1"/>
          <c:order val="0"/>
          <c:tx>
            <c:strRef>
              <c:f>'en data'!$A$2</c:f>
              <c:strCache>
                <c:ptCount val="1"/>
                <c:pt idx="0">
                  <c:v>Employment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'en data'!$B$1:$N$1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'en data'!$B$2:$N$2</c:f>
              <c:numCache>
                <c:formatCode>General</c:formatCode>
                <c:ptCount val="13"/>
                <c:pt idx="0">
                  <c:v>68.7</c:v>
                </c:pt>
                <c:pt idx="1">
                  <c:v>66.5</c:v>
                </c:pt>
                <c:pt idx="2">
                  <c:v>66.099999999999994</c:v>
                </c:pt>
                <c:pt idx="3">
                  <c:v>66</c:v>
                </c:pt>
                <c:pt idx="4">
                  <c:v>63.9</c:v>
                </c:pt>
                <c:pt idx="5">
                  <c:v>59.8</c:v>
                </c:pt>
                <c:pt idx="6">
                  <c:v>59.8</c:v>
                </c:pt>
                <c:pt idx="7">
                  <c:v>62.2</c:v>
                </c:pt>
                <c:pt idx="8">
                  <c:v>64.599999999999994</c:v>
                </c:pt>
                <c:pt idx="9">
                  <c:v>68.5</c:v>
                </c:pt>
                <c:pt idx="10">
                  <c:v>71.7</c:v>
                </c:pt>
                <c:pt idx="11">
                  <c:v>73.599999999999994</c:v>
                </c:pt>
                <c:pt idx="12">
                  <c:v>72.099999999999994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23-423C-B7F2-A7AD07E6D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319360"/>
        <c:axId val="76316672"/>
      </c:lineChart>
      <c:catAx>
        <c:axId val="7625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CY"/>
          </a:p>
        </c:txPr>
        <c:crossAx val="76313344"/>
        <c:crosses val="autoZero"/>
        <c:auto val="1"/>
        <c:lblAlgn val="ctr"/>
        <c:lblOffset val="100"/>
        <c:noMultiLvlLbl val="0"/>
      </c:catAx>
      <c:valAx>
        <c:axId val="76313344"/>
        <c:scaling>
          <c:orientation val="minMax"/>
          <c:max val="2200"/>
          <c:min val="1300"/>
        </c:scaling>
        <c:delete val="0"/>
        <c:axPos val="l"/>
        <c:majorGridlines>
          <c:spPr>
            <a:ln>
              <a:solidFill>
                <a:sysClr val="windowText" lastClr="000000">
                  <a:alpha val="20000"/>
                </a:sysClr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>
                    <a:latin typeface="Verdana" pitchFamily="34" charset="0"/>
                    <a:ea typeface="Verdana" pitchFamily="34" charset="0"/>
                    <a:cs typeface="Verdana" pitchFamily="34" charset="0"/>
                  </a:defRPr>
                </a:pPr>
                <a:r>
                  <a:rPr lang="el-GR" sz="900">
                    <a:latin typeface="Verdana" pitchFamily="34" charset="0"/>
                    <a:ea typeface="Verdana" pitchFamily="34" charset="0"/>
                    <a:cs typeface="Verdana" pitchFamily="34" charset="0"/>
                  </a:rPr>
                  <a:t>€</a:t>
                </a:r>
                <a:r>
                  <a:rPr lang="en-US" sz="900">
                    <a:latin typeface="Verdana" pitchFamily="34" charset="0"/>
                    <a:ea typeface="Verdana" pitchFamily="34" charset="0"/>
                    <a:cs typeface="Verdana" pitchFamily="34" charset="0"/>
                  </a:rPr>
                  <a:t>mn</a:t>
                </a:r>
              </a:p>
            </c:rich>
          </c:tx>
          <c:layout>
            <c:manualLayout>
              <c:xMode val="edge"/>
              <c:yMode val="edge"/>
              <c:x val="4.3144071847249124E-2"/>
              <c:y val="9.0805932722976671E-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CY"/>
          </a:p>
        </c:txPr>
        <c:crossAx val="76259712"/>
        <c:crosses val="autoZero"/>
        <c:crossBetween val="between"/>
        <c:majorUnit val="100"/>
        <c:minorUnit val="100"/>
      </c:valAx>
      <c:valAx>
        <c:axId val="76316672"/>
        <c:scaling>
          <c:orientation val="minMax"/>
          <c:max val="75"/>
          <c:min val="57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900">
                    <a:latin typeface="Verdana" pitchFamily="34" charset="0"/>
                    <a:ea typeface="Verdana" pitchFamily="34" charset="0"/>
                    <a:cs typeface="Verdana" pitchFamily="34" charset="0"/>
                  </a:defRPr>
                </a:pPr>
                <a:r>
                  <a:rPr lang="el-GR" sz="900">
                    <a:latin typeface="Verdana" pitchFamily="34" charset="0"/>
                    <a:ea typeface="Verdana" pitchFamily="34" charset="0"/>
                    <a:cs typeface="Verdana" pitchFamily="34" charset="0"/>
                  </a:rPr>
                  <a:t>000'</a:t>
                </a:r>
                <a:r>
                  <a:rPr lang="en-US" sz="900">
                    <a:latin typeface="Verdana" pitchFamily="34" charset="0"/>
                    <a:ea typeface="Verdana" pitchFamily="34" charset="0"/>
                    <a:cs typeface="Verdana" pitchFamily="34" charset="0"/>
                  </a:rPr>
                  <a:t>s</a:t>
                </a:r>
              </a:p>
            </c:rich>
          </c:tx>
          <c:layout>
            <c:manualLayout>
              <c:xMode val="edge"/>
              <c:yMode val="edge"/>
              <c:x val="0.9285835995740146"/>
              <c:y val="9.358188494154766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CY"/>
          </a:p>
        </c:txPr>
        <c:crossAx val="76319360"/>
        <c:crosses val="max"/>
        <c:crossBetween val="between"/>
      </c:valAx>
      <c:catAx>
        <c:axId val="76319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6316672"/>
        <c:crossesAt val="58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22855307623288296"/>
          <c:y val="0.90748892608896292"/>
          <c:w val="0.54049035339776841"/>
          <c:h val="7.6777476770387626E-2"/>
        </c:manualLayout>
      </c:layout>
      <c:overlay val="0"/>
      <c:txPr>
        <a:bodyPr/>
        <a:lstStyle/>
        <a:p>
          <a:pPr>
            <a:defRPr sz="900">
              <a:latin typeface="Verdana" pitchFamily="34" charset="0"/>
              <a:ea typeface="Verdana" pitchFamily="34" charset="0"/>
              <a:cs typeface="Verdana" pitchFamily="34" charset="0"/>
            </a:defRPr>
          </a:pPr>
          <a:endParaRPr lang="en-CY"/>
        </a:p>
      </c:txPr>
    </c:legend>
    <c:plotVisOnly val="1"/>
    <c:dispBlanksAs val="gap"/>
    <c:showDLblsOverMax val="0"/>
  </c:chart>
  <c:spPr>
    <a:ln>
      <a:solidFill>
        <a:srgbClr val="1F497D">
          <a:lumMod val="40000"/>
          <a:lumOff val="60000"/>
          <a:alpha val="75000"/>
        </a:srgbClr>
      </a:solidFill>
    </a:ln>
  </c:spPr>
  <c:txPr>
    <a:bodyPr/>
    <a:lstStyle/>
    <a:p>
      <a:pPr>
        <a:defRPr sz="1100"/>
      </a:pPr>
      <a:endParaRPr lang="en-CY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23</cp:revision>
  <cp:lastPrinted>2022-07-05T08:57:00Z</cp:lastPrinted>
  <dcterms:created xsi:type="dcterms:W3CDTF">2022-06-09T08:02:00Z</dcterms:created>
  <dcterms:modified xsi:type="dcterms:W3CDTF">2022-07-05T09:11:00Z</dcterms:modified>
</cp:coreProperties>
</file>