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7D88" w14:textId="77777777" w:rsidR="00A67570" w:rsidRDefault="00A67570" w:rsidP="00FD0E68">
      <w:pPr>
        <w:tabs>
          <w:tab w:val="left" w:pos="1080"/>
          <w:tab w:val="left" w:pos="7088"/>
        </w:tabs>
        <w:rPr>
          <w:rFonts w:ascii="Verdana" w:eastAsia="Malgun Gothic" w:hAnsi="Verdana" w:cs="Arial"/>
          <w:sz w:val="18"/>
          <w:szCs w:val="18"/>
        </w:rPr>
      </w:pPr>
    </w:p>
    <w:p w14:paraId="7C126AC9" w14:textId="77777777" w:rsidR="00A67570" w:rsidRDefault="00A67570" w:rsidP="00FD0E68">
      <w:pPr>
        <w:tabs>
          <w:tab w:val="left" w:pos="1080"/>
          <w:tab w:val="left" w:pos="7088"/>
        </w:tabs>
        <w:rPr>
          <w:rFonts w:ascii="Verdana" w:eastAsia="Malgun Gothic" w:hAnsi="Verdana" w:cs="Arial"/>
          <w:sz w:val="18"/>
          <w:szCs w:val="18"/>
        </w:rPr>
      </w:pPr>
    </w:p>
    <w:p w14:paraId="21D9D077" w14:textId="6EE51E09" w:rsidR="00A67570" w:rsidRPr="00761ACF" w:rsidRDefault="00A67570" w:rsidP="00A67570">
      <w:pPr>
        <w:tabs>
          <w:tab w:val="left" w:pos="1080"/>
          <w:tab w:val="left" w:pos="7088"/>
        </w:tabs>
        <w:jc w:val="right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  </w:t>
      </w:r>
      <w:r w:rsidR="00F518BD">
        <w:rPr>
          <w:rFonts w:ascii="Verdana" w:eastAsia="Malgun Gothic" w:hAnsi="Verdana" w:cs="Arial"/>
          <w:sz w:val="18"/>
          <w:szCs w:val="18"/>
        </w:rPr>
        <w:t>3</w:t>
      </w:r>
      <w:r>
        <w:rPr>
          <w:rFonts w:ascii="Verdana" w:eastAsia="Malgun Gothic" w:hAnsi="Verdana" w:cs="Arial"/>
          <w:sz w:val="18"/>
          <w:szCs w:val="18"/>
        </w:rPr>
        <w:t xml:space="preserve"> July, 202</w:t>
      </w:r>
      <w:r w:rsidR="00F518BD">
        <w:rPr>
          <w:rFonts w:ascii="Verdana" w:eastAsia="Malgun Gothic" w:hAnsi="Verdana" w:cs="Arial"/>
          <w:sz w:val="18"/>
          <w:szCs w:val="18"/>
        </w:rPr>
        <w:t>4</w:t>
      </w:r>
    </w:p>
    <w:p w14:paraId="3C1F261E" w14:textId="77777777" w:rsidR="00A67570" w:rsidRDefault="00A67570" w:rsidP="00A67570">
      <w:pPr>
        <w:tabs>
          <w:tab w:val="left" w:pos="776"/>
          <w:tab w:val="right" w:pos="9498"/>
        </w:tabs>
        <w:rPr>
          <w:rFonts w:ascii="Verdana" w:eastAsia="Malgun Gothic" w:hAnsi="Verdana" w:cs="Arial"/>
          <w:sz w:val="18"/>
          <w:szCs w:val="18"/>
        </w:rPr>
      </w:pPr>
    </w:p>
    <w:p w14:paraId="12C39E6B" w14:textId="77777777" w:rsidR="00A67570" w:rsidRDefault="00A67570" w:rsidP="00A67570">
      <w:pPr>
        <w:tabs>
          <w:tab w:val="right" w:pos="9498"/>
        </w:tabs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75A1336D" w14:textId="77777777" w:rsidR="00A67570" w:rsidRDefault="00A67570" w:rsidP="00A67570">
      <w:pPr>
        <w:pStyle w:val="BodyText"/>
        <w:tabs>
          <w:tab w:val="right" w:pos="9498"/>
        </w:tabs>
        <w:jc w:val="center"/>
        <w:rPr>
          <w:rFonts w:ascii="Verdana" w:hAnsi="Verdana"/>
          <w:szCs w:val="22"/>
          <w:u w:val="single"/>
          <w:lang w:val="en-US"/>
        </w:rPr>
      </w:pPr>
    </w:p>
    <w:p w14:paraId="443EE485" w14:textId="70D15CC4" w:rsidR="00A67570" w:rsidRPr="007A15E6" w:rsidRDefault="00A67570" w:rsidP="00A67570">
      <w:pPr>
        <w:pStyle w:val="BodyText"/>
        <w:tabs>
          <w:tab w:val="right" w:pos="9498"/>
        </w:tabs>
        <w:jc w:val="center"/>
        <w:rPr>
          <w:rFonts w:ascii="Verdana" w:hAnsi="Verdana"/>
          <w:b/>
          <w:bCs/>
          <w:szCs w:val="22"/>
          <w:u w:val="single"/>
          <w:lang w:val="en-US"/>
        </w:rPr>
      </w:pPr>
      <w:r w:rsidRPr="007A15E6">
        <w:rPr>
          <w:rFonts w:ascii="Verdana" w:hAnsi="Verdana"/>
          <w:b/>
          <w:bCs/>
          <w:szCs w:val="22"/>
          <w:u w:val="single"/>
          <w:lang w:val="en-US"/>
        </w:rPr>
        <w:t>RESULTS OF THE WHOLESALE AND RETAIL TRADE SURVEY 20</w:t>
      </w:r>
      <w:r w:rsidR="00A45F07" w:rsidRPr="007A15E6">
        <w:rPr>
          <w:rFonts w:ascii="Verdana" w:hAnsi="Verdana"/>
          <w:b/>
          <w:bCs/>
          <w:szCs w:val="22"/>
          <w:u w:val="single"/>
          <w:lang w:val="en-US"/>
        </w:rPr>
        <w:t>2</w:t>
      </w:r>
      <w:r w:rsidR="00F518BD">
        <w:rPr>
          <w:rFonts w:ascii="Verdana" w:hAnsi="Verdana"/>
          <w:b/>
          <w:bCs/>
          <w:szCs w:val="22"/>
          <w:u w:val="single"/>
          <w:lang w:val="en-US"/>
        </w:rPr>
        <w:t>2</w:t>
      </w:r>
    </w:p>
    <w:p w14:paraId="3BD188F9" w14:textId="77777777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3835AB7E" w14:textId="77777777" w:rsidR="007A15E6" w:rsidRDefault="007A15E6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70809D4F" w14:textId="6C4A5312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According to the results of the Wholesale and Retail Trade Survey, the main aggregates of the trade sector in 20</w:t>
      </w:r>
      <w:r w:rsidR="00A45F07" w:rsidRPr="00A45F07">
        <w:rPr>
          <w:rFonts w:ascii="Verdana" w:hAnsi="Verdana" w:cs="Arial"/>
          <w:sz w:val="18"/>
          <w:szCs w:val="18"/>
        </w:rPr>
        <w:t>2</w:t>
      </w:r>
      <w:r w:rsidR="00F518BD">
        <w:rPr>
          <w:rFonts w:ascii="Verdana" w:hAnsi="Verdana" w:cs="Arial"/>
          <w:sz w:val="18"/>
          <w:szCs w:val="18"/>
        </w:rPr>
        <w:t>2</w:t>
      </w:r>
      <w:r w:rsidR="00A8332B">
        <w:rPr>
          <w:rFonts w:ascii="Verdana" w:hAnsi="Verdana" w:cs="Arial"/>
          <w:sz w:val="18"/>
          <w:szCs w:val="18"/>
        </w:rPr>
        <w:t xml:space="preserve"> registered a </w:t>
      </w:r>
      <w:r w:rsidR="002D1E9B">
        <w:rPr>
          <w:rFonts w:ascii="Verdana" w:hAnsi="Verdana" w:cs="Arial"/>
          <w:sz w:val="18"/>
          <w:szCs w:val="18"/>
        </w:rPr>
        <w:t>positive</w:t>
      </w:r>
      <w:r>
        <w:rPr>
          <w:rFonts w:ascii="Verdana" w:hAnsi="Verdana" w:cs="Arial"/>
          <w:sz w:val="18"/>
          <w:szCs w:val="18"/>
        </w:rPr>
        <w:t xml:space="preserve"> growth rate compared to 20</w:t>
      </w:r>
      <w:r w:rsidR="002D1E9B">
        <w:rPr>
          <w:rFonts w:ascii="Verdana" w:hAnsi="Verdana" w:cs="Arial"/>
          <w:sz w:val="18"/>
          <w:szCs w:val="18"/>
        </w:rPr>
        <w:t>2</w:t>
      </w:r>
      <w:r w:rsidR="00F518BD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</w:p>
    <w:p w14:paraId="111FCC46" w14:textId="77777777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0BEC548D" w14:textId="45E481A0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particular, turnover in the broad trade sector </w:t>
      </w:r>
      <w:r w:rsidR="002D1E9B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creased in 20</w:t>
      </w:r>
      <w:r w:rsidR="00A45F07" w:rsidRPr="00A45F07">
        <w:rPr>
          <w:rFonts w:ascii="Verdana" w:hAnsi="Verdana" w:cs="Arial"/>
          <w:sz w:val="18"/>
          <w:szCs w:val="18"/>
        </w:rPr>
        <w:t>2</w:t>
      </w:r>
      <w:r w:rsidR="00F518BD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by </w:t>
      </w:r>
      <w:r w:rsidR="004F3B1B">
        <w:rPr>
          <w:rFonts w:ascii="Verdana" w:hAnsi="Verdana" w:cs="Arial"/>
          <w:sz w:val="18"/>
          <w:szCs w:val="18"/>
        </w:rPr>
        <w:t>20</w:t>
      </w:r>
      <w:r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% to €</w:t>
      </w:r>
      <w:r w:rsidR="004F3B1B">
        <w:rPr>
          <w:rFonts w:ascii="Verdana" w:hAnsi="Verdana" w:cs="Arial"/>
          <w:sz w:val="18"/>
          <w:szCs w:val="18"/>
        </w:rPr>
        <w:t xml:space="preserve">17.618,2 </w:t>
      </w:r>
      <w:r>
        <w:rPr>
          <w:rFonts w:ascii="Verdana" w:hAnsi="Verdana" w:cs="Arial"/>
          <w:sz w:val="18"/>
          <w:szCs w:val="18"/>
        </w:rPr>
        <w:t>million compared to €</w:t>
      </w:r>
      <w:r w:rsidR="004F3B1B" w:rsidRPr="004F3B1B">
        <w:rPr>
          <w:rFonts w:ascii="Verdana" w:hAnsi="Verdana" w:cs="Arial"/>
          <w:sz w:val="18"/>
          <w:szCs w:val="18"/>
        </w:rPr>
        <w:t xml:space="preserve">14.598,3 </w:t>
      </w:r>
      <w:r>
        <w:rPr>
          <w:rFonts w:ascii="Verdana" w:hAnsi="Verdana" w:cs="Arial"/>
          <w:sz w:val="18"/>
          <w:szCs w:val="18"/>
        </w:rPr>
        <w:t>million in 20</w:t>
      </w:r>
      <w:r w:rsidR="002D1E9B">
        <w:rPr>
          <w:rFonts w:ascii="Verdana" w:hAnsi="Verdana" w:cs="Arial"/>
          <w:sz w:val="18"/>
          <w:szCs w:val="18"/>
        </w:rPr>
        <w:t>2</w:t>
      </w:r>
      <w:r w:rsidR="004F3B1B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 At division level, in wholesale and retail trade and repair of motor vehicles and motorcycles</w:t>
      </w:r>
      <w:r w:rsidR="00065EB6" w:rsidRPr="00065EB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turnover </w:t>
      </w:r>
      <w:r w:rsidR="002D1E9B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 xml:space="preserve">creased by </w:t>
      </w:r>
      <w:r w:rsidR="002D1E9B">
        <w:rPr>
          <w:rFonts w:ascii="Verdana" w:hAnsi="Verdana" w:cs="Arial"/>
          <w:sz w:val="18"/>
          <w:szCs w:val="18"/>
        </w:rPr>
        <w:t>1</w:t>
      </w:r>
      <w:r w:rsidR="004F3B1B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% to €</w:t>
      </w:r>
      <w:r w:rsidR="002D1E9B">
        <w:rPr>
          <w:rFonts w:ascii="Verdana" w:hAnsi="Verdana" w:cs="Arial"/>
          <w:sz w:val="18"/>
          <w:szCs w:val="18"/>
        </w:rPr>
        <w:t>1.</w:t>
      </w:r>
      <w:r w:rsidR="004F3B1B">
        <w:rPr>
          <w:rFonts w:ascii="Verdana" w:hAnsi="Verdana" w:cs="Arial"/>
          <w:sz w:val="18"/>
          <w:szCs w:val="18"/>
        </w:rPr>
        <w:t>220</w:t>
      </w:r>
      <w:r w:rsidR="00A55BE3" w:rsidRPr="00A55BE3"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million, in wholesale trade by </w:t>
      </w:r>
      <w:r w:rsidR="00BA1B11">
        <w:rPr>
          <w:rFonts w:ascii="Verdana" w:hAnsi="Verdana" w:cs="Arial"/>
          <w:sz w:val="18"/>
          <w:szCs w:val="18"/>
        </w:rPr>
        <w:t>2</w:t>
      </w:r>
      <w:r w:rsidR="004F3B1B">
        <w:rPr>
          <w:rFonts w:ascii="Verdana" w:hAnsi="Verdana" w:cs="Arial"/>
          <w:sz w:val="18"/>
          <w:szCs w:val="18"/>
        </w:rPr>
        <w:t>8</w:t>
      </w:r>
      <w:r w:rsidR="00BA1B11"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>% to €</w:t>
      </w:r>
      <w:r w:rsidR="004F3B1B">
        <w:rPr>
          <w:rFonts w:ascii="Verdana" w:hAnsi="Verdana" w:cs="Arial"/>
          <w:sz w:val="18"/>
          <w:szCs w:val="18"/>
        </w:rPr>
        <w:t>9</w:t>
      </w:r>
      <w:r w:rsidR="00BA1B11">
        <w:rPr>
          <w:rFonts w:ascii="Verdana" w:hAnsi="Verdana" w:cs="Arial"/>
          <w:sz w:val="18"/>
          <w:szCs w:val="18"/>
        </w:rPr>
        <w:t>.0</w:t>
      </w:r>
      <w:r w:rsidR="004F3B1B">
        <w:rPr>
          <w:rFonts w:ascii="Verdana" w:hAnsi="Verdana" w:cs="Arial"/>
          <w:sz w:val="18"/>
          <w:szCs w:val="18"/>
        </w:rPr>
        <w:t>73</w:t>
      </w:r>
      <w:r w:rsidR="00BA1B11"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0</w:t>
      </w:r>
      <w:r w:rsidR="006F785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million and in retail trade by </w:t>
      </w:r>
      <w:r w:rsidR="002D1E9B">
        <w:rPr>
          <w:rFonts w:ascii="Verdana" w:hAnsi="Verdana" w:cs="Arial"/>
          <w:sz w:val="18"/>
          <w:szCs w:val="18"/>
        </w:rPr>
        <w:t>1</w:t>
      </w:r>
      <w:r w:rsidR="004F3B1B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% to €</w:t>
      </w:r>
      <w:r w:rsidR="004F3B1B">
        <w:rPr>
          <w:rFonts w:ascii="Verdana" w:hAnsi="Verdana" w:cs="Arial"/>
          <w:sz w:val="18"/>
          <w:szCs w:val="18"/>
        </w:rPr>
        <w:t>7</w:t>
      </w:r>
      <w:r w:rsidR="006F785A">
        <w:rPr>
          <w:rFonts w:ascii="Verdana" w:hAnsi="Verdana" w:cs="Arial"/>
          <w:sz w:val="18"/>
          <w:szCs w:val="18"/>
        </w:rPr>
        <w:t>.</w:t>
      </w:r>
      <w:r w:rsidR="004F3B1B">
        <w:rPr>
          <w:rFonts w:ascii="Verdana" w:hAnsi="Verdana" w:cs="Arial"/>
          <w:sz w:val="18"/>
          <w:szCs w:val="18"/>
        </w:rPr>
        <w:t>324</w:t>
      </w:r>
      <w:r>
        <w:rPr>
          <w:rFonts w:ascii="Verdana" w:hAnsi="Verdana" w:cs="Arial"/>
          <w:sz w:val="18"/>
          <w:szCs w:val="18"/>
        </w:rPr>
        <w:t>,</w:t>
      </w:r>
      <w:r w:rsidR="004F3B1B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 million.</w:t>
      </w:r>
    </w:p>
    <w:p w14:paraId="047464C4" w14:textId="77777777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004A67E2" w14:textId="7C1B0A53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Production value in 20</w:t>
      </w:r>
      <w:r w:rsidR="00A45F07" w:rsidRPr="00A45F07">
        <w:rPr>
          <w:rFonts w:ascii="Verdana" w:hAnsi="Verdana" w:cs="Arial"/>
          <w:sz w:val="18"/>
          <w:szCs w:val="18"/>
        </w:rPr>
        <w:t>2</w:t>
      </w:r>
      <w:r w:rsidR="00965671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reached €</w:t>
      </w:r>
      <w:r w:rsidR="00A8332B">
        <w:rPr>
          <w:rFonts w:ascii="Verdana" w:hAnsi="Verdana" w:cs="Arial"/>
          <w:sz w:val="18"/>
          <w:szCs w:val="18"/>
        </w:rPr>
        <w:t>4</w:t>
      </w:r>
      <w:r>
        <w:rPr>
          <w:rFonts w:ascii="Verdana" w:hAnsi="Verdana" w:cs="Arial"/>
          <w:sz w:val="18"/>
          <w:szCs w:val="18"/>
        </w:rPr>
        <w:t>.</w:t>
      </w:r>
      <w:r w:rsidR="00A8332B">
        <w:rPr>
          <w:rFonts w:ascii="Verdana" w:hAnsi="Verdana" w:cs="Arial"/>
          <w:sz w:val="18"/>
          <w:szCs w:val="18"/>
        </w:rPr>
        <w:t>577,6</w:t>
      </w:r>
      <w:r>
        <w:rPr>
          <w:rFonts w:ascii="Verdana" w:hAnsi="Verdana" w:cs="Arial"/>
          <w:sz w:val="18"/>
          <w:szCs w:val="18"/>
        </w:rPr>
        <w:t xml:space="preserve"> million, registering a</w:t>
      </w:r>
      <w:r w:rsidR="00BA1B11">
        <w:rPr>
          <w:rFonts w:ascii="Verdana" w:hAnsi="Verdana" w:cs="Arial"/>
          <w:sz w:val="18"/>
          <w:szCs w:val="18"/>
        </w:rPr>
        <w:t>n</w:t>
      </w:r>
      <w:r>
        <w:rPr>
          <w:rFonts w:ascii="Verdana" w:hAnsi="Verdana" w:cs="Arial"/>
          <w:sz w:val="18"/>
          <w:szCs w:val="18"/>
        </w:rPr>
        <w:t xml:space="preserve"> </w:t>
      </w:r>
      <w:r w:rsidR="00BA1B11">
        <w:rPr>
          <w:rFonts w:ascii="Verdana" w:hAnsi="Verdana" w:cs="Arial"/>
          <w:sz w:val="18"/>
          <w:szCs w:val="18"/>
        </w:rPr>
        <w:t>inc</w:t>
      </w:r>
      <w:r w:rsidR="00FD0E68">
        <w:rPr>
          <w:rFonts w:ascii="Verdana" w:hAnsi="Verdana" w:cs="Arial"/>
          <w:sz w:val="18"/>
          <w:szCs w:val="18"/>
        </w:rPr>
        <w:t>rease</w:t>
      </w:r>
      <w:r>
        <w:rPr>
          <w:rFonts w:ascii="Verdana" w:hAnsi="Verdana" w:cs="Arial"/>
          <w:sz w:val="18"/>
          <w:szCs w:val="18"/>
        </w:rPr>
        <w:t xml:space="preserve"> of </w:t>
      </w:r>
      <w:r w:rsidR="00A8332B">
        <w:rPr>
          <w:rFonts w:ascii="Verdana" w:hAnsi="Verdana" w:cs="Arial"/>
          <w:sz w:val="18"/>
          <w:szCs w:val="18"/>
        </w:rPr>
        <w:t>16</w:t>
      </w:r>
      <w:r w:rsidR="00BA1B11">
        <w:rPr>
          <w:rFonts w:ascii="Verdana" w:hAnsi="Verdana" w:cs="Arial"/>
          <w:sz w:val="18"/>
          <w:szCs w:val="18"/>
        </w:rPr>
        <w:t>,</w:t>
      </w:r>
      <w:r w:rsidR="00A8332B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>% over 20</w:t>
      </w:r>
      <w:r w:rsidR="00BA1B11">
        <w:rPr>
          <w:rFonts w:ascii="Verdana" w:hAnsi="Verdana" w:cs="Arial"/>
          <w:sz w:val="18"/>
          <w:szCs w:val="18"/>
        </w:rPr>
        <w:t>2</w:t>
      </w:r>
      <w:r w:rsidR="00965671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</w:p>
    <w:p w14:paraId="417FF0D0" w14:textId="77777777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64463FBE" w14:textId="3722870D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the whole of the trade sector, value added at current prices </w:t>
      </w:r>
      <w:r w:rsidR="00BA1B11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 xml:space="preserve">creased by </w:t>
      </w:r>
      <w:r w:rsidR="00EC2B33">
        <w:rPr>
          <w:rFonts w:ascii="Verdana" w:hAnsi="Verdana" w:cs="Arial"/>
          <w:sz w:val="18"/>
          <w:szCs w:val="18"/>
        </w:rPr>
        <w:t>14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% to €2.</w:t>
      </w:r>
      <w:r w:rsidR="00EC2B33">
        <w:rPr>
          <w:rFonts w:ascii="Verdana" w:hAnsi="Verdana" w:cs="Arial"/>
          <w:sz w:val="18"/>
          <w:szCs w:val="18"/>
        </w:rPr>
        <w:t>891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 xml:space="preserve"> million in 20</w:t>
      </w:r>
      <w:r w:rsidR="00646C10">
        <w:rPr>
          <w:rFonts w:ascii="Verdana" w:hAnsi="Verdana" w:cs="Arial"/>
          <w:sz w:val="18"/>
          <w:szCs w:val="18"/>
        </w:rPr>
        <w:t>2</w:t>
      </w:r>
      <w:r w:rsidR="00EC2B33">
        <w:rPr>
          <w:rFonts w:ascii="Verdana" w:hAnsi="Verdana" w:cs="Arial"/>
          <w:sz w:val="18"/>
          <w:szCs w:val="18"/>
        </w:rPr>
        <w:t xml:space="preserve">2 </w:t>
      </w:r>
      <w:r>
        <w:rPr>
          <w:rFonts w:ascii="Verdana" w:hAnsi="Verdana" w:cs="Arial"/>
          <w:sz w:val="18"/>
          <w:szCs w:val="18"/>
        </w:rPr>
        <w:t>compared to €</w:t>
      </w:r>
      <w:r w:rsidR="00BA1B11">
        <w:rPr>
          <w:rFonts w:ascii="Verdana" w:hAnsi="Verdana" w:cs="Arial"/>
          <w:sz w:val="18"/>
          <w:szCs w:val="18"/>
        </w:rPr>
        <w:t>2.</w:t>
      </w:r>
      <w:r w:rsidR="00EC2B33">
        <w:rPr>
          <w:rFonts w:ascii="Verdana" w:hAnsi="Verdana" w:cs="Arial"/>
          <w:sz w:val="18"/>
          <w:szCs w:val="18"/>
        </w:rPr>
        <w:t>517</w:t>
      </w:r>
      <w:r w:rsidR="00BA1B11"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2</w:t>
      </w:r>
      <w:r w:rsidR="00BA1B1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million in 20</w:t>
      </w:r>
      <w:r w:rsidR="00BA1B11">
        <w:rPr>
          <w:rFonts w:ascii="Verdana" w:hAnsi="Verdana" w:cs="Arial"/>
          <w:sz w:val="18"/>
          <w:szCs w:val="18"/>
        </w:rPr>
        <w:t>2</w:t>
      </w:r>
      <w:r w:rsidR="00EC2B3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. In wholesale and retail trade and repair of motor vehicles and motorcycles, value added </w:t>
      </w:r>
      <w:r w:rsidR="00E067F6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 xml:space="preserve">creased by </w:t>
      </w:r>
      <w:r w:rsidR="00EC2B33">
        <w:rPr>
          <w:rFonts w:ascii="Verdana" w:hAnsi="Verdana" w:cs="Arial"/>
          <w:sz w:val="18"/>
          <w:szCs w:val="18"/>
        </w:rPr>
        <w:t>20</w:t>
      </w:r>
      <w:r>
        <w:rPr>
          <w:rFonts w:ascii="Verdana" w:hAnsi="Verdana" w:cs="Arial"/>
          <w:sz w:val="18"/>
          <w:szCs w:val="18"/>
        </w:rPr>
        <w:t>,</w:t>
      </w:r>
      <w:r w:rsidR="00BA1B11">
        <w:rPr>
          <w:rFonts w:ascii="Verdana" w:hAnsi="Verdana" w:cs="Arial"/>
          <w:sz w:val="18"/>
          <w:szCs w:val="18"/>
        </w:rPr>
        <w:t>6</w:t>
      </w:r>
      <w:r>
        <w:rPr>
          <w:rFonts w:ascii="Verdana" w:hAnsi="Verdana" w:cs="Arial"/>
          <w:sz w:val="18"/>
          <w:szCs w:val="18"/>
        </w:rPr>
        <w:t>% to €</w:t>
      </w:r>
      <w:r w:rsidR="00BA1B11">
        <w:rPr>
          <w:rFonts w:ascii="Verdana" w:hAnsi="Verdana" w:cs="Arial"/>
          <w:sz w:val="18"/>
          <w:szCs w:val="18"/>
        </w:rPr>
        <w:t>2</w:t>
      </w:r>
      <w:r w:rsidR="00EC2B33">
        <w:rPr>
          <w:rFonts w:ascii="Verdana" w:hAnsi="Verdana" w:cs="Arial"/>
          <w:sz w:val="18"/>
          <w:szCs w:val="18"/>
        </w:rPr>
        <w:t>63,5</w:t>
      </w:r>
      <w:r>
        <w:rPr>
          <w:rFonts w:ascii="Verdana" w:hAnsi="Verdana" w:cs="Arial"/>
          <w:sz w:val="18"/>
          <w:szCs w:val="18"/>
        </w:rPr>
        <w:t xml:space="preserve"> million, in wholesale trade </w:t>
      </w:r>
      <w:r w:rsidR="00646C10">
        <w:rPr>
          <w:rFonts w:ascii="Verdana" w:hAnsi="Verdana" w:cs="Arial"/>
          <w:sz w:val="18"/>
          <w:szCs w:val="18"/>
        </w:rPr>
        <w:t xml:space="preserve">increased </w:t>
      </w:r>
      <w:r>
        <w:rPr>
          <w:rFonts w:ascii="Verdana" w:hAnsi="Verdana" w:cs="Arial"/>
          <w:sz w:val="18"/>
          <w:szCs w:val="18"/>
        </w:rPr>
        <w:t>by</w:t>
      </w:r>
      <w:r w:rsidR="00646C10">
        <w:rPr>
          <w:rFonts w:ascii="Verdana" w:hAnsi="Verdana" w:cs="Arial"/>
          <w:sz w:val="18"/>
          <w:szCs w:val="18"/>
        </w:rPr>
        <w:t xml:space="preserve"> </w:t>
      </w:r>
      <w:r w:rsidR="00EC2B33">
        <w:rPr>
          <w:rFonts w:ascii="Verdana" w:hAnsi="Verdana" w:cs="Arial"/>
          <w:sz w:val="18"/>
          <w:szCs w:val="18"/>
        </w:rPr>
        <w:t>19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% to €</w:t>
      </w:r>
      <w:r w:rsidR="00BA1B11">
        <w:rPr>
          <w:rFonts w:ascii="Verdana" w:hAnsi="Verdana" w:cs="Arial"/>
          <w:sz w:val="18"/>
          <w:szCs w:val="18"/>
        </w:rPr>
        <w:t>1.</w:t>
      </w:r>
      <w:r w:rsidR="00EC2B33">
        <w:rPr>
          <w:rFonts w:ascii="Verdana" w:hAnsi="Verdana" w:cs="Arial"/>
          <w:sz w:val="18"/>
          <w:szCs w:val="18"/>
        </w:rPr>
        <w:t>412</w:t>
      </w:r>
      <w:r w:rsidR="00BA1B11"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6</w:t>
      </w:r>
      <w:r w:rsidR="00BA1B1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million and in retail trade </w:t>
      </w:r>
      <w:r w:rsidR="00BA1B11">
        <w:rPr>
          <w:rFonts w:ascii="Verdana" w:hAnsi="Verdana" w:cs="Arial"/>
          <w:sz w:val="18"/>
          <w:szCs w:val="18"/>
        </w:rPr>
        <w:t>in</w:t>
      </w:r>
      <w:r w:rsidR="00646C10">
        <w:rPr>
          <w:rFonts w:ascii="Verdana" w:hAnsi="Verdana" w:cs="Arial"/>
          <w:sz w:val="18"/>
          <w:szCs w:val="18"/>
        </w:rPr>
        <w:t xml:space="preserve">creased </w:t>
      </w:r>
      <w:r>
        <w:rPr>
          <w:rFonts w:ascii="Verdana" w:hAnsi="Verdana" w:cs="Arial"/>
          <w:sz w:val="18"/>
          <w:szCs w:val="18"/>
        </w:rPr>
        <w:t xml:space="preserve">by </w:t>
      </w:r>
      <w:r w:rsidR="00EC2B33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% to €</w:t>
      </w:r>
      <w:r w:rsidR="00BA1B11">
        <w:rPr>
          <w:rFonts w:ascii="Verdana" w:hAnsi="Verdana" w:cs="Arial"/>
          <w:sz w:val="18"/>
          <w:szCs w:val="18"/>
        </w:rPr>
        <w:t>1</w:t>
      </w:r>
      <w:r w:rsidR="00A55BE3" w:rsidRPr="00A55BE3">
        <w:rPr>
          <w:rFonts w:ascii="Verdana" w:hAnsi="Verdana" w:cs="Arial"/>
          <w:sz w:val="18"/>
          <w:szCs w:val="18"/>
        </w:rPr>
        <w:t>.</w:t>
      </w:r>
      <w:r w:rsidR="00EC2B33">
        <w:rPr>
          <w:rFonts w:ascii="Verdana" w:hAnsi="Verdana" w:cs="Arial"/>
          <w:sz w:val="18"/>
          <w:szCs w:val="18"/>
        </w:rPr>
        <w:t>215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 million.</w:t>
      </w:r>
    </w:p>
    <w:p w14:paraId="794E1C1C" w14:textId="77777777" w:rsidR="00B2785B" w:rsidRDefault="00B2785B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76083EA0" w14:textId="77777777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355781D4" w14:textId="123CA4DE" w:rsidR="00A67570" w:rsidRDefault="00BC35A4" w:rsidP="00A67570">
      <w:pPr>
        <w:tabs>
          <w:tab w:val="right" w:pos="9498"/>
        </w:tabs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43EF1E7D" wp14:editId="4B8396CA">
            <wp:extent cx="6071870" cy="3335020"/>
            <wp:effectExtent l="0" t="0" r="5080" b="0"/>
            <wp:docPr id="85170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33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AF314" w14:textId="77777777" w:rsidR="00B2785B" w:rsidRDefault="00B2785B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1495E6A7" w14:textId="77777777" w:rsidR="00B2785B" w:rsidRDefault="00B2785B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791C65AC" w14:textId="16D56BD1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Employment in the trade sector </w:t>
      </w:r>
      <w:r w:rsidR="00BA1B11">
        <w:rPr>
          <w:rFonts w:ascii="Verdana" w:hAnsi="Verdana" w:cs="Arial"/>
          <w:sz w:val="18"/>
          <w:szCs w:val="18"/>
        </w:rPr>
        <w:t>in</w:t>
      </w:r>
      <w:r>
        <w:rPr>
          <w:rFonts w:ascii="Verdana" w:hAnsi="Verdana" w:cs="Arial"/>
          <w:sz w:val="18"/>
          <w:szCs w:val="18"/>
        </w:rPr>
        <w:t>creased in 20</w:t>
      </w:r>
      <w:r w:rsidR="00EC2B33">
        <w:rPr>
          <w:rFonts w:ascii="Verdana" w:hAnsi="Verdana" w:cs="Arial"/>
          <w:sz w:val="18"/>
          <w:szCs w:val="18"/>
        </w:rPr>
        <w:t>22</w:t>
      </w:r>
      <w:r>
        <w:rPr>
          <w:rFonts w:ascii="Verdana" w:hAnsi="Verdana" w:cs="Arial"/>
          <w:sz w:val="18"/>
          <w:szCs w:val="18"/>
        </w:rPr>
        <w:t xml:space="preserve"> by </w:t>
      </w:r>
      <w:r w:rsidR="00EC2B33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% to 7</w:t>
      </w:r>
      <w:r w:rsidR="00EC2B33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thousand compared to 7</w:t>
      </w:r>
      <w:r w:rsidR="00EC2B33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5</w:t>
      </w:r>
      <w:r w:rsidR="00646C1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thousand in 20</w:t>
      </w:r>
      <w:r w:rsidR="00BA1B11">
        <w:rPr>
          <w:rFonts w:ascii="Verdana" w:hAnsi="Verdana" w:cs="Arial"/>
          <w:sz w:val="18"/>
          <w:szCs w:val="18"/>
        </w:rPr>
        <w:t>2</w:t>
      </w:r>
      <w:r w:rsidR="00EC2B33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 xml:space="preserve">. In wholesale and retail trade and repair of motor vehicles and motorcycles employment reached </w:t>
      </w:r>
      <w:r w:rsidR="00BA1B11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 xml:space="preserve"> thousand, in wholesale trade 2</w:t>
      </w:r>
      <w:r w:rsidR="00BA1B11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thousand and in retail trade </w:t>
      </w:r>
      <w:r w:rsidR="00EC2B33">
        <w:rPr>
          <w:rFonts w:ascii="Verdana" w:hAnsi="Verdana" w:cs="Arial"/>
          <w:sz w:val="18"/>
          <w:szCs w:val="18"/>
        </w:rPr>
        <w:t>40</w:t>
      </w:r>
      <w:r>
        <w:rPr>
          <w:rFonts w:ascii="Verdana" w:hAnsi="Verdana" w:cs="Arial"/>
          <w:sz w:val="18"/>
          <w:szCs w:val="18"/>
        </w:rPr>
        <w:t>,</w:t>
      </w:r>
      <w:r w:rsidR="00EC2B33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thousand persons.</w:t>
      </w:r>
    </w:p>
    <w:p w14:paraId="768E3BE5" w14:textId="499CBE5F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p w14:paraId="3803E3C5" w14:textId="0845BF68" w:rsidR="00A67570" w:rsidRDefault="00A67570" w:rsidP="00A67570">
      <w:pPr>
        <w:tabs>
          <w:tab w:val="right" w:pos="9498"/>
        </w:tabs>
        <w:jc w:val="both"/>
        <w:rPr>
          <w:rFonts w:ascii="Verdana" w:hAnsi="Verdana" w:cs="Arial"/>
          <w:sz w:val="18"/>
          <w:szCs w:val="18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940"/>
        <w:gridCol w:w="2860"/>
        <w:gridCol w:w="1060"/>
        <w:gridCol w:w="820"/>
        <w:gridCol w:w="1060"/>
        <w:gridCol w:w="820"/>
        <w:gridCol w:w="1060"/>
        <w:gridCol w:w="820"/>
      </w:tblGrid>
      <w:tr w:rsidR="00F518BD" w:rsidRPr="00F518BD" w14:paraId="6D64540B" w14:textId="77777777" w:rsidTr="00BC35A4">
        <w:trPr>
          <w:trHeight w:val="315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bottom"/>
            <w:hideMark/>
          </w:tcPr>
          <w:p w14:paraId="3037F2A4" w14:textId="62C57689" w:rsidR="00F518BD" w:rsidRPr="00F518BD" w:rsidRDefault="00F518BD" w:rsidP="00F518B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lastRenderedPageBreak/>
              <w:t>Table</w:t>
            </w:r>
          </w:p>
        </w:tc>
      </w:tr>
      <w:tr w:rsidR="00BC35A4" w:rsidRPr="00F518BD" w14:paraId="669FF551" w14:textId="77777777" w:rsidTr="00BC35A4">
        <w:trPr>
          <w:trHeight w:val="555"/>
          <w:jc w:val="center"/>
        </w:trPr>
        <w:tc>
          <w:tcPr>
            <w:tcW w:w="9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5E4291" w14:textId="0469EC9C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NACE Rev. 2</w:t>
            </w:r>
          </w:p>
        </w:tc>
        <w:tc>
          <w:tcPr>
            <w:tcW w:w="28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2C9050" w14:textId="5218AD3A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BC35A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5640" w:type="dxa"/>
            <w:gridSpan w:val="6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1B56A90C" w14:textId="112E35E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BC35A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Main Aggregates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BC35A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2022</w:t>
            </w:r>
          </w:p>
        </w:tc>
      </w:tr>
      <w:tr w:rsidR="00BC35A4" w:rsidRPr="00F518BD" w14:paraId="7438921C" w14:textId="77777777" w:rsidTr="00BC35A4">
        <w:trPr>
          <w:trHeight w:val="555"/>
          <w:jc w:val="center"/>
        </w:trPr>
        <w:tc>
          <w:tcPr>
            <w:tcW w:w="9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F91B5D" w14:textId="44798180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B9B91E2" w14:textId="029BC391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365F91"/>
              <w:left w:val="nil"/>
              <w:bottom w:val="single" w:sz="8" w:space="0" w:color="365F91"/>
              <w:right w:val="double" w:sz="4" w:space="0" w:color="365F91"/>
            </w:tcBorders>
            <w:shd w:val="clear" w:color="auto" w:fill="auto"/>
            <w:vAlign w:val="center"/>
            <w:hideMark/>
          </w:tcPr>
          <w:p w14:paraId="5A384F6F" w14:textId="202F964A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Turnover</w:t>
            </w:r>
          </w:p>
        </w:tc>
        <w:tc>
          <w:tcPr>
            <w:tcW w:w="1880" w:type="dxa"/>
            <w:gridSpan w:val="2"/>
            <w:tcBorders>
              <w:top w:val="single" w:sz="8" w:space="0" w:color="365F91"/>
              <w:left w:val="double" w:sz="4" w:space="0" w:color="365F91"/>
              <w:bottom w:val="single" w:sz="8" w:space="0" w:color="365F91"/>
              <w:right w:val="double" w:sz="4" w:space="0" w:color="365F91"/>
            </w:tcBorders>
            <w:shd w:val="clear" w:color="auto" w:fill="auto"/>
            <w:vAlign w:val="center"/>
            <w:hideMark/>
          </w:tcPr>
          <w:p w14:paraId="3D4C4857" w14:textId="7777777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Value Added at Current Prices</w:t>
            </w:r>
          </w:p>
        </w:tc>
        <w:tc>
          <w:tcPr>
            <w:tcW w:w="1880" w:type="dxa"/>
            <w:gridSpan w:val="2"/>
            <w:tcBorders>
              <w:top w:val="single" w:sz="8" w:space="0" w:color="365F91"/>
              <w:left w:val="double" w:sz="4" w:space="0" w:color="365F91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3280047A" w14:textId="7777777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Employment</w:t>
            </w:r>
          </w:p>
        </w:tc>
      </w:tr>
      <w:tr w:rsidR="00BC35A4" w:rsidRPr="00F518BD" w14:paraId="3ADA62D6" w14:textId="77777777" w:rsidTr="00BC35A4">
        <w:trPr>
          <w:trHeight w:val="420"/>
          <w:jc w:val="center"/>
        </w:trPr>
        <w:tc>
          <w:tcPr>
            <w:tcW w:w="940" w:type="dxa"/>
            <w:vMerge/>
            <w:tcBorders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394A3B8D" w14:textId="77777777" w:rsidR="00BC35A4" w:rsidRPr="00F518BD" w:rsidRDefault="00BC35A4" w:rsidP="00F518B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left w:val="nil"/>
              <w:bottom w:val="single" w:sz="8" w:space="0" w:color="365F91"/>
              <w:right w:val="nil"/>
            </w:tcBorders>
            <w:vAlign w:val="center"/>
            <w:hideMark/>
          </w:tcPr>
          <w:p w14:paraId="6FDB61F8" w14:textId="77777777" w:rsidR="00BC35A4" w:rsidRPr="00F518BD" w:rsidRDefault="00BC35A4" w:rsidP="00F518B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4E4A4773" w14:textId="7777777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 xml:space="preserve">€mn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12A3F766" w14:textId="77777777" w:rsidR="00BC35A4" w:rsidRPr="00F518BD" w:rsidRDefault="00BC35A4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%*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3756B7C2" w14:textId="7777777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€mn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14D44DB1" w14:textId="77777777" w:rsidR="00BC35A4" w:rsidRPr="00F518BD" w:rsidRDefault="00BC35A4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%*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2FB54C54" w14:textId="77777777" w:rsidR="00BC35A4" w:rsidRPr="00F518BD" w:rsidRDefault="00BC35A4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Number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93E01DD" w14:textId="77777777" w:rsidR="00BC35A4" w:rsidRPr="00F518BD" w:rsidRDefault="00BC35A4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%*</w:t>
            </w:r>
          </w:p>
        </w:tc>
      </w:tr>
      <w:tr w:rsidR="00F518BD" w:rsidRPr="00F518BD" w14:paraId="4156CA65" w14:textId="77777777" w:rsidTr="00BC35A4">
        <w:trPr>
          <w:trHeight w:val="96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E86A1" w14:textId="77777777" w:rsidR="00F518BD" w:rsidRPr="00F518BD" w:rsidRDefault="00F518BD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B4FE" w14:textId="77777777" w:rsidR="00F518BD" w:rsidRPr="00F518BD" w:rsidRDefault="00F518BD" w:rsidP="00F518BD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Wholesale and Retail Trade,</w:t>
            </w: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br/>
              <w:t>Repair of Motor Vehicles           and Motorcycles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3A56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17.618,2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75CDA259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20,7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1782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2.891,2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05C4B4B7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14,9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85E7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75.841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DC4F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3,2</w:t>
            </w:r>
          </w:p>
        </w:tc>
      </w:tr>
      <w:tr w:rsidR="00F518BD" w:rsidRPr="00F518BD" w14:paraId="350EA42E" w14:textId="77777777" w:rsidTr="00BC35A4">
        <w:trPr>
          <w:trHeight w:val="96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5CBC" w14:textId="77777777" w:rsidR="00F518BD" w:rsidRPr="00F518BD" w:rsidRDefault="00F518BD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5C2F" w14:textId="77777777" w:rsidR="00F518BD" w:rsidRPr="00F518BD" w:rsidRDefault="00F518BD" w:rsidP="00F518BD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Wholesale and Retail Trade and Repair of Motor Vehicles and Motorcycles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4048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1.220,9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7314CF63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17,9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02E1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263,5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3E2C133B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20,6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9FB1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9.287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28B0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F518BD" w:rsidRPr="00F518BD" w14:paraId="0055EB43" w14:textId="77777777" w:rsidTr="00BC35A4">
        <w:trPr>
          <w:trHeight w:val="96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D540D" w14:textId="77777777" w:rsidR="00F518BD" w:rsidRPr="00F518BD" w:rsidRDefault="00F518BD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3A4F" w14:textId="77777777" w:rsidR="00F518BD" w:rsidRPr="00F518BD" w:rsidRDefault="00F518BD" w:rsidP="00F518BD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Wholesale Trade,             except of Motor Vehicles         and Motorcycles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BC65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9.073,0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6B8B4468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28,7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4231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1.412,6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2F1427BF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19,2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8AFA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25.820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16254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3,2</w:t>
            </w:r>
          </w:p>
        </w:tc>
      </w:tr>
      <w:tr w:rsidR="00F518BD" w:rsidRPr="00F518BD" w14:paraId="15B2EF6B" w14:textId="77777777" w:rsidTr="00BC35A4">
        <w:trPr>
          <w:trHeight w:val="960"/>
          <w:jc w:val="center"/>
        </w:trPr>
        <w:tc>
          <w:tcPr>
            <w:tcW w:w="94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7B2F2C66" w14:textId="77777777" w:rsidR="00F518BD" w:rsidRPr="00F518BD" w:rsidRDefault="00F518BD" w:rsidP="00F518BD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BC734B3" w14:textId="77777777" w:rsidR="00F518BD" w:rsidRPr="00F518BD" w:rsidRDefault="00F518BD" w:rsidP="00F518BD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Retail Trade,</w:t>
            </w: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br/>
              <w:t>except of Motor Vehicles        and Motorcycles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043D919F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7.324,3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49082507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58815415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1.215,1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double" w:sz="6" w:space="0" w:color="365F91"/>
            </w:tcBorders>
            <w:shd w:val="clear" w:color="auto" w:fill="auto"/>
            <w:vAlign w:val="center"/>
            <w:hideMark/>
          </w:tcPr>
          <w:p w14:paraId="7483A1F6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78E94FA0" w14:textId="77777777" w:rsidR="00F518BD" w:rsidRPr="00F518BD" w:rsidRDefault="00F518BD" w:rsidP="00F518BD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40.734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  <w:hideMark/>
          </w:tcPr>
          <w:p w14:paraId="29A0B7AB" w14:textId="77777777" w:rsidR="00F518BD" w:rsidRPr="00F518BD" w:rsidRDefault="00F518BD" w:rsidP="00F518B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  <w:r w:rsidRPr="00F518BD"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  <w:t>3,5</w:t>
            </w:r>
          </w:p>
        </w:tc>
      </w:tr>
      <w:tr w:rsidR="00F518BD" w:rsidRPr="00F518BD" w14:paraId="692348D6" w14:textId="77777777" w:rsidTr="00BC35A4">
        <w:trPr>
          <w:trHeight w:val="300"/>
          <w:jc w:val="center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9C9D" w14:textId="77777777" w:rsidR="00F518BD" w:rsidRPr="00F518BD" w:rsidRDefault="00F518BD" w:rsidP="00F518BD">
            <w:pPr>
              <w:rPr>
                <w:rFonts w:ascii="Verdana" w:eastAsia="Times New Roman" w:hAnsi="Verdana" w:cs="Calibri"/>
                <w:b/>
                <w:bCs/>
                <w:i/>
                <w:iCs/>
                <w:color w:val="365F91"/>
                <w:sz w:val="16"/>
                <w:szCs w:val="16"/>
              </w:rPr>
            </w:pPr>
            <w:r w:rsidRPr="00F518BD">
              <w:rPr>
                <w:rFonts w:ascii="Verdana" w:eastAsia="Times New Roman" w:hAnsi="Verdana" w:cs="Calibri"/>
                <w:b/>
                <w:bCs/>
                <w:i/>
                <w:iCs/>
                <w:color w:val="365F91"/>
                <w:sz w:val="16"/>
                <w:szCs w:val="16"/>
              </w:rPr>
              <w:t>* Annual percentage change of 2022 compared to 2021.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41D" w14:textId="77777777" w:rsidR="00F518BD" w:rsidRPr="00F518BD" w:rsidRDefault="00F518BD" w:rsidP="00F518BD">
            <w:pPr>
              <w:rPr>
                <w:rFonts w:ascii="Verdana" w:eastAsia="Times New Roman" w:hAnsi="Verdana" w:cs="Calibri"/>
                <w:b/>
                <w:bCs/>
                <w:i/>
                <w:iCs/>
                <w:color w:val="365F91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567" w14:textId="77777777" w:rsidR="00F518BD" w:rsidRPr="00F518BD" w:rsidRDefault="00F518BD" w:rsidP="00F518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43B" w14:textId="77777777" w:rsidR="00F518BD" w:rsidRPr="00F518BD" w:rsidRDefault="00F518BD" w:rsidP="00F518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DAB" w14:textId="77777777" w:rsidR="00F518BD" w:rsidRPr="00F518BD" w:rsidRDefault="00F518BD" w:rsidP="00F518B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C12E2E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96E352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9BBE39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46E1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F50C18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1DDACFD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424F8F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AF2FF22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732A18D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C6C952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A21D4F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4B1F04" w14:textId="6EE81CAA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A0A68F" w14:textId="03229F15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3DA804" w14:textId="726394EB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54E8B0" w14:textId="616FA8BD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A93DCB" w14:textId="5EB45422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0C8FD1" w14:textId="47F61B3E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7FFCF4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F1A296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72EEF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D04384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BAFDBD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3A50CE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DEC100B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4305CF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E6A9FEF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865C80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C97A20B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7077" w14:textId="77EFD93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6CF8CF" w14:textId="3A91F158" w:rsidR="00761ACF" w:rsidRDefault="00761ACF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BE49623" w14:textId="5B607609" w:rsidR="00761ACF" w:rsidRDefault="00761ACF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E9D0F63" w14:textId="77777777" w:rsidR="00761ACF" w:rsidRDefault="00761ACF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D57516F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BDEC0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FD33E8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6BD220C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0D00D3D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989FB2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19A38EE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013E39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8967B89" w14:textId="77777777" w:rsidR="00A67570" w:rsidRDefault="00A67570" w:rsidP="00A67570">
      <w:pPr>
        <w:tabs>
          <w:tab w:val="right" w:pos="9498"/>
        </w:tabs>
        <w:ind w:right="255"/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00E1ED8" w14:textId="77777777" w:rsidR="00A67570" w:rsidRDefault="00A67570" w:rsidP="00A67570">
      <w:pPr>
        <w:tabs>
          <w:tab w:val="right" w:pos="9498"/>
        </w:tabs>
        <w:ind w:right="255"/>
        <w:jc w:val="center"/>
        <w:rPr>
          <w:rFonts w:ascii="Verdana" w:eastAsia="Malgun Gothic" w:hAnsi="Verdana" w:cs="Arial"/>
          <w:b/>
          <w:u w:val="single"/>
        </w:rPr>
      </w:pPr>
    </w:p>
    <w:p w14:paraId="68C229C5" w14:textId="77777777" w:rsidR="00A67570" w:rsidRDefault="00A67570" w:rsidP="00A67570">
      <w:pPr>
        <w:tabs>
          <w:tab w:val="right" w:pos="9498"/>
        </w:tabs>
        <w:ind w:right="255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Definitions</w:t>
      </w:r>
    </w:p>
    <w:p w14:paraId="7BC95A95" w14:textId="77777777" w:rsidR="00A67570" w:rsidRDefault="00A67570" w:rsidP="00A67570">
      <w:pPr>
        <w:tabs>
          <w:tab w:val="right" w:pos="9498"/>
        </w:tabs>
        <w:ind w:right="255"/>
        <w:rPr>
          <w:rFonts w:ascii="Verdana" w:eastAsia="Malgun Gothic" w:hAnsi="Verdana" w:cs="Arial"/>
          <w:b/>
          <w:u w:val="single"/>
        </w:rPr>
      </w:pPr>
    </w:p>
    <w:p w14:paraId="76A4F52B" w14:textId="7EB57B04" w:rsidR="00A67570" w:rsidRDefault="00065EB6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T</w:t>
      </w:r>
      <w:r w:rsidR="00A67570">
        <w:rPr>
          <w:rFonts w:ascii="Verdana" w:eastAsia="Malgun Gothic" w:hAnsi="Verdana" w:cs="Arial"/>
          <w:b/>
          <w:sz w:val="18"/>
          <w:szCs w:val="18"/>
        </w:rPr>
        <w:t>urnover</w:t>
      </w:r>
      <w:r w:rsidR="00A67570">
        <w:rPr>
          <w:rFonts w:ascii="Verdana" w:eastAsia="Malgun Gothic" w:hAnsi="Verdana" w:cs="Arial"/>
          <w:sz w:val="18"/>
          <w:szCs w:val="18"/>
        </w:rPr>
        <w:t xml:space="preserve"> – </w:t>
      </w:r>
      <w:r w:rsidR="0038258E">
        <w:rPr>
          <w:rFonts w:ascii="Verdana" w:eastAsia="Malgun Gothic" w:hAnsi="Verdana" w:cs="Arial"/>
          <w:sz w:val="18"/>
          <w:szCs w:val="18"/>
        </w:rPr>
        <w:t>C</w:t>
      </w:r>
      <w:r w:rsidR="0038258E" w:rsidRPr="0038258E">
        <w:rPr>
          <w:rFonts w:ascii="Verdana" w:eastAsia="Malgun Gothic" w:hAnsi="Verdana" w:cs="Arial"/>
          <w:sz w:val="18"/>
          <w:szCs w:val="18"/>
        </w:rPr>
        <w:t>onsists of</w:t>
      </w:r>
      <w:r w:rsidR="0042563E">
        <w:rPr>
          <w:rFonts w:ascii="Verdana" w:eastAsia="Malgun Gothic" w:hAnsi="Verdana" w:cs="Arial"/>
          <w:sz w:val="18"/>
          <w:szCs w:val="18"/>
        </w:rPr>
        <w:t xml:space="preserve"> </w:t>
      </w:r>
      <w:r w:rsidR="0038258E" w:rsidRPr="0038258E">
        <w:rPr>
          <w:rFonts w:ascii="Verdana" w:eastAsia="Malgun Gothic" w:hAnsi="Verdana" w:cs="Arial"/>
          <w:sz w:val="18"/>
          <w:szCs w:val="18"/>
        </w:rPr>
        <w:t xml:space="preserve">all income arising during the reference period in the course of ordinary activities of </w:t>
      </w:r>
      <w:r>
        <w:rPr>
          <w:rFonts w:ascii="Verdana" w:eastAsia="Malgun Gothic" w:hAnsi="Verdana" w:cs="Arial"/>
          <w:sz w:val="18"/>
          <w:szCs w:val="18"/>
        </w:rPr>
        <w:t>an enterprise</w:t>
      </w:r>
      <w:r w:rsidR="0038258E" w:rsidRPr="0038258E">
        <w:rPr>
          <w:rFonts w:ascii="Verdana" w:eastAsia="Malgun Gothic" w:hAnsi="Verdana" w:cs="Arial"/>
          <w:sz w:val="18"/>
          <w:szCs w:val="18"/>
        </w:rPr>
        <w:t>, and is presented net of all price reductions, discounts and rebates granted by it</w:t>
      </w:r>
      <w:r w:rsidR="00A67570">
        <w:rPr>
          <w:rFonts w:ascii="Verdana" w:eastAsia="Malgun Gothic" w:hAnsi="Verdana" w:cs="Arial"/>
          <w:sz w:val="18"/>
          <w:szCs w:val="18"/>
        </w:rPr>
        <w:t>.</w:t>
      </w:r>
    </w:p>
    <w:p w14:paraId="315E7A51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10874D78" w14:textId="00FEC1FD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>
        <w:rPr>
          <w:rFonts w:ascii="Verdana" w:eastAsia="Malgun Gothic" w:hAnsi="Verdana" w:cs="Arial"/>
          <w:b/>
          <w:sz w:val="18"/>
          <w:szCs w:val="18"/>
        </w:rPr>
        <w:t>Production value</w:t>
      </w:r>
      <w:r>
        <w:rPr>
          <w:rFonts w:ascii="Verdana" w:eastAsia="Malgun Gothic" w:hAnsi="Verdana" w:cs="Arial"/>
          <w:sz w:val="18"/>
          <w:szCs w:val="18"/>
        </w:rPr>
        <w:t xml:space="preserve"> – Derived by adding on</w:t>
      </w:r>
      <w:r w:rsidR="00065EB6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turnover other </w:t>
      </w:r>
      <w:r>
        <w:rPr>
          <w:rFonts w:ascii="Verdana" w:eastAsia="Malgun Gothic" w:hAnsi="Verdana" w:cs="Arial"/>
          <w:sz w:val="18"/>
          <w:szCs w:val="18"/>
          <w:lang w:val="en-GB"/>
        </w:rPr>
        <w:t>income and changes in the value of stocks at the end of the year and deducting the cost of goods purchased for resale.</w:t>
      </w:r>
    </w:p>
    <w:p w14:paraId="31B3B87B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56B90FE3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>
        <w:rPr>
          <w:rFonts w:ascii="Verdana" w:eastAsia="Malgun Gothic" w:hAnsi="Verdana" w:cs="Arial"/>
          <w:b/>
          <w:sz w:val="18"/>
          <w:szCs w:val="18"/>
          <w:lang w:val="en-GB"/>
        </w:rPr>
        <w:t>Value added</w:t>
      </w:r>
      <w:r>
        <w:rPr>
          <w:rFonts w:ascii="Verdana" w:eastAsia="Malgun Gothic" w:hAnsi="Verdana" w:cs="Arial"/>
          <w:sz w:val="18"/>
          <w:szCs w:val="18"/>
          <w:lang w:val="en-GB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</w:rPr>
        <w:t>at current prices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n-GB"/>
        </w:rPr>
        <w:t>- Derived by deducting from the production value the total cost of production expenses, administrative expenses and rents paid for buildings and machinery.</w:t>
      </w:r>
    </w:p>
    <w:p w14:paraId="14A36311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5B1C305B" w14:textId="44378ACA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Employment</w:t>
      </w:r>
      <w:r>
        <w:rPr>
          <w:rFonts w:ascii="Verdana" w:eastAsia="Malgun Gothic" w:hAnsi="Verdana" w:cs="Arial"/>
          <w:sz w:val="18"/>
          <w:szCs w:val="18"/>
        </w:rPr>
        <w:t xml:space="preserve"> – The </w:t>
      </w:r>
      <w:r w:rsidR="0038258E">
        <w:rPr>
          <w:rFonts w:ascii="Verdana" w:eastAsia="Malgun Gothic" w:hAnsi="Verdana" w:cs="Arial"/>
          <w:sz w:val="18"/>
          <w:szCs w:val="18"/>
        </w:rPr>
        <w:t xml:space="preserve">total </w:t>
      </w:r>
      <w:r>
        <w:rPr>
          <w:rFonts w:ascii="Verdana" w:eastAsia="Malgun Gothic" w:hAnsi="Verdana" w:cs="Arial"/>
          <w:sz w:val="18"/>
          <w:szCs w:val="18"/>
        </w:rPr>
        <w:t xml:space="preserve">number of </w:t>
      </w:r>
      <w:r w:rsidR="00FA282C">
        <w:rPr>
          <w:rFonts w:ascii="Verdana" w:eastAsia="Malgun Gothic" w:hAnsi="Verdana" w:cs="Arial"/>
          <w:sz w:val="18"/>
          <w:szCs w:val="18"/>
        </w:rPr>
        <w:t>employees and self-employed persons.</w:t>
      </w:r>
    </w:p>
    <w:p w14:paraId="63780134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0DD3022F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730773D4" w14:textId="77DE0026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Coverage and </w:t>
      </w:r>
      <w:r w:rsidR="007A15E6">
        <w:rPr>
          <w:rFonts w:ascii="Verdana" w:eastAsia="Malgun Gothic" w:hAnsi="Verdana" w:cs="Arial"/>
          <w:b/>
          <w:sz w:val="18"/>
          <w:szCs w:val="18"/>
          <w:u w:val="single"/>
        </w:rPr>
        <w:t>C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ollection of </w:t>
      </w:r>
      <w:r w:rsidR="007A15E6"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</w:p>
    <w:p w14:paraId="7FF3730A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39913D8B" w14:textId="4842B242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Wholesale and Retail Trade Survey covers a sample of around 2.</w:t>
      </w:r>
      <w:r w:rsidR="00EC2B33">
        <w:rPr>
          <w:rFonts w:ascii="Verdana" w:eastAsia="Malgun Gothic" w:hAnsi="Verdana" w:cs="Arial"/>
          <w:sz w:val="18"/>
          <w:szCs w:val="18"/>
        </w:rPr>
        <w:t>250</w:t>
      </w:r>
      <w:r>
        <w:rPr>
          <w:rFonts w:ascii="Verdana" w:eastAsia="Malgun Gothic" w:hAnsi="Verdana" w:cs="Arial"/>
          <w:sz w:val="18"/>
          <w:szCs w:val="18"/>
        </w:rPr>
        <w:t xml:space="preserve"> enterprises with main activity falling under section G of the classification system of economic activities NACE Rev. 2 of the European Union, in particular divisions 45 (</w:t>
      </w:r>
      <w:r>
        <w:rPr>
          <w:rFonts w:ascii="Verdana" w:hAnsi="Verdana" w:cs="Arial"/>
          <w:sz w:val="18"/>
          <w:szCs w:val="18"/>
        </w:rPr>
        <w:t>wholesale and retail trade and repair of motor vehicles and motorcycles), 46 (wholesale trade, except of motor vehicles and motorcycles) and 47 (retail trade, except of motor vehicles and motorcycles)</w:t>
      </w:r>
      <w:r>
        <w:rPr>
          <w:rFonts w:ascii="Verdana" w:eastAsia="Malgun Gothic" w:hAnsi="Verdana" w:cs="Arial"/>
          <w:sz w:val="18"/>
          <w:szCs w:val="18"/>
        </w:rPr>
        <w:t>.</w:t>
      </w:r>
    </w:p>
    <w:p w14:paraId="13F2E187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67C2BE53" w14:textId="2C25B06E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collection of data by the Statistical Service is done by</w:t>
      </w:r>
      <w:r w:rsidR="000A4DF8" w:rsidRPr="000A4DF8">
        <w:rPr>
          <w:rFonts w:ascii="Verdana" w:eastAsia="Malgun Gothic" w:hAnsi="Verdana" w:cs="Arial"/>
          <w:sz w:val="18"/>
          <w:szCs w:val="18"/>
        </w:rPr>
        <w:t xml:space="preserve"> </w:t>
      </w:r>
      <w:r w:rsidR="000A4DF8">
        <w:rPr>
          <w:rFonts w:ascii="Verdana" w:eastAsia="Malgun Gothic" w:hAnsi="Verdana" w:cs="Arial"/>
          <w:sz w:val="18"/>
          <w:szCs w:val="18"/>
        </w:rPr>
        <w:t>phone interviews, by email, by</w:t>
      </w:r>
      <w:r>
        <w:rPr>
          <w:rFonts w:ascii="Verdana" w:eastAsia="Malgun Gothic" w:hAnsi="Verdana" w:cs="Arial"/>
          <w:sz w:val="18"/>
          <w:szCs w:val="18"/>
        </w:rPr>
        <w:t xml:space="preserve"> personal interview</w:t>
      </w:r>
      <w:r w:rsidR="000A4DF8">
        <w:rPr>
          <w:rFonts w:ascii="Verdana" w:eastAsia="Malgun Gothic" w:hAnsi="Verdana" w:cs="Arial"/>
          <w:sz w:val="18"/>
          <w:szCs w:val="18"/>
        </w:rPr>
        <w:t>s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0A4DF8">
        <w:rPr>
          <w:rFonts w:ascii="Verdana" w:eastAsia="Malgun Gothic" w:hAnsi="Verdana" w:cs="Arial"/>
          <w:sz w:val="18"/>
          <w:szCs w:val="18"/>
        </w:rPr>
        <w:t>and</w:t>
      </w:r>
      <w:r w:rsidR="00A55BE3">
        <w:rPr>
          <w:rFonts w:ascii="Verdana" w:eastAsia="Malgun Gothic" w:hAnsi="Verdana" w:cs="Arial"/>
          <w:sz w:val="18"/>
          <w:szCs w:val="18"/>
        </w:rPr>
        <w:t xml:space="preserve"> using </w:t>
      </w:r>
      <w:r w:rsidR="000A4DF8">
        <w:rPr>
          <w:rFonts w:ascii="Verdana" w:eastAsia="Malgun Gothic" w:hAnsi="Verdana" w:cs="Arial"/>
          <w:sz w:val="18"/>
          <w:szCs w:val="18"/>
        </w:rPr>
        <w:t>administrative sources.</w:t>
      </w:r>
    </w:p>
    <w:p w14:paraId="350C5E87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17B4D605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</w:p>
    <w:p w14:paraId="0F832A54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information:</w:t>
      </w:r>
    </w:p>
    <w:p w14:paraId="35FB87F2" w14:textId="5CD4B537" w:rsidR="00A67570" w:rsidRDefault="00B87C7E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GB"/>
        </w:rPr>
        <w:t xml:space="preserve">CYSTAT Portal, subtheme </w:t>
      </w:r>
      <w:hyperlink r:id="rId9" w:history="1">
        <w:r w:rsidR="00A67570">
          <w:rPr>
            <w:rStyle w:val="Hyperlink"/>
            <w:rFonts w:ascii="Verdana" w:eastAsia="Malgun Gothic" w:hAnsi="Verdana" w:cs="Arial"/>
            <w:sz w:val="18"/>
            <w:szCs w:val="18"/>
          </w:rPr>
          <w:t>Wholesale and Retail Trade</w:t>
        </w:r>
      </w:hyperlink>
    </w:p>
    <w:p w14:paraId="4AD2C5F7" w14:textId="43F472DB" w:rsidR="00BB45C2" w:rsidRDefault="00000000" w:rsidP="00BB45C2">
      <w:pPr>
        <w:jc w:val="both"/>
        <w:rPr>
          <w:color w:val="000000"/>
        </w:rPr>
      </w:pPr>
      <w:hyperlink r:id="rId10" w:tooltip="Predefined Tables" w:history="1">
        <w:r w:rsidR="00BB45C2" w:rsidRPr="00BB45C2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BB45C2"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28BB7B0E" w14:textId="77777777" w:rsidR="002B61C9" w:rsidRDefault="00000000" w:rsidP="002B61C9">
      <w:pPr>
        <w:jc w:val="both"/>
        <w:rPr>
          <w:rFonts w:ascii="Verdana" w:hAnsi="Verdana"/>
          <w:sz w:val="18"/>
          <w:szCs w:val="18"/>
        </w:rPr>
      </w:pPr>
      <w:hyperlink r:id="rId11" w:tooltip="Methodological Information" w:history="1">
        <w:r w:rsidR="002B61C9" w:rsidRPr="00D138D4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51EE4D1E" w14:textId="77777777" w:rsidR="00BB45C2" w:rsidRDefault="00BB45C2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b/>
          <w:i/>
          <w:sz w:val="18"/>
          <w:szCs w:val="18"/>
        </w:rPr>
      </w:pPr>
    </w:p>
    <w:p w14:paraId="1457A736" w14:textId="77777777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</w:p>
    <w:p w14:paraId="01B67C9E" w14:textId="7B8407CA" w:rsidR="00A67570" w:rsidRDefault="00A67570" w:rsidP="00A67570">
      <w:pPr>
        <w:tabs>
          <w:tab w:val="right" w:pos="9498"/>
        </w:tabs>
        <w:ind w:right="254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Constantia Sergidi, </w:t>
      </w:r>
      <w:r w:rsidR="00416E32">
        <w:rPr>
          <w:rFonts w:ascii="Verdana" w:eastAsia="Malgun Gothic" w:hAnsi="Verdana" w:cs="Arial"/>
          <w:sz w:val="18"/>
          <w:szCs w:val="18"/>
        </w:rPr>
        <w:t>Tel: +</w:t>
      </w:r>
      <w:r>
        <w:rPr>
          <w:rFonts w:ascii="Verdana" w:eastAsia="Malgun Gothic" w:hAnsi="Verdana" w:cs="Arial"/>
          <w:sz w:val="18"/>
          <w:szCs w:val="18"/>
        </w:rPr>
        <w:t xml:space="preserve">35722602237, Email: </w:t>
      </w:r>
      <w:hyperlink r:id="rId12" w:history="1">
        <w:r>
          <w:rPr>
            <w:rStyle w:val="Hyperlink"/>
            <w:rFonts w:ascii="Verdana" w:hAnsi="Verdana"/>
            <w:sz w:val="18"/>
            <w:szCs w:val="18"/>
          </w:rPr>
          <w:t>ksergidi@cystat.mof.gov.cy</w:t>
        </w:r>
      </w:hyperlink>
    </w:p>
    <w:p w14:paraId="50D75D2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1CFA34" w14:textId="77777777" w:rsidR="00A67570" w:rsidRDefault="00A67570" w:rsidP="00A67570">
      <w:pPr>
        <w:jc w:val="both"/>
        <w:rPr>
          <w:rFonts w:ascii="Verdana" w:hAnsi="Verdana" w:cs="Arial"/>
          <w:sz w:val="18"/>
          <w:szCs w:val="18"/>
        </w:rPr>
      </w:pPr>
    </w:p>
    <w:p w14:paraId="7FB7A2B6" w14:textId="77777777" w:rsidR="00A67570" w:rsidRDefault="00A67570" w:rsidP="00A67570">
      <w:pPr>
        <w:jc w:val="both"/>
        <w:rPr>
          <w:rFonts w:ascii="Verdana" w:hAnsi="Verdana" w:cs="Arial"/>
          <w:sz w:val="18"/>
          <w:szCs w:val="18"/>
        </w:rPr>
      </w:pPr>
    </w:p>
    <w:p w14:paraId="42EA09D7" w14:textId="77777777" w:rsidR="00A67570" w:rsidRDefault="00A67570" w:rsidP="00A67570">
      <w:pPr>
        <w:jc w:val="both"/>
        <w:rPr>
          <w:rFonts w:ascii="Verdana" w:hAnsi="Verdana" w:cs="Arial"/>
          <w:sz w:val="18"/>
          <w:szCs w:val="18"/>
        </w:rPr>
      </w:pPr>
    </w:p>
    <w:p w14:paraId="27886256" w14:textId="77777777" w:rsidR="00A67570" w:rsidRDefault="00A67570" w:rsidP="00A67570">
      <w:pPr>
        <w:jc w:val="both"/>
        <w:rPr>
          <w:rFonts w:ascii="Verdana" w:hAnsi="Verdana" w:cs="Arial"/>
          <w:sz w:val="18"/>
          <w:szCs w:val="18"/>
        </w:rPr>
      </w:pPr>
    </w:p>
    <w:p w14:paraId="36313FEE" w14:textId="77777777" w:rsidR="00A67570" w:rsidRDefault="00A67570" w:rsidP="00A67570">
      <w:pPr>
        <w:jc w:val="both"/>
        <w:rPr>
          <w:rFonts w:ascii="Verdana" w:hAnsi="Verdana" w:cs="Arial"/>
          <w:sz w:val="18"/>
          <w:szCs w:val="18"/>
        </w:rPr>
      </w:pPr>
    </w:p>
    <w:p w14:paraId="1A6E5A44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899D26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5E885B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A1E4D3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6D43D5B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742A991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013E4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B7E12E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4662E6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4CEC71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17918E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7ADB632" w14:textId="77777777" w:rsidR="00A67570" w:rsidRDefault="00A67570" w:rsidP="00A67570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7EE8272" w14:textId="77777777" w:rsidR="007437AB" w:rsidRPr="00A67570" w:rsidRDefault="007437AB" w:rsidP="006F1E66">
      <w:pPr>
        <w:jc w:val="both"/>
        <w:rPr>
          <w:rFonts w:ascii="Verdana" w:hAnsi="Verdana" w:cs="Arial"/>
          <w:sz w:val="18"/>
          <w:szCs w:val="18"/>
        </w:rPr>
      </w:pPr>
    </w:p>
    <w:p w14:paraId="4CF89882" w14:textId="70DD252D" w:rsidR="0095405B" w:rsidRDefault="00463214" w:rsidP="00072754">
      <w:pPr>
        <w:jc w:val="both"/>
        <w:rPr>
          <w:rFonts w:ascii="Verdana" w:eastAsia="Malgun Gothic" w:hAnsi="Verdana" w:cs="Arial"/>
          <w:sz w:val="18"/>
          <w:szCs w:val="18"/>
        </w:rPr>
      </w:pPr>
      <w:r w:rsidRPr="00A67570">
        <w:rPr>
          <w:rFonts w:ascii="Arial" w:hAnsi="Arial" w:cs="Arial"/>
          <w:sz w:val="20"/>
          <w:szCs w:val="20"/>
        </w:rPr>
        <w:tab/>
      </w:r>
      <w:r w:rsidRPr="00A67570">
        <w:rPr>
          <w:rFonts w:ascii="Arial" w:hAnsi="Arial" w:cs="Arial"/>
          <w:sz w:val="18"/>
          <w:szCs w:val="18"/>
        </w:rPr>
        <w:tab/>
      </w:r>
    </w:p>
    <w:p w14:paraId="7677F316" w14:textId="72B59298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CD4F3B7" w14:textId="409697A9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5938E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64A7" w14:textId="77777777" w:rsidR="00557127" w:rsidRDefault="00557127" w:rsidP="00FB398F">
      <w:r>
        <w:separator/>
      </w:r>
    </w:p>
  </w:endnote>
  <w:endnote w:type="continuationSeparator" w:id="0">
    <w:p w14:paraId="35ACA915" w14:textId="77777777" w:rsidR="00557127" w:rsidRDefault="0055712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0DA2" w14:textId="0BB770A8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8332B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CE26" w14:textId="3A1E91DF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BD13" w14:textId="77777777" w:rsidR="00557127" w:rsidRDefault="00557127" w:rsidP="00FB398F">
      <w:r>
        <w:separator/>
      </w:r>
    </w:p>
  </w:footnote>
  <w:footnote w:type="continuationSeparator" w:id="0">
    <w:p w14:paraId="6808C373" w14:textId="77777777" w:rsidR="00557127" w:rsidRDefault="0055712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1AB80B43" w:rsidR="004E4F42" w:rsidRPr="00AC704B" w:rsidRDefault="004E4F4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3479048">
    <w:abstractNumId w:val="4"/>
  </w:num>
  <w:num w:numId="2" w16cid:durableId="455876216">
    <w:abstractNumId w:val="1"/>
  </w:num>
  <w:num w:numId="3" w16cid:durableId="1682659524">
    <w:abstractNumId w:val="2"/>
  </w:num>
  <w:num w:numId="4" w16cid:durableId="1164584245">
    <w:abstractNumId w:val="3"/>
  </w:num>
  <w:num w:numId="5" w16cid:durableId="1979411006">
    <w:abstractNumId w:val="0"/>
  </w:num>
  <w:num w:numId="6" w16cid:durableId="2063944137">
    <w:abstractNumId w:val="5"/>
  </w:num>
  <w:num w:numId="7" w16cid:durableId="621545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65EB6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4DF8"/>
    <w:rsid w:val="000A6FA8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0371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44407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5C82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17314"/>
    <w:rsid w:val="00222423"/>
    <w:rsid w:val="00225B28"/>
    <w:rsid w:val="002313AC"/>
    <w:rsid w:val="00235FB2"/>
    <w:rsid w:val="00237BC1"/>
    <w:rsid w:val="002430B4"/>
    <w:rsid w:val="00243638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2133"/>
    <w:rsid w:val="002B61C9"/>
    <w:rsid w:val="002B6554"/>
    <w:rsid w:val="002D05F0"/>
    <w:rsid w:val="002D1E9B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7B38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258E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16E32"/>
    <w:rsid w:val="00422F54"/>
    <w:rsid w:val="0042563E"/>
    <w:rsid w:val="00431443"/>
    <w:rsid w:val="00431516"/>
    <w:rsid w:val="004361B3"/>
    <w:rsid w:val="0044249D"/>
    <w:rsid w:val="00443200"/>
    <w:rsid w:val="0044379F"/>
    <w:rsid w:val="004452A6"/>
    <w:rsid w:val="00446FB1"/>
    <w:rsid w:val="0046078F"/>
    <w:rsid w:val="00463214"/>
    <w:rsid w:val="0046434D"/>
    <w:rsid w:val="004656FA"/>
    <w:rsid w:val="00467EE5"/>
    <w:rsid w:val="00471D77"/>
    <w:rsid w:val="00475587"/>
    <w:rsid w:val="00480BC2"/>
    <w:rsid w:val="004929C2"/>
    <w:rsid w:val="00493FDD"/>
    <w:rsid w:val="0049586B"/>
    <w:rsid w:val="004A3E44"/>
    <w:rsid w:val="004A7983"/>
    <w:rsid w:val="004B2195"/>
    <w:rsid w:val="004B2896"/>
    <w:rsid w:val="004B32A3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3B1B"/>
    <w:rsid w:val="004F4DC9"/>
    <w:rsid w:val="004F52F0"/>
    <w:rsid w:val="004F6250"/>
    <w:rsid w:val="004F677C"/>
    <w:rsid w:val="004F6D8F"/>
    <w:rsid w:val="005016CD"/>
    <w:rsid w:val="00505503"/>
    <w:rsid w:val="00510327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465F0"/>
    <w:rsid w:val="00557127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10E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5DEF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2471"/>
    <w:rsid w:val="00644507"/>
    <w:rsid w:val="00646880"/>
    <w:rsid w:val="00646C10"/>
    <w:rsid w:val="00647D2A"/>
    <w:rsid w:val="00652E1A"/>
    <w:rsid w:val="006537BB"/>
    <w:rsid w:val="0065711B"/>
    <w:rsid w:val="00671785"/>
    <w:rsid w:val="00672BA9"/>
    <w:rsid w:val="00673005"/>
    <w:rsid w:val="006804BE"/>
    <w:rsid w:val="00681375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E7FB6"/>
    <w:rsid w:val="006F0F69"/>
    <w:rsid w:val="006F116B"/>
    <w:rsid w:val="006F117F"/>
    <w:rsid w:val="006F13DF"/>
    <w:rsid w:val="006F1E66"/>
    <w:rsid w:val="006F785A"/>
    <w:rsid w:val="00702F26"/>
    <w:rsid w:val="0070313E"/>
    <w:rsid w:val="00703799"/>
    <w:rsid w:val="00705C5C"/>
    <w:rsid w:val="00711475"/>
    <w:rsid w:val="00723844"/>
    <w:rsid w:val="0072548A"/>
    <w:rsid w:val="007277A6"/>
    <w:rsid w:val="007437AB"/>
    <w:rsid w:val="007534F8"/>
    <w:rsid w:val="007545AD"/>
    <w:rsid w:val="00761ACF"/>
    <w:rsid w:val="00762C53"/>
    <w:rsid w:val="00763722"/>
    <w:rsid w:val="00764BC1"/>
    <w:rsid w:val="00770869"/>
    <w:rsid w:val="007738AA"/>
    <w:rsid w:val="00780A62"/>
    <w:rsid w:val="00783241"/>
    <w:rsid w:val="007838EC"/>
    <w:rsid w:val="00784BDC"/>
    <w:rsid w:val="00790A83"/>
    <w:rsid w:val="00792F28"/>
    <w:rsid w:val="0079543F"/>
    <w:rsid w:val="00795880"/>
    <w:rsid w:val="007A15E6"/>
    <w:rsid w:val="007A4367"/>
    <w:rsid w:val="007B0867"/>
    <w:rsid w:val="007B1AC1"/>
    <w:rsid w:val="007B5A08"/>
    <w:rsid w:val="007B693D"/>
    <w:rsid w:val="007C3C6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171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3F41"/>
    <w:rsid w:val="008860BD"/>
    <w:rsid w:val="00887399"/>
    <w:rsid w:val="0088779E"/>
    <w:rsid w:val="008912AF"/>
    <w:rsid w:val="00892114"/>
    <w:rsid w:val="00892CB9"/>
    <w:rsid w:val="008935CB"/>
    <w:rsid w:val="0089757C"/>
    <w:rsid w:val="008B0E7E"/>
    <w:rsid w:val="008B5FF0"/>
    <w:rsid w:val="008B65BD"/>
    <w:rsid w:val="008B7900"/>
    <w:rsid w:val="008C71BF"/>
    <w:rsid w:val="008C7FE0"/>
    <w:rsid w:val="008D5717"/>
    <w:rsid w:val="008E2A43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48BB"/>
    <w:rsid w:val="00947889"/>
    <w:rsid w:val="0095405B"/>
    <w:rsid w:val="00960E98"/>
    <w:rsid w:val="00963A82"/>
    <w:rsid w:val="00965671"/>
    <w:rsid w:val="00972912"/>
    <w:rsid w:val="00972CA0"/>
    <w:rsid w:val="00976D1F"/>
    <w:rsid w:val="00981C81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115E"/>
    <w:rsid w:val="009E247C"/>
    <w:rsid w:val="009E31BA"/>
    <w:rsid w:val="009E413A"/>
    <w:rsid w:val="009F0528"/>
    <w:rsid w:val="009F0806"/>
    <w:rsid w:val="009F0B47"/>
    <w:rsid w:val="009F233B"/>
    <w:rsid w:val="00A05D16"/>
    <w:rsid w:val="00A0659F"/>
    <w:rsid w:val="00A079BA"/>
    <w:rsid w:val="00A33875"/>
    <w:rsid w:val="00A360A1"/>
    <w:rsid w:val="00A402B3"/>
    <w:rsid w:val="00A45F07"/>
    <w:rsid w:val="00A544B7"/>
    <w:rsid w:val="00A55BE3"/>
    <w:rsid w:val="00A618CF"/>
    <w:rsid w:val="00A62770"/>
    <w:rsid w:val="00A62EEB"/>
    <w:rsid w:val="00A660FF"/>
    <w:rsid w:val="00A6625A"/>
    <w:rsid w:val="00A66266"/>
    <w:rsid w:val="00A67570"/>
    <w:rsid w:val="00A73395"/>
    <w:rsid w:val="00A82B4C"/>
    <w:rsid w:val="00A8332B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09A9"/>
    <w:rsid w:val="00AE5ADA"/>
    <w:rsid w:val="00AF6145"/>
    <w:rsid w:val="00B01386"/>
    <w:rsid w:val="00B01BB5"/>
    <w:rsid w:val="00B03560"/>
    <w:rsid w:val="00B04AF4"/>
    <w:rsid w:val="00B05214"/>
    <w:rsid w:val="00B0736F"/>
    <w:rsid w:val="00B12479"/>
    <w:rsid w:val="00B13985"/>
    <w:rsid w:val="00B2785B"/>
    <w:rsid w:val="00B30D97"/>
    <w:rsid w:val="00B31738"/>
    <w:rsid w:val="00B3181A"/>
    <w:rsid w:val="00B35A7C"/>
    <w:rsid w:val="00B450D1"/>
    <w:rsid w:val="00B521D5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87C7E"/>
    <w:rsid w:val="00B93668"/>
    <w:rsid w:val="00BA1B11"/>
    <w:rsid w:val="00BA68C6"/>
    <w:rsid w:val="00BB12F1"/>
    <w:rsid w:val="00BB276E"/>
    <w:rsid w:val="00BB3FEE"/>
    <w:rsid w:val="00BB45C2"/>
    <w:rsid w:val="00BB5EB0"/>
    <w:rsid w:val="00BB7A27"/>
    <w:rsid w:val="00BC245A"/>
    <w:rsid w:val="00BC340C"/>
    <w:rsid w:val="00BC35A4"/>
    <w:rsid w:val="00BC444C"/>
    <w:rsid w:val="00BD16FA"/>
    <w:rsid w:val="00BD3B50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6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1FBB"/>
    <w:rsid w:val="00C7238D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5DE3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4731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36C1"/>
    <w:rsid w:val="00E04F5E"/>
    <w:rsid w:val="00E0522E"/>
    <w:rsid w:val="00E067F6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C02A5"/>
    <w:rsid w:val="00EC176B"/>
    <w:rsid w:val="00EC2B33"/>
    <w:rsid w:val="00EC33CD"/>
    <w:rsid w:val="00EC3FEE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07F1A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18BD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282C"/>
    <w:rsid w:val="00FA7610"/>
    <w:rsid w:val="00FB02BD"/>
    <w:rsid w:val="00FB398F"/>
    <w:rsid w:val="00FB4EF8"/>
    <w:rsid w:val="00FB6692"/>
    <w:rsid w:val="00FB78DD"/>
    <w:rsid w:val="00FC015E"/>
    <w:rsid w:val="00FC125E"/>
    <w:rsid w:val="00FC3EF3"/>
    <w:rsid w:val="00FD0E68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unhideWhenUsed/>
    <w:rsid w:val="00A67570"/>
    <w:pPr>
      <w:tabs>
        <w:tab w:val="left" w:pos="5580"/>
      </w:tabs>
      <w:jc w:val="both"/>
    </w:pPr>
    <w:rPr>
      <w:rFonts w:ascii="Times New Roman" w:eastAsia="Times New Roman" w:hAnsi="Times New Roman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semiHidden/>
    <w:rsid w:val="00A67570"/>
    <w:rPr>
      <w:rFonts w:ascii="Times New Roman" w:eastAsia="Times New Roman" w:hAnsi="Times New Roman"/>
      <w:sz w:val="22"/>
      <w:szCs w:val="24"/>
      <w:lang w:val="el-G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ergidi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1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n/KeyFiguresList?s=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KeyFiguresList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3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E578-D554-4C3E-B6B4-BBBD60FE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39</cp:revision>
  <cp:lastPrinted>2024-07-03T08:51:00Z</cp:lastPrinted>
  <dcterms:created xsi:type="dcterms:W3CDTF">2022-06-09T08:02:00Z</dcterms:created>
  <dcterms:modified xsi:type="dcterms:W3CDTF">2024-07-03T08:51:00Z</dcterms:modified>
</cp:coreProperties>
</file>