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1B016" w14:textId="77777777" w:rsidR="00F33E5D" w:rsidRDefault="00F33E5D" w:rsidP="00764AF9">
      <w:pPr>
        <w:jc w:val="both"/>
        <w:rPr>
          <w:rFonts w:ascii="Verdana" w:hAnsi="Verdana" w:cs="Arial"/>
          <w:sz w:val="18"/>
          <w:szCs w:val="18"/>
          <w:lang w:val="el-GR"/>
        </w:rPr>
      </w:pPr>
    </w:p>
    <w:p w14:paraId="2D6B64C7" w14:textId="3FC0157E" w:rsidR="00F33E5D" w:rsidRDefault="00C34275" w:rsidP="00F33E5D">
      <w:pPr>
        <w:jc w:val="right"/>
        <w:rPr>
          <w:rFonts w:ascii="Verdana" w:hAnsi="Verdana" w:cs="Arial"/>
          <w:sz w:val="18"/>
          <w:szCs w:val="18"/>
          <w:lang w:val="el-GR"/>
        </w:rPr>
      </w:pPr>
      <w:r>
        <w:rPr>
          <w:rFonts w:ascii="Verdana" w:hAnsi="Verdana" w:cs="Arial"/>
          <w:sz w:val="18"/>
          <w:szCs w:val="18"/>
          <w:lang w:val="el-GR"/>
        </w:rPr>
        <w:t>22 Αυγούστου</w:t>
      </w:r>
      <w:r w:rsidR="00D24581">
        <w:rPr>
          <w:rFonts w:ascii="Verdana" w:hAnsi="Verdana" w:cs="Arial"/>
          <w:sz w:val="18"/>
          <w:szCs w:val="18"/>
          <w:lang w:val="el-GR"/>
        </w:rPr>
        <w:t>, 2023</w:t>
      </w:r>
    </w:p>
    <w:p w14:paraId="33070F32" w14:textId="05CF8C80" w:rsidR="00F33E5D" w:rsidRPr="005B2B73" w:rsidRDefault="00F33E5D" w:rsidP="00F33E5D">
      <w:pPr>
        <w:jc w:val="right"/>
        <w:rPr>
          <w:rFonts w:ascii="Verdana" w:eastAsia="Malgun Gothic" w:hAnsi="Verdana" w:cs="Arial"/>
          <w:b/>
          <w:sz w:val="18"/>
          <w:szCs w:val="18"/>
          <w:lang w:val="el-GR"/>
        </w:rPr>
      </w:pPr>
    </w:p>
    <w:p w14:paraId="064DCBD7" w14:textId="77777777" w:rsidR="0040758C" w:rsidRPr="005B2B73" w:rsidRDefault="0040758C" w:rsidP="00F33E5D">
      <w:pPr>
        <w:jc w:val="right"/>
        <w:rPr>
          <w:rFonts w:ascii="Verdana" w:eastAsia="Malgun Gothic" w:hAnsi="Verdana" w:cs="Arial"/>
          <w:b/>
          <w:sz w:val="18"/>
          <w:szCs w:val="18"/>
          <w:lang w:val="el-GR"/>
        </w:rPr>
      </w:pPr>
    </w:p>
    <w:p w14:paraId="0C05FDAA" w14:textId="791AE864" w:rsidR="00F33E5D" w:rsidRDefault="00F33E5D" w:rsidP="00F33E5D">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r w:rsidR="003D5FF9" w:rsidRPr="001B074A">
        <w:rPr>
          <w:rFonts w:ascii="Verdana" w:eastAsia="Malgun Gothic" w:hAnsi="Verdana" w:cs="Arial"/>
          <w:b/>
          <w:sz w:val="24"/>
          <w:szCs w:val="24"/>
          <w:lang w:val="el-GR"/>
        </w:rPr>
        <w:t xml:space="preserve"> - </w:t>
      </w:r>
      <w:r w:rsidR="003D5FF9">
        <w:rPr>
          <w:rFonts w:ascii="Verdana" w:eastAsia="Malgun Gothic" w:hAnsi="Verdana" w:cs="Arial"/>
          <w:b/>
          <w:sz w:val="24"/>
          <w:szCs w:val="24"/>
          <w:lang w:val="el-GR"/>
        </w:rPr>
        <w:t>ΑΝΑΘΕΩΡΗΜΕΝΟ</w:t>
      </w:r>
    </w:p>
    <w:p w14:paraId="6D0503B5" w14:textId="77777777" w:rsidR="00F33E5D" w:rsidRPr="005B2B73" w:rsidRDefault="00F33E5D" w:rsidP="00F33E5D">
      <w:pPr>
        <w:jc w:val="center"/>
        <w:rPr>
          <w:rFonts w:ascii="Verdana" w:eastAsia="Malgun Gothic" w:hAnsi="Verdana" w:cs="Arial"/>
          <w:b/>
          <w:sz w:val="18"/>
          <w:szCs w:val="18"/>
          <w:lang w:val="el-GR"/>
        </w:rPr>
      </w:pPr>
    </w:p>
    <w:p w14:paraId="5CE10E4A" w14:textId="77777777" w:rsidR="00F33E5D" w:rsidRPr="005B2B73" w:rsidRDefault="00F33E5D" w:rsidP="00F33E5D">
      <w:pPr>
        <w:rPr>
          <w:rFonts w:ascii="Verdana" w:eastAsia="Malgun Gothic" w:hAnsi="Verdana" w:cs="Arial"/>
          <w:sz w:val="18"/>
          <w:szCs w:val="18"/>
          <w:lang w:val="el-GR"/>
        </w:rPr>
      </w:pPr>
    </w:p>
    <w:p w14:paraId="40EE1B2D" w14:textId="7CBC0469" w:rsidR="00F33E5D" w:rsidRPr="0007175A" w:rsidRDefault="00F33E5D" w:rsidP="00F33E5D">
      <w:pPr>
        <w:pStyle w:val="Heading6"/>
        <w:tabs>
          <w:tab w:val="clear" w:pos="6840"/>
        </w:tabs>
        <w:jc w:val="left"/>
        <w:rPr>
          <w:rFonts w:ascii="Verdana" w:eastAsia="Malgun Gothic" w:hAnsi="Verdana" w:cs="Arial"/>
          <w:sz w:val="21"/>
          <w:szCs w:val="21"/>
        </w:rPr>
      </w:pPr>
      <w:r w:rsidRPr="00D67EF5">
        <w:rPr>
          <w:rFonts w:ascii="Verdana" w:eastAsia="Malgun Gothic" w:hAnsi="Verdana" w:cs="Arial"/>
          <w:b w:val="0"/>
          <w:sz w:val="21"/>
          <w:szCs w:val="21"/>
        </w:rPr>
        <w:t xml:space="preserve">ΔΕΙΚΤΗΣ ΚΥΚΛΟΥ ΕΡΓΑΣΙΩΝ ΣΤΙΣ ΜΕΤΑΦΟΡΕΣ ΚΑΙ ΑΠΟΘΗΚΕΥΣΗ: </w:t>
      </w:r>
      <w:r w:rsidR="00C34275" w:rsidRPr="00C34275">
        <w:rPr>
          <w:rFonts w:ascii="Verdana" w:eastAsia="Malgun Gothic" w:hAnsi="Verdana" w:cs="Arial"/>
          <w:bCs w:val="0"/>
          <w:sz w:val="21"/>
          <w:szCs w:val="21"/>
        </w:rPr>
        <w:t>2</w:t>
      </w:r>
      <w:r w:rsidRPr="00D67EF5">
        <w:rPr>
          <w:rFonts w:ascii="Verdana" w:eastAsia="Malgun Gothic" w:hAnsi="Verdana" w:cs="Arial"/>
          <w:sz w:val="21"/>
          <w:szCs w:val="21"/>
        </w:rPr>
        <w:t>ο ΤΡΙΜΗΝΟ 202</w:t>
      </w:r>
      <w:r w:rsidR="004D56DC">
        <w:rPr>
          <w:rFonts w:ascii="Verdana" w:eastAsia="Malgun Gothic" w:hAnsi="Verdana" w:cs="Arial"/>
          <w:sz w:val="21"/>
          <w:szCs w:val="21"/>
        </w:rPr>
        <w:t>3</w:t>
      </w:r>
    </w:p>
    <w:p w14:paraId="09957594" w14:textId="77777777" w:rsidR="00F33E5D" w:rsidRPr="00D67EF5" w:rsidRDefault="00F33E5D" w:rsidP="00F33E5D">
      <w:pPr>
        <w:rPr>
          <w:rFonts w:ascii="Verdana" w:eastAsia="Malgun Gothic" w:hAnsi="Verdana" w:cs="Arial"/>
          <w:lang w:val="el-GR"/>
        </w:rPr>
      </w:pPr>
    </w:p>
    <w:p w14:paraId="45CC5547" w14:textId="27CD0D50" w:rsidR="00F33E5D" w:rsidRPr="004F03FD" w:rsidRDefault="00F33E5D" w:rsidP="00F33E5D">
      <w:pPr>
        <w:jc w:val="center"/>
        <w:rPr>
          <w:rFonts w:ascii="Verdana" w:eastAsia="Malgun Gothic" w:hAnsi="Verdana" w:cs="Arial"/>
          <w:b/>
          <w:lang w:val="el-GR"/>
        </w:rPr>
      </w:pPr>
      <w:r>
        <w:rPr>
          <w:rFonts w:ascii="Verdana" w:eastAsia="Malgun Gothic" w:hAnsi="Verdana" w:cs="Arial"/>
          <w:b/>
          <w:lang w:val="el-GR"/>
        </w:rPr>
        <w:t>Ετήσια Μεταβολή</w:t>
      </w:r>
      <w:r w:rsidRPr="004F03FD">
        <w:rPr>
          <w:rFonts w:ascii="Verdana" w:eastAsia="Malgun Gothic" w:hAnsi="Verdana" w:cs="Arial"/>
          <w:b/>
          <w:lang w:val="el-GR"/>
        </w:rPr>
        <w:t xml:space="preserve"> </w:t>
      </w:r>
      <w:r>
        <w:rPr>
          <w:rFonts w:ascii="Verdana" w:eastAsia="Malgun Gothic" w:hAnsi="Verdana" w:cs="Arial"/>
          <w:b/>
          <w:lang w:val="el-GR"/>
        </w:rPr>
        <w:t>+</w:t>
      </w:r>
      <w:r w:rsidR="00C34275">
        <w:rPr>
          <w:rFonts w:ascii="Verdana" w:eastAsia="Malgun Gothic" w:hAnsi="Verdana" w:cs="Arial"/>
          <w:b/>
          <w:lang w:val="el-GR"/>
        </w:rPr>
        <w:t>17,</w:t>
      </w:r>
      <w:r w:rsidR="004C6CFF" w:rsidRPr="004C6CFF">
        <w:rPr>
          <w:rFonts w:ascii="Verdana" w:eastAsia="Malgun Gothic" w:hAnsi="Verdana" w:cs="Arial"/>
          <w:b/>
          <w:lang w:val="el-GR"/>
        </w:rPr>
        <w:t>3</w:t>
      </w:r>
      <w:r>
        <w:rPr>
          <w:rFonts w:ascii="Verdana" w:eastAsia="Malgun Gothic" w:hAnsi="Verdana" w:cs="Arial"/>
          <w:b/>
          <w:lang w:val="el-GR"/>
        </w:rPr>
        <w:t>%</w:t>
      </w:r>
    </w:p>
    <w:p w14:paraId="4AF06C91" w14:textId="77777777" w:rsidR="00F33E5D" w:rsidRPr="00877BB5" w:rsidRDefault="00F33E5D" w:rsidP="00F33E5D">
      <w:pPr>
        <w:jc w:val="both"/>
        <w:rPr>
          <w:rFonts w:ascii="Verdana" w:hAnsi="Verdana" w:cs="Arial"/>
          <w:lang w:val="el-GR"/>
        </w:rPr>
      </w:pPr>
    </w:p>
    <w:p w14:paraId="0276B493" w14:textId="77777777" w:rsidR="002138E1" w:rsidRPr="002138E1" w:rsidRDefault="002138E1" w:rsidP="002138E1">
      <w:pPr>
        <w:jc w:val="both"/>
        <w:rPr>
          <w:rFonts w:ascii="Verdana" w:hAnsi="Verdana" w:cs="Arial"/>
          <w:sz w:val="18"/>
          <w:szCs w:val="18"/>
          <w:lang w:val="el-GR"/>
        </w:rPr>
      </w:pPr>
      <w:r w:rsidRPr="002138E1">
        <w:rPr>
          <w:rFonts w:ascii="Verdana" w:hAnsi="Verdana" w:cs="Arial"/>
          <w:sz w:val="18"/>
          <w:szCs w:val="18"/>
          <w:lang w:val="el-GR"/>
        </w:rPr>
        <w:t>Ο Δείκτης Κύκλου Εργασιών στις Μεταφορές και Αποθήκευση κατά το δεύτερο τρίμηνο του 2023 έφτασε στις 154,4 μονάδες (βάση 2015=100), σημειώνοντας αύξηση της τάξης του 17,3% σε σύγκριση με το αντίστοιχο τρίμηνο του 2022.</w:t>
      </w:r>
    </w:p>
    <w:p w14:paraId="1EFA1B82" w14:textId="77777777" w:rsidR="002138E1" w:rsidRPr="002138E1" w:rsidRDefault="002138E1" w:rsidP="002138E1">
      <w:pPr>
        <w:jc w:val="both"/>
        <w:rPr>
          <w:rFonts w:ascii="Verdana" w:hAnsi="Verdana" w:cs="Arial"/>
          <w:sz w:val="18"/>
          <w:szCs w:val="18"/>
          <w:lang w:val="el-GR"/>
        </w:rPr>
      </w:pPr>
    </w:p>
    <w:p w14:paraId="7BFE153B" w14:textId="77777777" w:rsidR="002138E1" w:rsidRPr="002138E1" w:rsidRDefault="002138E1" w:rsidP="002138E1">
      <w:pPr>
        <w:jc w:val="both"/>
        <w:rPr>
          <w:rFonts w:ascii="Verdana" w:hAnsi="Verdana" w:cs="Arial"/>
          <w:sz w:val="18"/>
          <w:szCs w:val="18"/>
          <w:lang w:val="el-GR"/>
        </w:rPr>
      </w:pPr>
      <w:r w:rsidRPr="002138E1">
        <w:rPr>
          <w:rFonts w:ascii="Verdana" w:hAnsi="Verdana" w:cs="Arial"/>
          <w:sz w:val="18"/>
          <w:szCs w:val="18"/>
          <w:lang w:val="el-GR"/>
        </w:rPr>
        <w:t>Σε σύγκριση με το ίδιο τρίμηνο του προηγούμενου έτους αυξήσεις κατέγραψαν όλες οι επιμέρους οικονομικές δραστηριότητες και συγκεκριμένα: οι αεροπορικές μεταφορές μαζί με την αποθήκευση και τις υποστηρικτικές προς τη μεταφορά δραστηριότητες 16,9%, οι ταχυδρομικές και ταχυμεταφορικές δραστηριότητες 12,5%, οι χερσαίες μεταφορές 7,9% και οι πλωτές μεταφορές 3,2%.</w:t>
      </w:r>
    </w:p>
    <w:p w14:paraId="5D816275" w14:textId="77777777" w:rsidR="002138E1" w:rsidRPr="002138E1" w:rsidRDefault="002138E1" w:rsidP="002138E1">
      <w:pPr>
        <w:jc w:val="both"/>
        <w:rPr>
          <w:rFonts w:ascii="Verdana" w:hAnsi="Verdana" w:cs="Arial"/>
          <w:sz w:val="18"/>
          <w:szCs w:val="18"/>
          <w:lang w:val="el-GR"/>
        </w:rPr>
      </w:pPr>
    </w:p>
    <w:p w14:paraId="40536586" w14:textId="47AAFD3E" w:rsidR="003C4C7B" w:rsidRDefault="002138E1" w:rsidP="002138E1">
      <w:pPr>
        <w:jc w:val="both"/>
        <w:rPr>
          <w:rFonts w:ascii="Verdana" w:hAnsi="Verdana" w:cs="Arial"/>
          <w:sz w:val="18"/>
          <w:szCs w:val="18"/>
          <w:lang w:val="el-GR"/>
        </w:rPr>
      </w:pPr>
      <w:r w:rsidRPr="002138E1">
        <w:rPr>
          <w:rFonts w:ascii="Verdana" w:hAnsi="Verdana" w:cs="Arial"/>
          <w:sz w:val="18"/>
          <w:szCs w:val="18"/>
          <w:lang w:val="el-GR"/>
        </w:rPr>
        <w:t>Κατά την περίοδο Ιανουαρίου-Ιουνίου 2023, ο Δείκτης Κύκλου Εργασιών στις Μεταφορές και Αποθήκευση σημείωσε αύξηση της τάξης του 22,3% σε σύγκριση με την αντίστοιχη περίοδο του 2022.</w:t>
      </w:r>
    </w:p>
    <w:p w14:paraId="00569CA9" w14:textId="77777777" w:rsidR="002138E1" w:rsidRDefault="002138E1" w:rsidP="002138E1">
      <w:pPr>
        <w:jc w:val="both"/>
        <w:rPr>
          <w:rFonts w:ascii="Verdana" w:hAnsi="Verdana" w:cs="Arial"/>
          <w:sz w:val="18"/>
          <w:szCs w:val="18"/>
          <w:lang w:val="el-GR"/>
        </w:rPr>
      </w:pPr>
    </w:p>
    <w:p w14:paraId="796D82CB" w14:textId="49561751" w:rsidR="00F33E5D" w:rsidRPr="0083544D" w:rsidRDefault="00FC72D8" w:rsidP="004F02BF">
      <w:pPr>
        <w:jc w:val="center"/>
        <w:rPr>
          <w:rFonts w:ascii="Verdana" w:hAnsi="Verdana"/>
          <w:noProof/>
          <w:sz w:val="18"/>
          <w:szCs w:val="18"/>
          <w:lang w:val="el-GR"/>
        </w:rPr>
      </w:pPr>
      <w:r>
        <w:rPr>
          <w:rFonts w:ascii="Verdana" w:hAnsi="Verdana"/>
          <w:noProof/>
          <w:sz w:val="18"/>
          <w:szCs w:val="18"/>
          <w:lang w:val="el-GR"/>
        </w:rPr>
        <w:drawing>
          <wp:inline distT="0" distB="0" distL="0" distR="0" wp14:anchorId="3BD8510E" wp14:editId="4951271B">
            <wp:extent cx="6078220" cy="4407535"/>
            <wp:effectExtent l="0" t="0" r="0" b="0"/>
            <wp:docPr id="20773874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407535"/>
                    </a:xfrm>
                    <a:prstGeom prst="rect">
                      <a:avLst/>
                    </a:prstGeom>
                    <a:noFill/>
                  </pic:spPr>
                </pic:pic>
              </a:graphicData>
            </a:graphic>
          </wp:inline>
        </w:drawing>
      </w:r>
    </w:p>
    <w:p w14:paraId="4C3BE538" w14:textId="30D57687" w:rsidR="0040758C" w:rsidRDefault="0040758C" w:rsidP="00F33E5D">
      <w:pPr>
        <w:jc w:val="both"/>
        <w:rPr>
          <w:rFonts w:ascii="Verdana" w:eastAsia="Malgun Gothic" w:hAnsi="Verdana" w:cs="Arial"/>
          <w:sz w:val="16"/>
          <w:szCs w:val="16"/>
          <w:lang w:val="el-GR"/>
        </w:rPr>
      </w:pPr>
    </w:p>
    <w:p w14:paraId="7895DDBB" w14:textId="02C3936A" w:rsidR="00F33E5D" w:rsidRPr="00764AF9" w:rsidRDefault="00F33E5D" w:rsidP="00F41892">
      <w:pPr>
        <w:ind w:left="-142"/>
        <w:jc w:val="both"/>
        <w:rPr>
          <w:rFonts w:ascii="Verdana" w:eastAsia="Malgun Gothic" w:hAnsi="Verdana" w:cs="Arial"/>
          <w:sz w:val="18"/>
          <w:szCs w:val="18"/>
          <w:lang w:val="el-GR"/>
        </w:rPr>
      </w:pPr>
    </w:p>
    <w:p w14:paraId="12ED4600" w14:textId="77777777" w:rsidR="00F33E5D" w:rsidRPr="00536F27" w:rsidRDefault="00F33E5D" w:rsidP="00F33E5D">
      <w:pPr>
        <w:jc w:val="both"/>
        <w:rPr>
          <w:rFonts w:ascii="Verdana" w:eastAsia="Malgun Gothic" w:hAnsi="Verdana" w:cs="Arial"/>
          <w:sz w:val="18"/>
          <w:szCs w:val="18"/>
          <w:lang w:val="el-GR"/>
        </w:rPr>
      </w:pPr>
    </w:p>
    <w:tbl>
      <w:tblPr>
        <w:tblW w:w="10566" w:type="dxa"/>
        <w:jc w:val="center"/>
        <w:tblBorders>
          <w:top w:val="single" w:sz="8" w:space="0" w:color="365F91"/>
          <w:bottom w:val="single" w:sz="8" w:space="0" w:color="365F91"/>
          <w:insideH w:val="single" w:sz="8" w:space="0" w:color="365F91"/>
        </w:tblBorders>
        <w:tblLayout w:type="fixed"/>
        <w:tblLook w:val="04A0" w:firstRow="1" w:lastRow="0" w:firstColumn="1" w:lastColumn="0" w:noHBand="0" w:noVBand="1"/>
      </w:tblPr>
      <w:tblGrid>
        <w:gridCol w:w="1137"/>
        <w:gridCol w:w="3546"/>
        <w:gridCol w:w="1301"/>
        <w:gridCol w:w="1301"/>
        <w:gridCol w:w="341"/>
        <w:gridCol w:w="1470"/>
        <w:gridCol w:w="1470"/>
      </w:tblGrid>
      <w:tr w:rsidR="00C34275" w:rsidRPr="00696588" w14:paraId="7D040BB4" w14:textId="77777777" w:rsidTr="00957297">
        <w:trPr>
          <w:trHeight w:val="360"/>
          <w:jc w:val="center"/>
        </w:trPr>
        <w:tc>
          <w:tcPr>
            <w:tcW w:w="1137" w:type="dxa"/>
            <w:tcBorders>
              <w:top w:val="nil"/>
              <w:bottom w:val="single" w:sz="4" w:space="0" w:color="2F5496" w:themeColor="accent1" w:themeShade="BF"/>
            </w:tcBorders>
            <w:shd w:val="clear" w:color="auto" w:fill="auto"/>
            <w:vAlign w:val="center"/>
            <w:hideMark/>
          </w:tcPr>
          <w:p w14:paraId="29182918" w14:textId="77777777" w:rsidR="00C34275" w:rsidRPr="00696588" w:rsidRDefault="00C34275" w:rsidP="00696588">
            <w:pPr>
              <w:rPr>
                <w:rFonts w:ascii="Verdana" w:eastAsia="Times New Roman" w:hAnsi="Verdana" w:cs="Calibri"/>
                <w:b/>
                <w:bCs/>
                <w:color w:val="376092"/>
                <w:sz w:val="20"/>
                <w:szCs w:val="20"/>
                <w:lang w:val="en-CY" w:eastAsia="en-CY" w:bidi="he-IL"/>
              </w:rPr>
            </w:pPr>
            <w:r w:rsidRPr="00696588">
              <w:rPr>
                <w:rFonts w:ascii="Verdana" w:eastAsia="Times New Roman" w:hAnsi="Verdana" w:cs="Calibri"/>
                <w:b/>
                <w:bCs/>
                <w:color w:val="376092"/>
                <w:sz w:val="20"/>
                <w:szCs w:val="20"/>
                <w:lang w:val="en-CY" w:eastAsia="en-CY" w:bidi="he-IL"/>
              </w:rPr>
              <w:t>Πίνακας</w:t>
            </w:r>
          </w:p>
        </w:tc>
        <w:tc>
          <w:tcPr>
            <w:tcW w:w="3546" w:type="dxa"/>
            <w:tcBorders>
              <w:top w:val="nil"/>
              <w:bottom w:val="single" w:sz="4" w:space="0" w:color="2F5496" w:themeColor="accent1" w:themeShade="BF"/>
            </w:tcBorders>
            <w:shd w:val="clear" w:color="auto" w:fill="auto"/>
            <w:vAlign w:val="center"/>
            <w:hideMark/>
          </w:tcPr>
          <w:p w14:paraId="1EED511E" w14:textId="77777777" w:rsidR="00C34275" w:rsidRPr="00696588" w:rsidRDefault="00C34275" w:rsidP="00696588">
            <w:pPr>
              <w:rPr>
                <w:rFonts w:ascii="Verdana" w:eastAsia="Times New Roman" w:hAnsi="Verdana" w:cs="Calibri"/>
                <w:b/>
                <w:bCs/>
                <w:color w:val="376092"/>
                <w:sz w:val="20"/>
                <w:szCs w:val="20"/>
                <w:lang w:val="en-CY" w:eastAsia="en-CY" w:bidi="he-IL"/>
              </w:rPr>
            </w:pPr>
          </w:p>
        </w:tc>
        <w:tc>
          <w:tcPr>
            <w:tcW w:w="1301" w:type="dxa"/>
            <w:tcBorders>
              <w:top w:val="nil"/>
              <w:bottom w:val="single" w:sz="4" w:space="0" w:color="2F5496" w:themeColor="accent1" w:themeShade="BF"/>
            </w:tcBorders>
            <w:shd w:val="clear" w:color="auto" w:fill="auto"/>
            <w:vAlign w:val="center"/>
            <w:hideMark/>
          </w:tcPr>
          <w:p w14:paraId="114DA5BF" w14:textId="77777777" w:rsidR="00C34275" w:rsidRPr="00696588" w:rsidRDefault="00C34275" w:rsidP="00696588">
            <w:pPr>
              <w:rPr>
                <w:rFonts w:ascii="Times New Roman" w:eastAsia="Times New Roman" w:hAnsi="Times New Roman"/>
                <w:sz w:val="20"/>
                <w:szCs w:val="20"/>
                <w:lang w:val="en-CY" w:eastAsia="en-CY" w:bidi="he-IL"/>
              </w:rPr>
            </w:pPr>
          </w:p>
        </w:tc>
        <w:tc>
          <w:tcPr>
            <w:tcW w:w="1301" w:type="dxa"/>
            <w:tcBorders>
              <w:top w:val="nil"/>
              <w:bottom w:val="single" w:sz="4" w:space="0" w:color="2F5496" w:themeColor="accent1" w:themeShade="BF"/>
            </w:tcBorders>
            <w:shd w:val="clear" w:color="auto" w:fill="auto"/>
            <w:vAlign w:val="center"/>
            <w:hideMark/>
          </w:tcPr>
          <w:p w14:paraId="6ADC4C8D" w14:textId="77777777" w:rsidR="00C34275" w:rsidRPr="00696588" w:rsidRDefault="00C34275" w:rsidP="00696588">
            <w:pPr>
              <w:rPr>
                <w:rFonts w:ascii="Times New Roman" w:eastAsia="Times New Roman" w:hAnsi="Times New Roman"/>
                <w:sz w:val="20"/>
                <w:szCs w:val="20"/>
                <w:lang w:val="en-CY" w:eastAsia="en-CY" w:bidi="he-IL"/>
              </w:rPr>
            </w:pPr>
          </w:p>
        </w:tc>
        <w:tc>
          <w:tcPr>
            <w:tcW w:w="341" w:type="dxa"/>
            <w:tcBorders>
              <w:top w:val="nil"/>
              <w:bottom w:val="single" w:sz="4" w:space="0" w:color="2F5496" w:themeColor="accent1" w:themeShade="BF"/>
            </w:tcBorders>
            <w:shd w:val="clear" w:color="auto" w:fill="auto"/>
            <w:vAlign w:val="center"/>
            <w:hideMark/>
          </w:tcPr>
          <w:p w14:paraId="2071B7F5" w14:textId="77777777" w:rsidR="00C34275" w:rsidRPr="00696588" w:rsidRDefault="00C34275" w:rsidP="00696588">
            <w:pPr>
              <w:rPr>
                <w:rFonts w:ascii="Times New Roman" w:eastAsia="Times New Roman" w:hAnsi="Times New Roman"/>
                <w:sz w:val="20"/>
                <w:szCs w:val="20"/>
                <w:lang w:val="en-CY" w:eastAsia="en-CY" w:bidi="he-IL"/>
              </w:rPr>
            </w:pPr>
          </w:p>
        </w:tc>
        <w:tc>
          <w:tcPr>
            <w:tcW w:w="1470" w:type="dxa"/>
            <w:tcBorders>
              <w:top w:val="nil"/>
              <w:bottom w:val="single" w:sz="4" w:space="0" w:color="2F5496" w:themeColor="accent1" w:themeShade="BF"/>
            </w:tcBorders>
            <w:shd w:val="clear" w:color="auto" w:fill="auto"/>
            <w:vAlign w:val="center"/>
            <w:hideMark/>
          </w:tcPr>
          <w:p w14:paraId="45AAF9DC" w14:textId="77777777" w:rsidR="00C34275" w:rsidRPr="00696588" w:rsidRDefault="00C34275" w:rsidP="00696588">
            <w:pPr>
              <w:rPr>
                <w:rFonts w:ascii="Times New Roman" w:eastAsia="Times New Roman" w:hAnsi="Times New Roman"/>
                <w:sz w:val="20"/>
                <w:szCs w:val="20"/>
                <w:lang w:val="en-CY" w:eastAsia="en-CY" w:bidi="he-IL"/>
              </w:rPr>
            </w:pPr>
          </w:p>
        </w:tc>
        <w:tc>
          <w:tcPr>
            <w:tcW w:w="1470" w:type="dxa"/>
            <w:tcBorders>
              <w:top w:val="nil"/>
              <w:bottom w:val="single" w:sz="4" w:space="0" w:color="2F5496" w:themeColor="accent1" w:themeShade="BF"/>
            </w:tcBorders>
            <w:shd w:val="clear" w:color="auto" w:fill="auto"/>
            <w:vAlign w:val="center"/>
            <w:hideMark/>
          </w:tcPr>
          <w:p w14:paraId="4B404E2E" w14:textId="77777777" w:rsidR="00C34275" w:rsidRPr="00696588" w:rsidRDefault="00C34275" w:rsidP="00696588">
            <w:pPr>
              <w:rPr>
                <w:rFonts w:ascii="Times New Roman" w:eastAsia="Times New Roman" w:hAnsi="Times New Roman"/>
                <w:sz w:val="20"/>
                <w:szCs w:val="20"/>
                <w:lang w:val="en-CY" w:eastAsia="en-CY" w:bidi="he-IL"/>
              </w:rPr>
            </w:pPr>
          </w:p>
        </w:tc>
      </w:tr>
      <w:tr w:rsidR="00C34275" w:rsidRPr="00696588" w14:paraId="7F9EE7A8" w14:textId="77777777" w:rsidTr="00957297">
        <w:trPr>
          <w:trHeight w:val="600"/>
          <w:jc w:val="center"/>
        </w:trPr>
        <w:tc>
          <w:tcPr>
            <w:tcW w:w="1137" w:type="dxa"/>
            <w:vMerge w:val="restart"/>
            <w:tcBorders>
              <w:top w:val="single" w:sz="4" w:space="0" w:color="2F5496" w:themeColor="accent1" w:themeShade="BF"/>
            </w:tcBorders>
            <w:shd w:val="clear" w:color="auto" w:fill="auto"/>
            <w:tcMar>
              <w:left w:w="28" w:type="dxa"/>
              <w:right w:w="28" w:type="dxa"/>
            </w:tcMar>
            <w:vAlign w:val="center"/>
            <w:hideMark/>
          </w:tcPr>
          <w:p w14:paraId="1F420628" w14:textId="77777777" w:rsidR="00C34275" w:rsidRPr="00696588" w:rsidRDefault="00C34275" w:rsidP="00D25C91">
            <w:pPr>
              <w:jc w:val="center"/>
              <w:rPr>
                <w:rFonts w:ascii="Verdana" w:eastAsia="Times New Roman" w:hAnsi="Verdana" w:cs="Calibri"/>
                <w:b/>
                <w:bCs/>
                <w:color w:val="376092"/>
                <w:sz w:val="20"/>
                <w:szCs w:val="20"/>
                <w:lang w:val="en-CY" w:eastAsia="en-CY" w:bidi="he-IL"/>
              </w:rPr>
            </w:pPr>
            <w:r w:rsidRPr="00696588">
              <w:rPr>
                <w:rFonts w:ascii="Verdana" w:eastAsia="Times New Roman" w:hAnsi="Verdana" w:cs="Calibri"/>
                <w:b/>
                <w:bCs/>
                <w:color w:val="376092"/>
                <w:sz w:val="20"/>
                <w:szCs w:val="20"/>
                <w:lang w:val="en-CY" w:eastAsia="en-CY" w:bidi="he-IL"/>
              </w:rPr>
              <w:t>Κώδικας NACE Αναθ. 2</w:t>
            </w:r>
          </w:p>
        </w:tc>
        <w:tc>
          <w:tcPr>
            <w:tcW w:w="3546" w:type="dxa"/>
            <w:vMerge w:val="restart"/>
            <w:tcBorders>
              <w:top w:val="single" w:sz="4" w:space="0" w:color="2F5496" w:themeColor="accent1" w:themeShade="BF"/>
            </w:tcBorders>
            <w:shd w:val="clear" w:color="auto" w:fill="auto"/>
            <w:vAlign w:val="center"/>
            <w:hideMark/>
          </w:tcPr>
          <w:p w14:paraId="42F2F97C" w14:textId="77777777" w:rsidR="00C34275" w:rsidRPr="00696588" w:rsidRDefault="00C34275" w:rsidP="00D25C91">
            <w:pPr>
              <w:jc w:val="center"/>
              <w:rPr>
                <w:rFonts w:ascii="Verdana" w:eastAsia="Times New Roman" w:hAnsi="Verdana" w:cs="Calibri"/>
                <w:b/>
                <w:bCs/>
                <w:color w:val="376092"/>
                <w:sz w:val="20"/>
                <w:szCs w:val="20"/>
                <w:lang w:val="en-CY" w:eastAsia="en-CY" w:bidi="he-IL"/>
              </w:rPr>
            </w:pPr>
            <w:r w:rsidRPr="00696588">
              <w:rPr>
                <w:rFonts w:ascii="Verdana" w:eastAsia="Times New Roman" w:hAnsi="Verdana" w:cs="Calibri"/>
                <w:b/>
                <w:bCs/>
                <w:color w:val="376092"/>
                <w:sz w:val="20"/>
                <w:szCs w:val="20"/>
                <w:lang w:val="en-CY" w:eastAsia="en-CY" w:bidi="he-IL"/>
              </w:rPr>
              <w:t>Οικονομική Δραστηριότητα</w:t>
            </w:r>
          </w:p>
        </w:tc>
        <w:tc>
          <w:tcPr>
            <w:tcW w:w="2602" w:type="dxa"/>
            <w:gridSpan w:val="2"/>
            <w:tcBorders>
              <w:top w:val="single" w:sz="4" w:space="0" w:color="2F5496" w:themeColor="accent1" w:themeShade="BF"/>
              <w:bottom w:val="nil"/>
            </w:tcBorders>
            <w:shd w:val="clear" w:color="auto" w:fill="auto"/>
            <w:vAlign w:val="center"/>
            <w:hideMark/>
          </w:tcPr>
          <w:p w14:paraId="7E59D26D" w14:textId="77777777" w:rsidR="00C34275" w:rsidRPr="00696588" w:rsidRDefault="00C34275" w:rsidP="00D25C91">
            <w:pPr>
              <w:jc w:val="center"/>
              <w:rPr>
                <w:rFonts w:ascii="Verdana" w:eastAsia="Times New Roman" w:hAnsi="Verdana" w:cs="Calibri"/>
                <w:b/>
                <w:bCs/>
                <w:color w:val="376092"/>
                <w:sz w:val="20"/>
                <w:szCs w:val="20"/>
                <w:lang w:val="en-CY" w:eastAsia="en-CY" w:bidi="he-IL"/>
              </w:rPr>
            </w:pPr>
            <w:r w:rsidRPr="00696588">
              <w:rPr>
                <w:rFonts w:ascii="Verdana" w:eastAsia="Times New Roman" w:hAnsi="Verdana" w:cs="Calibri"/>
                <w:b/>
                <w:bCs/>
                <w:color w:val="376092"/>
                <w:sz w:val="20"/>
                <w:szCs w:val="20"/>
                <w:lang w:val="en-CY" w:eastAsia="en-CY" w:bidi="he-IL"/>
              </w:rPr>
              <w:t>Δείκτης Κύκλου Εργασιών</w:t>
            </w:r>
          </w:p>
        </w:tc>
        <w:tc>
          <w:tcPr>
            <w:tcW w:w="341" w:type="dxa"/>
            <w:vMerge w:val="restart"/>
            <w:tcBorders>
              <w:top w:val="single" w:sz="4" w:space="0" w:color="2F5496" w:themeColor="accent1" w:themeShade="BF"/>
              <w:bottom w:val="nil"/>
            </w:tcBorders>
            <w:shd w:val="clear" w:color="auto" w:fill="auto"/>
            <w:vAlign w:val="center"/>
            <w:hideMark/>
          </w:tcPr>
          <w:p w14:paraId="56EA8B45" w14:textId="74A6814F" w:rsidR="00C34275" w:rsidRPr="00696588" w:rsidRDefault="00C34275" w:rsidP="00D25C91">
            <w:pPr>
              <w:jc w:val="center"/>
              <w:rPr>
                <w:rFonts w:ascii="Verdana" w:eastAsia="Times New Roman" w:hAnsi="Verdana" w:cs="Calibri"/>
                <w:b/>
                <w:bCs/>
                <w:color w:val="376092"/>
                <w:sz w:val="20"/>
                <w:szCs w:val="20"/>
                <w:lang w:val="en-CY" w:eastAsia="en-CY" w:bidi="he-IL"/>
              </w:rPr>
            </w:pPr>
          </w:p>
        </w:tc>
        <w:tc>
          <w:tcPr>
            <w:tcW w:w="2940" w:type="dxa"/>
            <w:gridSpan w:val="2"/>
            <w:tcBorders>
              <w:top w:val="single" w:sz="4" w:space="0" w:color="2F5496" w:themeColor="accent1" w:themeShade="BF"/>
              <w:bottom w:val="nil"/>
            </w:tcBorders>
            <w:shd w:val="clear" w:color="auto" w:fill="auto"/>
            <w:vAlign w:val="center"/>
            <w:hideMark/>
          </w:tcPr>
          <w:p w14:paraId="7EEDB0A7" w14:textId="32BB99E7" w:rsidR="00C34275" w:rsidRPr="00696588" w:rsidRDefault="00C34275" w:rsidP="00D25C91">
            <w:pPr>
              <w:ind w:right="-248"/>
              <w:jc w:val="center"/>
              <w:rPr>
                <w:rFonts w:ascii="Verdana" w:eastAsia="Times New Roman" w:hAnsi="Verdana" w:cs="Calibri"/>
                <w:b/>
                <w:bCs/>
                <w:color w:val="376092"/>
                <w:sz w:val="20"/>
                <w:szCs w:val="20"/>
                <w:lang w:val="en-CY" w:eastAsia="en-CY" w:bidi="he-IL"/>
              </w:rPr>
            </w:pPr>
            <w:r w:rsidRPr="00696588">
              <w:rPr>
                <w:rFonts w:ascii="Verdana" w:eastAsia="Times New Roman" w:hAnsi="Verdana" w:cs="Calibri"/>
                <w:b/>
                <w:bCs/>
                <w:color w:val="376092"/>
                <w:sz w:val="20"/>
                <w:szCs w:val="20"/>
                <w:lang w:val="en-CY" w:eastAsia="en-CY" w:bidi="he-IL"/>
              </w:rPr>
              <w:t>Ποσοστιαία Μεταβολή</w:t>
            </w:r>
          </w:p>
        </w:tc>
      </w:tr>
      <w:tr w:rsidR="00C34275" w:rsidRPr="00696588" w14:paraId="0A829FD2" w14:textId="77777777" w:rsidTr="00957297">
        <w:trPr>
          <w:trHeight w:val="315"/>
          <w:jc w:val="center"/>
        </w:trPr>
        <w:tc>
          <w:tcPr>
            <w:tcW w:w="1137" w:type="dxa"/>
            <w:vMerge/>
            <w:vAlign w:val="center"/>
            <w:hideMark/>
          </w:tcPr>
          <w:p w14:paraId="0E2A14F1" w14:textId="77777777" w:rsidR="00C34275" w:rsidRPr="00696588" w:rsidRDefault="00C34275" w:rsidP="00D25C91">
            <w:pPr>
              <w:jc w:val="center"/>
              <w:rPr>
                <w:rFonts w:ascii="Verdana" w:eastAsia="Times New Roman" w:hAnsi="Verdana" w:cs="Calibri"/>
                <w:b/>
                <w:bCs/>
                <w:color w:val="376092"/>
                <w:sz w:val="20"/>
                <w:szCs w:val="20"/>
                <w:lang w:val="en-CY" w:eastAsia="en-CY" w:bidi="he-IL"/>
              </w:rPr>
            </w:pPr>
          </w:p>
        </w:tc>
        <w:tc>
          <w:tcPr>
            <w:tcW w:w="3546" w:type="dxa"/>
            <w:vMerge/>
            <w:vAlign w:val="center"/>
            <w:hideMark/>
          </w:tcPr>
          <w:p w14:paraId="7F720D3B" w14:textId="77777777" w:rsidR="00C34275" w:rsidRPr="00696588" w:rsidRDefault="00C34275" w:rsidP="00D25C91">
            <w:pPr>
              <w:jc w:val="center"/>
              <w:rPr>
                <w:rFonts w:ascii="Verdana" w:eastAsia="Times New Roman" w:hAnsi="Verdana" w:cs="Calibri"/>
                <w:b/>
                <w:bCs/>
                <w:color w:val="376092"/>
                <w:sz w:val="20"/>
                <w:szCs w:val="20"/>
                <w:lang w:val="en-CY" w:eastAsia="en-CY" w:bidi="he-IL"/>
              </w:rPr>
            </w:pPr>
          </w:p>
        </w:tc>
        <w:tc>
          <w:tcPr>
            <w:tcW w:w="2602" w:type="dxa"/>
            <w:gridSpan w:val="2"/>
            <w:tcBorders>
              <w:top w:val="nil"/>
              <w:bottom w:val="single" w:sz="4" w:space="0" w:color="365F91"/>
            </w:tcBorders>
            <w:shd w:val="clear" w:color="auto" w:fill="auto"/>
            <w:vAlign w:val="center"/>
            <w:hideMark/>
          </w:tcPr>
          <w:p w14:paraId="55728CAA" w14:textId="77777777" w:rsidR="00C34275" w:rsidRPr="00696588" w:rsidRDefault="00C34275" w:rsidP="00D25C91">
            <w:pPr>
              <w:jc w:val="center"/>
              <w:rPr>
                <w:rFonts w:ascii="Verdana" w:eastAsia="Times New Roman" w:hAnsi="Verdana" w:cs="Calibri"/>
                <w:b/>
                <w:bCs/>
                <w:color w:val="376092"/>
                <w:sz w:val="20"/>
                <w:szCs w:val="20"/>
                <w:lang w:val="en-CY" w:eastAsia="en-CY" w:bidi="he-IL"/>
              </w:rPr>
            </w:pPr>
            <w:r w:rsidRPr="00696588">
              <w:rPr>
                <w:rFonts w:ascii="Verdana" w:eastAsia="Times New Roman" w:hAnsi="Verdana" w:cs="Calibri"/>
                <w:b/>
                <w:bCs/>
                <w:color w:val="376092"/>
                <w:sz w:val="20"/>
                <w:szCs w:val="20"/>
                <w:lang w:val="en-CY" w:eastAsia="en-CY" w:bidi="he-IL"/>
              </w:rPr>
              <w:t>(2015=100)</w:t>
            </w:r>
          </w:p>
        </w:tc>
        <w:tc>
          <w:tcPr>
            <w:tcW w:w="341" w:type="dxa"/>
            <w:vMerge/>
            <w:tcBorders>
              <w:top w:val="nil"/>
              <w:bottom w:val="nil"/>
            </w:tcBorders>
            <w:vAlign w:val="center"/>
            <w:hideMark/>
          </w:tcPr>
          <w:p w14:paraId="268B35E5" w14:textId="77777777" w:rsidR="00C34275" w:rsidRPr="00696588" w:rsidRDefault="00C34275" w:rsidP="00D25C91">
            <w:pPr>
              <w:jc w:val="center"/>
              <w:rPr>
                <w:rFonts w:ascii="Verdana" w:eastAsia="Times New Roman" w:hAnsi="Verdana" w:cs="Calibri"/>
                <w:b/>
                <w:bCs/>
                <w:color w:val="376092"/>
                <w:sz w:val="20"/>
                <w:szCs w:val="20"/>
                <w:lang w:val="en-CY" w:eastAsia="en-CY" w:bidi="he-IL"/>
              </w:rPr>
            </w:pPr>
          </w:p>
        </w:tc>
        <w:tc>
          <w:tcPr>
            <w:tcW w:w="2940" w:type="dxa"/>
            <w:gridSpan w:val="2"/>
            <w:tcBorders>
              <w:top w:val="nil"/>
              <w:bottom w:val="single" w:sz="4" w:space="0" w:color="365F91"/>
            </w:tcBorders>
            <w:shd w:val="clear" w:color="auto" w:fill="auto"/>
            <w:vAlign w:val="center"/>
            <w:hideMark/>
          </w:tcPr>
          <w:p w14:paraId="459F4764" w14:textId="77777777" w:rsidR="00C34275" w:rsidRPr="00696588" w:rsidRDefault="00C34275" w:rsidP="00D25C91">
            <w:pPr>
              <w:ind w:right="-248"/>
              <w:jc w:val="center"/>
              <w:rPr>
                <w:rFonts w:ascii="Verdana" w:eastAsia="Times New Roman" w:hAnsi="Verdana" w:cs="Calibri"/>
                <w:b/>
                <w:bCs/>
                <w:color w:val="376092"/>
                <w:sz w:val="20"/>
                <w:szCs w:val="20"/>
                <w:lang w:val="en-CY" w:eastAsia="en-CY" w:bidi="he-IL"/>
              </w:rPr>
            </w:pPr>
            <w:r w:rsidRPr="00696588">
              <w:rPr>
                <w:rFonts w:ascii="Verdana" w:eastAsia="Times New Roman" w:hAnsi="Verdana" w:cs="Calibri"/>
                <w:b/>
                <w:bCs/>
                <w:color w:val="376092"/>
                <w:sz w:val="20"/>
                <w:szCs w:val="20"/>
                <w:lang w:val="en-CY" w:eastAsia="en-CY" w:bidi="he-IL"/>
              </w:rPr>
              <w:t>(%)</w:t>
            </w:r>
          </w:p>
        </w:tc>
      </w:tr>
      <w:tr w:rsidR="00C34275" w:rsidRPr="00696588" w14:paraId="4899401B" w14:textId="77777777" w:rsidTr="00957297">
        <w:trPr>
          <w:trHeight w:val="499"/>
          <w:jc w:val="center"/>
        </w:trPr>
        <w:tc>
          <w:tcPr>
            <w:tcW w:w="1137" w:type="dxa"/>
            <w:vMerge/>
            <w:vAlign w:val="center"/>
            <w:hideMark/>
          </w:tcPr>
          <w:p w14:paraId="503A029F" w14:textId="77777777" w:rsidR="00C34275" w:rsidRPr="00696588" w:rsidRDefault="00C34275" w:rsidP="00D25C91">
            <w:pPr>
              <w:jc w:val="center"/>
              <w:rPr>
                <w:rFonts w:ascii="Verdana" w:eastAsia="Times New Roman" w:hAnsi="Verdana" w:cs="Calibri"/>
                <w:b/>
                <w:bCs/>
                <w:color w:val="376092"/>
                <w:sz w:val="20"/>
                <w:szCs w:val="20"/>
                <w:lang w:val="en-CY" w:eastAsia="en-CY" w:bidi="he-IL"/>
              </w:rPr>
            </w:pPr>
          </w:p>
        </w:tc>
        <w:tc>
          <w:tcPr>
            <w:tcW w:w="3546" w:type="dxa"/>
            <w:vMerge/>
            <w:vAlign w:val="center"/>
            <w:hideMark/>
          </w:tcPr>
          <w:p w14:paraId="5C83649A" w14:textId="77777777" w:rsidR="00C34275" w:rsidRPr="00696588" w:rsidRDefault="00C34275" w:rsidP="00D25C91">
            <w:pPr>
              <w:jc w:val="center"/>
              <w:rPr>
                <w:rFonts w:ascii="Verdana" w:eastAsia="Times New Roman" w:hAnsi="Verdana" w:cs="Calibri"/>
                <w:b/>
                <w:bCs/>
                <w:color w:val="376092"/>
                <w:sz w:val="20"/>
                <w:szCs w:val="20"/>
                <w:lang w:val="en-CY" w:eastAsia="en-CY" w:bidi="he-IL"/>
              </w:rPr>
            </w:pPr>
          </w:p>
        </w:tc>
        <w:tc>
          <w:tcPr>
            <w:tcW w:w="1301" w:type="dxa"/>
            <w:vMerge w:val="restart"/>
            <w:tcBorders>
              <w:top w:val="single" w:sz="4" w:space="0" w:color="365F91"/>
            </w:tcBorders>
            <w:shd w:val="clear" w:color="auto" w:fill="auto"/>
            <w:vAlign w:val="center"/>
            <w:hideMark/>
          </w:tcPr>
          <w:p w14:paraId="7435696B" w14:textId="77777777" w:rsidR="000557AA" w:rsidRDefault="000557AA" w:rsidP="00D25C91">
            <w:pPr>
              <w:jc w:val="center"/>
              <w:rPr>
                <w:rFonts w:ascii="Verdana" w:eastAsia="Times New Roman" w:hAnsi="Verdana" w:cs="Calibri"/>
                <w:b/>
                <w:bCs/>
                <w:color w:val="376092"/>
                <w:sz w:val="20"/>
                <w:szCs w:val="20"/>
                <w:lang w:val="en-CY" w:eastAsia="en-CY" w:bidi="he-IL"/>
              </w:rPr>
            </w:pPr>
            <w:r>
              <w:rPr>
                <w:rFonts w:ascii="Verdana" w:eastAsia="Times New Roman" w:hAnsi="Verdana" w:cs="Calibri"/>
                <w:b/>
                <w:bCs/>
                <w:color w:val="376092"/>
                <w:sz w:val="20"/>
                <w:szCs w:val="20"/>
                <w:lang w:val="el-GR" w:eastAsia="en-CY" w:bidi="he-IL"/>
              </w:rPr>
              <w:t>Τ2</w:t>
            </w:r>
            <w:r w:rsidR="00C34275" w:rsidRPr="00696588">
              <w:rPr>
                <w:rFonts w:ascii="Verdana" w:eastAsia="Times New Roman" w:hAnsi="Verdana" w:cs="Calibri"/>
                <w:b/>
                <w:bCs/>
                <w:color w:val="376092"/>
                <w:sz w:val="20"/>
                <w:szCs w:val="20"/>
                <w:lang w:val="en-CY" w:eastAsia="en-CY" w:bidi="he-IL"/>
              </w:rPr>
              <w:t xml:space="preserve"> </w:t>
            </w:r>
          </w:p>
          <w:p w14:paraId="37B755CB" w14:textId="42669380" w:rsidR="00C34275" w:rsidRPr="00696588" w:rsidRDefault="00C34275" w:rsidP="00D25C91">
            <w:pPr>
              <w:jc w:val="center"/>
              <w:rPr>
                <w:rFonts w:ascii="Verdana" w:eastAsia="Times New Roman" w:hAnsi="Verdana" w:cs="Calibri"/>
                <w:b/>
                <w:bCs/>
                <w:color w:val="376092"/>
                <w:sz w:val="20"/>
                <w:szCs w:val="20"/>
                <w:lang w:val="en-CY" w:eastAsia="en-CY" w:bidi="he-IL"/>
              </w:rPr>
            </w:pPr>
            <w:r w:rsidRPr="00696588">
              <w:rPr>
                <w:rFonts w:ascii="Verdana" w:eastAsia="Times New Roman" w:hAnsi="Verdana" w:cs="Calibri"/>
                <w:b/>
                <w:bCs/>
                <w:color w:val="376092"/>
                <w:sz w:val="20"/>
                <w:szCs w:val="20"/>
                <w:lang w:val="en-CY" w:eastAsia="en-CY" w:bidi="he-IL"/>
              </w:rPr>
              <w:t>2022</w:t>
            </w:r>
          </w:p>
        </w:tc>
        <w:tc>
          <w:tcPr>
            <w:tcW w:w="1301" w:type="dxa"/>
            <w:vMerge w:val="restart"/>
            <w:tcBorders>
              <w:top w:val="single" w:sz="4" w:space="0" w:color="365F91"/>
            </w:tcBorders>
            <w:shd w:val="clear" w:color="auto" w:fill="auto"/>
            <w:vAlign w:val="center"/>
            <w:hideMark/>
          </w:tcPr>
          <w:p w14:paraId="20779725" w14:textId="77777777" w:rsidR="000557AA" w:rsidRDefault="000557AA" w:rsidP="00D25C91">
            <w:pPr>
              <w:jc w:val="center"/>
              <w:rPr>
                <w:rFonts w:ascii="Verdana" w:eastAsia="Times New Roman" w:hAnsi="Verdana" w:cs="Calibri"/>
                <w:b/>
                <w:bCs/>
                <w:color w:val="376092"/>
                <w:sz w:val="20"/>
                <w:szCs w:val="20"/>
                <w:lang w:val="en-CY" w:eastAsia="en-CY" w:bidi="he-IL"/>
              </w:rPr>
            </w:pPr>
            <w:r>
              <w:rPr>
                <w:rFonts w:ascii="Verdana" w:eastAsia="Times New Roman" w:hAnsi="Verdana" w:cs="Calibri"/>
                <w:b/>
                <w:bCs/>
                <w:color w:val="376092"/>
                <w:sz w:val="20"/>
                <w:szCs w:val="20"/>
                <w:lang w:val="el-GR" w:eastAsia="en-CY" w:bidi="he-IL"/>
              </w:rPr>
              <w:t>Τ2</w:t>
            </w:r>
            <w:r w:rsidR="00C34275" w:rsidRPr="00696588">
              <w:rPr>
                <w:rFonts w:ascii="Verdana" w:eastAsia="Times New Roman" w:hAnsi="Verdana" w:cs="Calibri"/>
                <w:b/>
                <w:bCs/>
                <w:color w:val="376092"/>
                <w:sz w:val="20"/>
                <w:szCs w:val="20"/>
                <w:lang w:val="en-CY" w:eastAsia="en-CY" w:bidi="he-IL"/>
              </w:rPr>
              <w:t xml:space="preserve"> </w:t>
            </w:r>
          </w:p>
          <w:p w14:paraId="0F630B2A" w14:textId="20C42978" w:rsidR="00C34275" w:rsidRPr="00696588" w:rsidRDefault="00C34275" w:rsidP="00D25C91">
            <w:pPr>
              <w:jc w:val="center"/>
              <w:rPr>
                <w:rFonts w:ascii="Verdana" w:eastAsia="Times New Roman" w:hAnsi="Verdana" w:cs="Calibri"/>
                <w:b/>
                <w:bCs/>
                <w:color w:val="376092"/>
                <w:sz w:val="20"/>
                <w:szCs w:val="20"/>
                <w:lang w:val="en-CY" w:eastAsia="en-CY" w:bidi="he-IL"/>
              </w:rPr>
            </w:pPr>
            <w:r w:rsidRPr="00696588">
              <w:rPr>
                <w:rFonts w:ascii="Verdana" w:eastAsia="Times New Roman" w:hAnsi="Verdana" w:cs="Calibri"/>
                <w:b/>
                <w:bCs/>
                <w:color w:val="376092"/>
                <w:sz w:val="20"/>
                <w:szCs w:val="20"/>
                <w:lang w:val="en-CY" w:eastAsia="en-CY" w:bidi="he-IL"/>
              </w:rPr>
              <w:t>2023</w:t>
            </w:r>
          </w:p>
        </w:tc>
        <w:tc>
          <w:tcPr>
            <w:tcW w:w="341" w:type="dxa"/>
            <w:vMerge w:val="restart"/>
            <w:tcBorders>
              <w:top w:val="nil"/>
              <w:bottom w:val="single" w:sz="8" w:space="0" w:color="365F91"/>
            </w:tcBorders>
            <w:shd w:val="clear" w:color="auto" w:fill="auto"/>
            <w:vAlign w:val="center"/>
            <w:hideMark/>
          </w:tcPr>
          <w:p w14:paraId="65B0097F" w14:textId="77777777" w:rsidR="00C34275" w:rsidRPr="00696588" w:rsidRDefault="00C34275" w:rsidP="00D25C91">
            <w:pPr>
              <w:jc w:val="center"/>
              <w:rPr>
                <w:rFonts w:ascii="Verdana" w:eastAsia="Times New Roman" w:hAnsi="Verdana" w:cs="Calibri"/>
                <w:b/>
                <w:bCs/>
                <w:color w:val="376092"/>
                <w:sz w:val="20"/>
                <w:szCs w:val="20"/>
                <w:lang w:val="en-CY" w:eastAsia="en-CY" w:bidi="he-IL"/>
              </w:rPr>
            </w:pPr>
          </w:p>
        </w:tc>
        <w:tc>
          <w:tcPr>
            <w:tcW w:w="1470" w:type="dxa"/>
            <w:vMerge w:val="restart"/>
            <w:tcBorders>
              <w:top w:val="single" w:sz="4" w:space="0" w:color="365F91"/>
            </w:tcBorders>
            <w:shd w:val="clear" w:color="auto" w:fill="auto"/>
            <w:tcMar>
              <w:left w:w="28" w:type="dxa"/>
              <w:right w:w="28" w:type="dxa"/>
            </w:tcMar>
            <w:vAlign w:val="center"/>
            <w:hideMark/>
          </w:tcPr>
          <w:p w14:paraId="2D6932AA" w14:textId="4E400844" w:rsidR="00C34275" w:rsidRPr="00696588" w:rsidRDefault="000557AA" w:rsidP="00D25C91">
            <w:pPr>
              <w:jc w:val="center"/>
              <w:rPr>
                <w:rFonts w:ascii="Verdana" w:eastAsia="Times New Roman" w:hAnsi="Verdana" w:cs="Calibri"/>
                <w:b/>
                <w:bCs/>
                <w:color w:val="376092"/>
                <w:sz w:val="20"/>
                <w:szCs w:val="20"/>
                <w:lang w:val="en-CY" w:eastAsia="en-CY" w:bidi="he-IL"/>
              </w:rPr>
            </w:pPr>
            <w:r>
              <w:rPr>
                <w:rFonts w:ascii="Verdana" w:eastAsia="Times New Roman" w:hAnsi="Verdana" w:cs="Calibri"/>
                <w:b/>
                <w:bCs/>
                <w:color w:val="376092"/>
                <w:sz w:val="20"/>
                <w:szCs w:val="20"/>
                <w:lang w:val="el-GR" w:eastAsia="en-CY" w:bidi="he-IL"/>
              </w:rPr>
              <w:t>Τ2</w:t>
            </w:r>
            <w:r w:rsidR="00C34275" w:rsidRPr="00696588">
              <w:rPr>
                <w:rFonts w:ascii="Verdana" w:eastAsia="Times New Roman" w:hAnsi="Verdana" w:cs="Calibri"/>
                <w:b/>
                <w:bCs/>
                <w:color w:val="376092"/>
                <w:sz w:val="20"/>
                <w:szCs w:val="20"/>
                <w:lang w:val="en-CY" w:eastAsia="en-CY" w:bidi="he-IL"/>
              </w:rPr>
              <w:t xml:space="preserve"> 2023/2022</w:t>
            </w:r>
          </w:p>
        </w:tc>
        <w:tc>
          <w:tcPr>
            <w:tcW w:w="1470" w:type="dxa"/>
            <w:vMerge w:val="restart"/>
            <w:tcBorders>
              <w:top w:val="single" w:sz="4" w:space="0" w:color="365F91"/>
            </w:tcBorders>
            <w:shd w:val="clear" w:color="auto" w:fill="auto"/>
            <w:tcMar>
              <w:left w:w="28" w:type="dxa"/>
              <w:right w:w="28" w:type="dxa"/>
            </w:tcMar>
            <w:vAlign w:val="center"/>
            <w:hideMark/>
          </w:tcPr>
          <w:p w14:paraId="28CC62FA" w14:textId="2F2E809F" w:rsidR="00D25C91" w:rsidRPr="000557AA" w:rsidRDefault="00145542" w:rsidP="00145542">
            <w:pPr>
              <w:rPr>
                <w:rFonts w:ascii="Verdana" w:eastAsia="Times New Roman" w:hAnsi="Verdana" w:cs="Calibri"/>
                <w:b/>
                <w:bCs/>
                <w:color w:val="376092"/>
                <w:sz w:val="20"/>
                <w:szCs w:val="20"/>
                <w:lang w:val="el-GR" w:eastAsia="en-CY" w:bidi="he-IL"/>
              </w:rPr>
            </w:pPr>
            <w:r>
              <w:rPr>
                <w:rFonts w:ascii="Verdana" w:eastAsia="Times New Roman" w:hAnsi="Verdana" w:cs="Calibri"/>
                <w:b/>
                <w:bCs/>
                <w:color w:val="376092"/>
                <w:sz w:val="20"/>
                <w:szCs w:val="20"/>
                <w:lang w:val="el-GR" w:eastAsia="en-CY" w:bidi="he-IL"/>
              </w:rPr>
              <w:t xml:space="preserve">   Ιαν-Ιουν</w:t>
            </w:r>
          </w:p>
          <w:p w14:paraId="37C98251" w14:textId="628BD08C" w:rsidR="00C34275" w:rsidRPr="00696588" w:rsidRDefault="00C34275" w:rsidP="00D25C91">
            <w:pPr>
              <w:jc w:val="center"/>
              <w:rPr>
                <w:rFonts w:ascii="Verdana" w:eastAsia="Times New Roman" w:hAnsi="Verdana" w:cs="Calibri"/>
                <w:b/>
                <w:bCs/>
                <w:color w:val="376092"/>
                <w:sz w:val="20"/>
                <w:szCs w:val="20"/>
                <w:lang w:val="en-CY" w:eastAsia="en-CY" w:bidi="he-IL"/>
              </w:rPr>
            </w:pPr>
            <w:r w:rsidRPr="00696588">
              <w:rPr>
                <w:rFonts w:ascii="Verdana" w:eastAsia="Times New Roman" w:hAnsi="Verdana" w:cs="Calibri"/>
                <w:b/>
                <w:bCs/>
                <w:color w:val="376092"/>
                <w:sz w:val="20"/>
                <w:szCs w:val="20"/>
                <w:lang w:val="en-CY" w:eastAsia="en-CY" w:bidi="he-IL"/>
              </w:rPr>
              <w:t>2023/2022</w:t>
            </w:r>
          </w:p>
        </w:tc>
      </w:tr>
      <w:tr w:rsidR="00C34275" w:rsidRPr="00696588" w14:paraId="566BED69" w14:textId="77777777" w:rsidTr="00957297">
        <w:trPr>
          <w:trHeight w:val="499"/>
          <w:jc w:val="center"/>
        </w:trPr>
        <w:tc>
          <w:tcPr>
            <w:tcW w:w="1137" w:type="dxa"/>
            <w:vMerge/>
            <w:tcBorders>
              <w:bottom w:val="single" w:sz="4" w:space="0" w:color="365F91"/>
            </w:tcBorders>
            <w:vAlign w:val="center"/>
            <w:hideMark/>
          </w:tcPr>
          <w:p w14:paraId="3A3D2E1D" w14:textId="77777777" w:rsidR="00C34275" w:rsidRPr="00696588" w:rsidRDefault="00C34275" w:rsidP="00696588">
            <w:pPr>
              <w:rPr>
                <w:rFonts w:ascii="Verdana" w:eastAsia="Times New Roman" w:hAnsi="Verdana" w:cs="Calibri"/>
                <w:b/>
                <w:bCs/>
                <w:color w:val="376092"/>
                <w:sz w:val="20"/>
                <w:szCs w:val="20"/>
                <w:lang w:val="en-CY" w:eastAsia="en-CY" w:bidi="he-IL"/>
              </w:rPr>
            </w:pPr>
          </w:p>
        </w:tc>
        <w:tc>
          <w:tcPr>
            <w:tcW w:w="3546" w:type="dxa"/>
            <w:vMerge/>
            <w:tcBorders>
              <w:bottom w:val="single" w:sz="4" w:space="0" w:color="365F91"/>
            </w:tcBorders>
            <w:vAlign w:val="center"/>
            <w:hideMark/>
          </w:tcPr>
          <w:p w14:paraId="581EF45D" w14:textId="77777777" w:rsidR="00C34275" w:rsidRPr="00696588" w:rsidRDefault="00C34275" w:rsidP="00696588">
            <w:pPr>
              <w:rPr>
                <w:rFonts w:ascii="Verdana" w:eastAsia="Times New Roman" w:hAnsi="Verdana" w:cs="Calibri"/>
                <w:b/>
                <w:bCs/>
                <w:color w:val="376092"/>
                <w:sz w:val="20"/>
                <w:szCs w:val="20"/>
                <w:lang w:val="en-CY" w:eastAsia="en-CY" w:bidi="he-IL"/>
              </w:rPr>
            </w:pPr>
          </w:p>
        </w:tc>
        <w:tc>
          <w:tcPr>
            <w:tcW w:w="1301" w:type="dxa"/>
            <w:vMerge/>
            <w:tcBorders>
              <w:bottom w:val="single" w:sz="4" w:space="0" w:color="365F91"/>
            </w:tcBorders>
            <w:vAlign w:val="center"/>
            <w:hideMark/>
          </w:tcPr>
          <w:p w14:paraId="369167DB" w14:textId="77777777" w:rsidR="00C34275" w:rsidRPr="00696588" w:rsidRDefault="00C34275" w:rsidP="00696588">
            <w:pPr>
              <w:rPr>
                <w:rFonts w:ascii="Verdana" w:eastAsia="Times New Roman" w:hAnsi="Verdana" w:cs="Calibri"/>
                <w:b/>
                <w:bCs/>
                <w:color w:val="376092"/>
                <w:sz w:val="20"/>
                <w:szCs w:val="20"/>
                <w:lang w:val="en-CY" w:eastAsia="en-CY" w:bidi="he-IL"/>
              </w:rPr>
            </w:pPr>
          </w:p>
        </w:tc>
        <w:tc>
          <w:tcPr>
            <w:tcW w:w="1301" w:type="dxa"/>
            <w:vMerge/>
            <w:tcBorders>
              <w:bottom w:val="single" w:sz="4" w:space="0" w:color="365F91"/>
            </w:tcBorders>
            <w:vAlign w:val="center"/>
            <w:hideMark/>
          </w:tcPr>
          <w:p w14:paraId="034A0EC2" w14:textId="77777777" w:rsidR="00C34275" w:rsidRPr="00696588" w:rsidRDefault="00C34275" w:rsidP="00696588">
            <w:pPr>
              <w:rPr>
                <w:rFonts w:ascii="Verdana" w:eastAsia="Times New Roman" w:hAnsi="Verdana" w:cs="Calibri"/>
                <w:b/>
                <w:bCs/>
                <w:color w:val="376092"/>
                <w:sz w:val="20"/>
                <w:szCs w:val="20"/>
                <w:lang w:val="en-CY" w:eastAsia="en-CY" w:bidi="he-IL"/>
              </w:rPr>
            </w:pPr>
          </w:p>
        </w:tc>
        <w:tc>
          <w:tcPr>
            <w:tcW w:w="341" w:type="dxa"/>
            <w:vMerge/>
            <w:tcBorders>
              <w:top w:val="single" w:sz="8" w:space="0" w:color="365F91"/>
              <w:bottom w:val="single" w:sz="4" w:space="0" w:color="365F91"/>
            </w:tcBorders>
            <w:vAlign w:val="center"/>
            <w:hideMark/>
          </w:tcPr>
          <w:p w14:paraId="4B24E5EB" w14:textId="77777777" w:rsidR="00C34275" w:rsidRPr="00696588" w:rsidRDefault="00C34275" w:rsidP="00696588">
            <w:pPr>
              <w:rPr>
                <w:rFonts w:ascii="Verdana" w:eastAsia="Times New Roman" w:hAnsi="Verdana" w:cs="Calibri"/>
                <w:b/>
                <w:bCs/>
                <w:color w:val="376092"/>
                <w:sz w:val="20"/>
                <w:szCs w:val="20"/>
                <w:lang w:val="en-CY" w:eastAsia="en-CY" w:bidi="he-IL"/>
              </w:rPr>
            </w:pPr>
          </w:p>
        </w:tc>
        <w:tc>
          <w:tcPr>
            <w:tcW w:w="1470" w:type="dxa"/>
            <w:vMerge/>
            <w:tcBorders>
              <w:bottom w:val="single" w:sz="4" w:space="0" w:color="365F91"/>
            </w:tcBorders>
            <w:vAlign w:val="center"/>
            <w:hideMark/>
          </w:tcPr>
          <w:p w14:paraId="6195401D" w14:textId="77777777" w:rsidR="00C34275" w:rsidRPr="00696588" w:rsidRDefault="00C34275" w:rsidP="00696588">
            <w:pPr>
              <w:rPr>
                <w:rFonts w:ascii="Verdana" w:eastAsia="Times New Roman" w:hAnsi="Verdana" w:cs="Calibri"/>
                <w:b/>
                <w:bCs/>
                <w:color w:val="376092"/>
                <w:sz w:val="20"/>
                <w:szCs w:val="20"/>
                <w:lang w:val="en-CY" w:eastAsia="en-CY" w:bidi="he-IL"/>
              </w:rPr>
            </w:pPr>
          </w:p>
        </w:tc>
        <w:tc>
          <w:tcPr>
            <w:tcW w:w="1470" w:type="dxa"/>
            <w:vMerge/>
            <w:tcBorders>
              <w:bottom w:val="single" w:sz="4" w:space="0" w:color="365F91"/>
            </w:tcBorders>
            <w:vAlign w:val="center"/>
            <w:hideMark/>
          </w:tcPr>
          <w:p w14:paraId="35C97DEA" w14:textId="77777777" w:rsidR="00C34275" w:rsidRPr="00696588" w:rsidRDefault="00C34275" w:rsidP="00696588">
            <w:pPr>
              <w:ind w:right="-106"/>
              <w:rPr>
                <w:rFonts w:ascii="Verdana" w:eastAsia="Times New Roman" w:hAnsi="Verdana" w:cs="Calibri"/>
                <w:b/>
                <w:bCs/>
                <w:color w:val="376092"/>
                <w:sz w:val="20"/>
                <w:szCs w:val="20"/>
                <w:lang w:val="en-CY" w:eastAsia="en-CY" w:bidi="he-IL"/>
              </w:rPr>
            </w:pPr>
          </w:p>
        </w:tc>
      </w:tr>
      <w:tr w:rsidR="00C34275" w:rsidRPr="00696588" w14:paraId="45F8E616" w14:textId="77777777" w:rsidTr="00957297">
        <w:trPr>
          <w:trHeight w:val="600"/>
          <w:jc w:val="center"/>
        </w:trPr>
        <w:tc>
          <w:tcPr>
            <w:tcW w:w="1137" w:type="dxa"/>
            <w:tcBorders>
              <w:top w:val="single" w:sz="4" w:space="0" w:color="365F91"/>
              <w:bottom w:val="single" w:sz="4" w:space="0" w:color="365F91"/>
            </w:tcBorders>
            <w:shd w:val="clear" w:color="auto" w:fill="auto"/>
            <w:vAlign w:val="center"/>
            <w:hideMark/>
          </w:tcPr>
          <w:p w14:paraId="057FB6B4" w14:textId="77777777" w:rsidR="00C34275" w:rsidRPr="00696588" w:rsidRDefault="00C34275" w:rsidP="00696588">
            <w:pPr>
              <w:jc w:val="center"/>
              <w:rPr>
                <w:rFonts w:ascii="Verdana" w:eastAsia="Times New Roman" w:hAnsi="Verdana" w:cs="Calibri"/>
                <w:b/>
                <w:bCs/>
                <w:color w:val="376092"/>
                <w:sz w:val="20"/>
                <w:szCs w:val="20"/>
                <w:lang w:val="en-CY" w:eastAsia="en-CY" w:bidi="he-IL"/>
              </w:rPr>
            </w:pPr>
            <w:r w:rsidRPr="00696588">
              <w:rPr>
                <w:rFonts w:ascii="Verdana" w:eastAsia="Times New Roman" w:hAnsi="Verdana" w:cs="Calibri"/>
                <w:b/>
                <w:bCs/>
                <w:color w:val="376092"/>
                <w:sz w:val="20"/>
                <w:szCs w:val="20"/>
                <w:lang w:val="en-CY" w:eastAsia="en-CY" w:bidi="he-IL"/>
              </w:rPr>
              <w:t xml:space="preserve">Η </w:t>
            </w:r>
          </w:p>
        </w:tc>
        <w:tc>
          <w:tcPr>
            <w:tcW w:w="3546" w:type="dxa"/>
            <w:tcBorders>
              <w:top w:val="single" w:sz="4" w:space="0" w:color="365F91"/>
              <w:bottom w:val="single" w:sz="4" w:space="0" w:color="365F91"/>
            </w:tcBorders>
            <w:shd w:val="clear" w:color="auto" w:fill="auto"/>
            <w:vAlign w:val="center"/>
            <w:hideMark/>
          </w:tcPr>
          <w:p w14:paraId="0F90DDE7" w14:textId="77777777" w:rsidR="00C34275" w:rsidRPr="00696588" w:rsidRDefault="00C34275" w:rsidP="00696588">
            <w:pPr>
              <w:ind w:firstLineChars="100" w:firstLine="201"/>
              <w:rPr>
                <w:rFonts w:ascii="Verdana" w:eastAsia="Times New Roman" w:hAnsi="Verdana" w:cs="Calibri"/>
                <w:b/>
                <w:bCs/>
                <w:color w:val="376092"/>
                <w:sz w:val="20"/>
                <w:szCs w:val="20"/>
                <w:lang w:val="en-CY" w:eastAsia="en-CY" w:bidi="he-IL"/>
              </w:rPr>
            </w:pPr>
            <w:r w:rsidRPr="00696588">
              <w:rPr>
                <w:rFonts w:ascii="Verdana" w:eastAsia="Times New Roman" w:hAnsi="Verdana" w:cs="Calibri"/>
                <w:b/>
                <w:bCs/>
                <w:color w:val="376092"/>
                <w:sz w:val="20"/>
                <w:szCs w:val="20"/>
                <w:lang w:val="en-CY" w:eastAsia="en-CY" w:bidi="he-IL"/>
              </w:rPr>
              <w:t>Μεταφορές και Αποθήκευση</w:t>
            </w:r>
          </w:p>
        </w:tc>
        <w:tc>
          <w:tcPr>
            <w:tcW w:w="1301" w:type="dxa"/>
            <w:tcBorders>
              <w:top w:val="single" w:sz="4" w:space="0" w:color="365F91"/>
              <w:bottom w:val="single" w:sz="4" w:space="0" w:color="365F91"/>
            </w:tcBorders>
            <w:shd w:val="clear" w:color="auto" w:fill="auto"/>
            <w:vAlign w:val="center"/>
            <w:hideMark/>
          </w:tcPr>
          <w:p w14:paraId="439D9779" w14:textId="77777777" w:rsidR="00C34275" w:rsidRPr="00696588" w:rsidRDefault="00C34275" w:rsidP="00D25C91">
            <w:pPr>
              <w:ind w:right="113"/>
              <w:jc w:val="right"/>
              <w:rPr>
                <w:rFonts w:ascii="Verdana" w:eastAsia="Times New Roman" w:hAnsi="Verdana" w:cs="Calibri"/>
                <w:b/>
                <w:bCs/>
                <w:color w:val="376092"/>
                <w:sz w:val="20"/>
                <w:szCs w:val="20"/>
                <w:lang w:val="en-CY" w:eastAsia="en-CY" w:bidi="he-IL"/>
              </w:rPr>
            </w:pPr>
            <w:r w:rsidRPr="00696588">
              <w:rPr>
                <w:rFonts w:ascii="Verdana" w:eastAsia="Times New Roman" w:hAnsi="Verdana" w:cs="Calibri"/>
                <w:b/>
                <w:bCs/>
                <w:color w:val="376092"/>
                <w:sz w:val="20"/>
                <w:szCs w:val="20"/>
                <w:lang w:val="en-CY" w:eastAsia="en-CY" w:bidi="he-IL"/>
              </w:rPr>
              <w:t>131,6</w:t>
            </w:r>
          </w:p>
        </w:tc>
        <w:tc>
          <w:tcPr>
            <w:tcW w:w="1301" w:type="dxa"/>
            <w:tcBorders>
              <w:top w:val="single" w:sz="4" w:space="0" w:color="365F91"/>
              <w:bottom w:val="single" w:sz="4" w:space="0" w:color="365F91"/>
            </w:tcBorders>
            <w:shd w:val="clear" w:color="auto" w:fill="auto"/>
            <w:vAlign w:val="center"/>
            <w:hideMark/>
          </w:tcPr>
          <w:p w14:paraId="0FC8CB69" w14:textId="7310E1F5" w:rsidR="00C34275" w:rsidRPr="004C6CFF" w:rsidRDefault="00C34275" w:rsidP="00D25C91">
            <w:pPr>
              <w:ind w:right="113"/>
              <w:jc w:val="right"/>
              <w:rPr>
                <w:rFonts w:ascii="Verdana" w:eastAsia="Times New Roman" w:hAnsi="Verdana" w:cs="Calibri"/>
                <w:b/>
                <w:bCs/>
                <w:color w:val="376092"/>
                <w:sz w:val="20"/>
                <w:szCs w:val="20"/>
                <w:lang w:eastAsia="en-CY" w:bidi="he-IL"/>
              </w:rPr>
            </w:pPr>
            <w:r w:rsidRPr="00696588">
              <w:rPr>
                <w:rFonts w:ascii="Verdana" w:eastAsia="Times New Roman" w:hAnsi="Verdana" w:cs="Calibri"/>
                <w:b/>
                <w:bCs/>
                <w:color w:val="376092"/>
                <w:sz w:val="20"/>
                <w:szCs w:val="20"/>
                <w:lang w:val="en-CY" w:eastAsia="en-CY" w:bidi="he-IL"/>
              </w:rPr>
              <w:t>154,</w:t>
            </w:r>
            <w:r w:rsidR="004C6CFF">
              <w:rPr>
                <w:rFonts w:ascii="Verdana" w:eastAsia="Times New Roman" w:hAnsi="Verdana" w:cs="Calibri"/>
                <w:b/>
                <w:bCs/>
                <w:color w:val="376092"/>
                <w:sz w:val="20"/>
                <w:szCs w:val="20"/>
                <w:lang w:eastAsia="en-CY" w:bidi="he-IL"/>
              </w:rPr>
              <w:t>4</w:t>
            </w:r>
          </w:p>
        </w:tc>
        <w:tc>
          <w:tcPr>
            <w:tcW w:w="341" w:type="dxa"/>
            <w:tcBorders>
              <w:top w:val="single" w:sz="4" w:space="0" w:color="365F91"/>
              <w:bottom w:val="single" w:sz="4" w:space="0" w:color="365F91"/>
            </w:tcBorders>
            <w:shd w:val="clear" w:color="auto" w:fill="auto"/>
            <w:vAlign w:val="center"/>
            <w:hideMark/>
          </w:tcPr>
          <w:p w14:paraId="25303571" w14:textId="77777777" w:rsidR="00C34275" w:rsidRPr="00696588" w:rsidRDefault="00C34275" w:rsidP="00D25C91">
            <w:pPr>
              <w:ind w:right="113"/>
              <w:jc w:val="right"/>
              <w:rPr>
                <w:rFonts w:ascii="Verdana" w:eastAsia="Times New Roman" w:hAnsi="Verdana" w:cs="Calibri"/>
                <w:b/>
                <w:bCs/>
                <w:color w:val="376092"/>
                <w:sz w:val="20"/>
                <w:szCs w:val="20"/>
                <w:lang w:val="en-CY" w:eastAsia="en-CY" w:bidi="he-IL"/>
              </w:rPr>
            </w:pPr>
          </w:p>
        </w:tc>
        <w:tc>
          <w:tcPr>
            <w:tcW w:w="1470" w:type="dxa"/>
            <w:tcBorders>
              <w:top w:val="single" w:sz="4" w:space="0" w:color="365F91"/>
              <w:bottom w:val="single" w:sz="4" w:space="0" w:color="365F91"/>
            </w:tcBorders>
            <w:shd w:val="clear" w:color="auto" w:fill="auto"/>
            <w:vAlign w:val="center"/>
            <w:hideMark/>
          </w:tcPr>
          <w:p w14:paraId="457EEFAA" w14:textId="08840B60" w:rsidR="00C34275" w:rsidRPr="004C6CFF" w:rsidRDefault="00C34275" w:rsidP="000557AA">
            <w:pPr>
              <w:ind w:right="397"/>
              <w:jc w:val="right"/>
              <w:rPr>
                <w:rFonts w:ascii="Verdana" w:eastAsia="Times New Roman" w:hAnsi="Verdana" w:cs="Calibri"/>
                <w:b/>
                <w:bCs/>
                <w:color w:val="376092"/>
                <w:sz w:val="20"/>
                <w:szCs w:val="20"/>
                <w:lang w:eastAsia="en-CY" w:bidi="he-IL"/>
              </w:rPr>
            </w:pPr>
            <w:r w:rsidRPr="00696588">
              <w:rPr>
                <w:rFonts w:ascii="Verdana" w:eastAsia="Times New Roman" w:hAnsi="Verdana" w:cs="Calibri"/>
                <w:b/>
                <w:bCs/>
                <w:color w:val="376092"/>
                <w:sz w:val="20"/>
                <w:szCs w:val="20"/>
                <w:lang w:val="en-CY" w:eastAsia="en-CY" w:bidi="he-IL"/>
              </w:rPr>
              <w:t>17,</w:t>
            </w:r>
            <w:r w:rsidR="004C6CFF">
              <w:rPr>
                <w:rFonts w:ascii="Verdana" w:eastAsia="Times New Roman" w:hAnsi="Verdana" w:cs="Calibri"/>
                <w:b/>
                <w:bCs/>
                <w:color w:val="376092"/>
                <w:sz w:val="20"/>
                <w:szCs w:val="20"/>
                <w:lang w:eastAsia="en-CY" w:bidi="he-IL"/>
              </w:rPr>
              <w:t>3</w:t>
            </w:r>
          </w:p>
        </w:tc>
        <w:tc>
          <w:tcPr>
            <w:tcW w:w="1470" w:type="dxa"/>
            <w:tcBorders>
              <w:top w:val="single" w:sz="4" w:space="0" w:color="365F91"/>
              <w:bottom w:val="single" w:sz="4" w:space="0" w:color="365F91"/>
            </w:tcBorders>
            <w:shd w:val="clear" w:color="auto" w:fill="auto"/>
            <w:vAlign w:val="center"/>
            <w:hideMark/>
          </w:tcPr>
          <w:p w14:paraId="31BD2EC4" w14:textId="300E0641" w:rsidR="00C34275" w:rsidRPr="0077282F" w:rsidRDefault="00C34275" w:rsidP="000557AA">
            <w:pPr>
              <w:ind w:right="397"/>
              <w:jc w:val="right"/>
              <w:rPr>
                <w:rFonts w:ascii="Verdana" w:eastAsia="Times New Roman" w:hAnsi="Verdana" w:cs="Calibri"/>
                <w:b/>
                <w:bCs/>
                <w:color w:val="376092"/>
                <w:sz w:val="20"/>
                <w:szCs w:val="20"/>
                <w:lang w:val="el-GR" w:eastAsia="en-CY" w:bidi="he-IL"/>
              </w:rPr>
            </w:pPr>
            <w:r w:rsidRPr="00696588">
              <w:rPr>
                <w:rFonts w:ascii="Verdana" w:eastAsia="Times New Roman" w:hAnsi="Verdana" w:cs="Calibri"/>
                <w:b/>
                <w:bCs/>
                <w:color w:val="376092"/>
                <w:sz w:val="20"/>
                <w:szCs w:val="20"/>
                <w:lang w:val="en-CY" w:eastAsia="en-CY" w:bidi="he-IL"/>
              </w:rPr>
              <w:t>22,</w:t>
            </w:r>
            <w:r w:rsidR="0077282F" w:rsidRPr="000557AA">
              <w:rPr>
                <w:rFonts w:ascii="Verdana" w:eastAsia="Times New Roman" w:hAnsi="Verdana" w:cs="Calibri"/>
                <w:b/>
                <w:bCs/>
                <w:color w:val="376092"/>
                <w:sz w:val="20"/>
                <w:szCs w:val="20"/>
                <w:lang w:val="en-CY" w:eastAsia="en-CY" w:bidi="he-IL"/>
              </w:rPr>
              <w:t>3</w:t>
            </w:r>
          </w:p>
        </w:tc>
      </w:tr>
      <w:tr w:rsidR="00C34275" w:rsidRPr="00696588" w14:paraId="3DFE120C" w14:textId="77777777" w:rsidTr="00957297">
        <w:trPr>
          <w:trHeight w:val="799"/>
          <w:jc w:val="center"/>
        </w:trPr>
        <w:tc>
          <w:tcPr>
            <w:tcW w:w="1137" w:type="dxa"/>
            <w:tcBorders>
              <w:top w:val="single" w:sz="4" w:space="0" w:color="365F91"/>
              <w:bottom w:val="nil"/>
            </w:tcBorders>
            <w:shd w:val="clear" w:color="auto" w:fill="auto"/>
            <w:vAlign w:val="center"/>
            <w:hideMark/>
          </w:tcPr>
          <w:p w14:paraId="789FAAB0" w14:textId="77777777" w:rsidR="00C34275" w:rsidRPr="00696588" w:rsidRDefault="00C34275" w:rsidP="00696588">
            <w:pPr>
              <w:jc w:val="center"/>
              <w:rPr>
                <w:rFonts w:ascii="Verdana" w:eastAsia="Times New Roman" w:hAnsi="Verdana" w:cs="Calibri"/>
                <w:color w:val="376092"/>
                <w:sz w:val="20"/>
                <w:szCs w:val="20"/>
                <w:lang w:val="en-CY" w:eastAsia="en-CY" w:bidi="he-IL"/>
              </w:rPr>
            </w:pPr>
            <w:r w:rsidRPr="00696588">
              <w:rPr>
                <w:rFonts w:ascii="Verdana" w:eastAsia="Times New Roman" w:hAnsi="Verdana" w:cs="Calibri"/>
                <w:color w:val="376092"/>
                <w:sz w:val="20"/>
                <w:szCs w:val="20"/>
                <w:lang w:val="en-CY" w:eastAsia="en-CY" w:bidi="he-IL"/>
              </w:rPr>
              <w:t>49</w:t>
            </w:r>
          </w:p>
        </w:tc>
        <w:tc>
          <w:tcPr>
            <w:tcW w:w="3546" w:type="dxa"/>
            <w:tcBorders>
              <w:top w:val="single" w:sz="4" w:space="0" w:color="365F91"/>
              <w:bottom w:val="nil"/>
            </w:tcBorders>
            <w:shd w:val="clear" w:color="auto" w:fill="auto"/>
            <w:vAlign w:val="center"/>
            <w:hideMark/>
          </w:tcPr>
          <w:p w14:paraId="206413D5" w14:textId="77777777" w:rsidR="00C34275" w:rsidRPr="00696588" w:rsidRDefault="00C34275" w:rsidP="00696588">
            <w:pPr>
              <w:rPr>
                <w:rFonts w:ascii="Verdana" w:eastAsia="Times New Roman" w:hAnsi="Verdana" w:cs="Calibri"/>
                <w:color w:val="376092"/>
                <w:sz w:val="20"/>
                <w:szCs w:val="20"/>
                <w:lang w:val="en-CY" w:eastAsia="en-CY" w:bidi="he-IL"/>
              </w:rPr>
            </w:pPr>
            <w:r w:rsidRPr="00696588">
              <w:rPr>
                <w:rFonts w:ascii="Verdana" w:eastAsia="Times New Roman" w:hAnsi="Verdana" w:cs="Calibri"/>
                <w:color w:val="376092"/>
                <w:sz w:val="20"/>
                <w:szCs w:val="20"/>
                <w:lang w:val="en-CY" w:eastAsia="en-CY" w:bidi="he-IL"/>
              </w:rPr>
              <w:t>Χερσαίες μεταφορές και μεταφορές μέσω αγωγών</w:t>
            </w:r>
          </w:p>
        </w:tc>
        <w:tc>
          <w:tcPr>
            <w:tcW w:w="1301" w:type="dxa"/>
            <w:tcBorders>
              <w:top w:val="single" w:sz="4" w:space="0" w:color="365F91"/>
              <w:bottom w:val="nil"/>
            </w:tcBorders>
            <w:shd w:val="clear" w:color="auto" w:fill="auto"/>
            <w:vAlign w:val="center"/>
            <w:hideMark/>
          </w:tcPr>
          <w:p w14:paraId="3A598974" w14:textId="77777777" w:rsidR="00C34275" w:rsidRPr="00696588" w:rsidRDefault="00C34275" w:rsidP="00D25C91">
            <w:pPr>
              <w:ind w:right="113"/>
              <w:jc w:val="right"/>
              <w:rPr>
                <w:rFonts w:ascii="Verdana" w:eastAsia="Times New Roman" w:hAnsi="Verdana" w:cs="Calibri"/>
                <w:color w:val="376092"/>
                <w:sz w:val="20"/>
                <w:szCs w:val="20"/>
                <w:lang w:val="en-CY" w:eastAsia="en-CY" w:bidi="he-IL"/>
              </w:rPr>
            </w:pPr>
            <w:r w:rsidRPr="00696588">
              <w:rPr>
                <w:rFonts w:ascii="Verdana" w:eastAsia="Times New Roman" w:hAnsi="Verdana" w:cs="Calibri"/>
                <w:color w:val="376092"/>
                <w:sz w:val="20"/>
                <w:szCs w:val="20"/>
                <w:lang w:val="en-CY" w:eastAsia="en-CY" w:bidi="he-IL"/>
              </w:rPr>
              <w:t>141,8</w:t>
            </w:r>
          </w:p>
        </w:tc>
        <w:tc>
          <w:tcPr>
            <w:tcW w:w="1301" w:type="dxa"/>
            <w:tcBorders>
              <w:top w:val="single" w:sz="4" w:space="0" w:color="365F91"/>
              <w:bottom w:val="nil"/>
            </w:tcBorders>
            <w:shd w:val="clear" w:color="auto" w:fill="auto"/>
            <w:vAlign w:val="center"/>
            <w:hideMark/>
          </w:tcPr>
          <w:p w14:paraId="17FAEE07" w14:textId="77777777" w:rsidR="00C34275" w:rsidRPr="00696588" w:rsidRDefault="00C34275" w:rsidP="00D25C91">
            <w:pPr>
              <w:ind w:right="113"/>
              <w:jc w:val="right"/>
              <w:rPr>
                <w:rFonts w:ascii="Verdana" w:eastAsia="Times New Roman" w:hAnsi="Verdana" w:cs="Calibri"/>
                <w:color w:val="376092"/>
                <w:sz w:val="20"/>
                <w:szCs w:val="20"/>
                <w:lang w:val="en-CY" w:eastAsia="en-CY" w:bidi="he-IL"/>
              </w:rPr>
            </w:pPr>
            <w:r w:rsidRPr="00696588">
              <w:rPr>
                <w:rFonts w:ascii="Verdana" w:eastAsia="Times New Roman" w:hAnsi="Verdana" w:cs="Calibri"/>
                <w:color w:val="376092"/>
                <w:sz w:val="20"/>
                <w:szCs w:val="20"/>
                <w:lang w:val="en-CY" w:eastAsia="en-CY" w:bidi="he-IL"/>
              </w:rPr>
              <w:t>153,1</w:t>
            </w:r>
          </w:p>
        </w:tc>
        <w:tc>
          <w:tcPr>
            <w:tcW w:w="341" w:type="dxa"/>
            <w:tcBorders>
              <w:top w:val="single" w:sz="4" w:space="0" w:color="365F91"/>
              <w:bottom w:val="nil"/>
            </w:tcBorders>
            <w:shd w:val="clear" w:color="auto" w:fill="auto"/>
            <w:vAlign w:val="center"/>
            <w:hideMark/>
          </w:tcPr>
          <w:p w14:paraId="108A2F94" w14:textId="77777777" w:rsidR="00C34275" w:rsidRPr="00696588" w:rsidRDefault="00C34275" w:rsidP="00D25C91">
            <w:pPr>
              <w:ind w:right="113"/>
              <w:jc w:val="right"/>
              <w:rPr>
                <w:rFonts w:ascii="Verdana" w:eastAsia="Times New Roman" w:hAnsi="Verdana" w:cs="Calibri"/>
                <w:color w:val="376092"/>
                <w:sz w:val="20"/>
                <w:szCs w:val="20"/>
                <w:lang w:val="en-CY" w:eastAsia="en-CY" w:bidi="he-IL"/>
              </w:rPr>
            </w:pPr>
          </w:p>
        </w:tc>
        <w:tc>
          <w:tcPr>
            <w:tcW w:w="1470" w:type="dxa"/>
            <w:tcBorders>
              <w:top w:val="single" w:sz="4" w:space="0" w:color="365F91"/>
              <w:bottom w:val="nil"/>
            </w:tcBorders>
            <w:shd w:val="clear" w:color="auto" w:fill="auto"/>
            <w:vAlign w:val="center"/>
            <w:hideMark/>
          </w:tcPr>
          <w:p w14:paraId="204FFA9D" w14:textId="77777777" w:rsidR="00C34275" w:rsidRPr="00696588" w:rsidRDefault="00C34275" w:rsidP="000557AA">
            <w:pPr>
              <w:ind w:right="397"/>
              <w:jc w:val="right"/>
              <w:rPr>
                <w:rFonts w:ascii="Verdana" w:eastAsia="Times New Roman" w:hAnsi="Verdana" w:cs="Calibri"/>
                <w:color w:val="376092"/>
                <w:sz w:val="20"/>
                <w:szCs w:val="20"/>
                <w:lang w:val="en-CY" w:eastAsia="en-CY" w:bidi="he-IL"/>
              </w:rPr>
            </w:pPr>
            <w:r w:rsidRPr="00696588">
              <w:rPr>
                <w:rFonts w:ascii="Verdana" w:eastAsia="Times New Roman" w:hAnsi="Verdana" w:cs="Calibri"/>
                <w:color w:val="376092"/>
                <w:sz w:val="20"/>
                <w:szCs w:val="20"/>
                <w:lang w:val="en-CY" w:eastAsia="en-CY" w:bidi="he-IL"/>
              </w:rPr>
              <w:t>7,9</w:t>
            </w:r>
          </w:p>
        </w:tc>
        <w:tc>
          <w:tcPr>
            <w:tcW w:w="1470" w:type="dxa"/>
            <w:tcBorders>
              <w:top w:val="single" w:sz="4" w:space="0" w:color="365F91"/>
              <w:bottom w:val="nil"/>
            </w:tcBorders>
            <w:shd w:val="clear" w:color="auto" w:fill="auto"/>
            <w:vAlign w:val="center"/>
            <w:hideMark/>
          </w:tcPr>
          <w:p w14:paraId="374E1534" w14:textId="77777777" w:rsidR="00C34275" w:rsidRPr="00696588" w:rsidRDefault="00C34275" w:rsidP="000557AA">
            <w:pPr>
              <w:ind w:right="397"/>
              <w:jc w:val="right"/>
              <w:rPr>
                <w:rFonts w:ascii="Verdana" w:eastAsia="Times New Roman" w:hAnsi="Verdana" w:cs="Calibri"/>
                <w:color w:val="376092"/>
                <w:sz w:val="20"/>
                <w:szCs w:val="20"/>
                <w:lang w:val="en-CY" w:eastAsia="en-CY" w:bidi="he-IL"/>
              </w:rPr>
            </w:pPr>
            <w:r w:rsidRPr="00696588">
              <w:rPr>
                <w:rFonts w:ascii="Verdana" w:eastAsia="Times New Roman" w:hAnsi="Verdana" w:cs="Calibri"/>
                <w:color w:val="376092"/>
                <w:sz w:val="20"/>
                <w:szCs w:val="20"/>
                <w:lang w:val="en-CY" w:eastAsia="en-CY" w:bidi="he-IL"/>
              </w:rPr>
              <w:t>14,0</w:t>
            </w:r>
          </w:p>
        </w:tc>
      </w:tr>
      <w:tr w:rsidR="00C34275" w:rsidRPr="00696588" w14:paraId="6804DB74" w14:textId="77777777" w:rsidTr="00957297">
        <w:trPr>
          <w:trHeight w:val="799"/>
          <w:jc w:val="center"/>
        </w:trPr>
        <w:tc>
          <w:tcPr>
            <w:tcW w:w="1137" w:type="dxa"/>
            <w:tcBorders>
              <w:top w:val="nil"/>
              <w:bottom w:val="nil"/>
            </w:tcBorders>
            <w:shd w:val="clear" w:color="auto" w:fill="auto"/>
            <w:vAlign w:val="center"/>
            <w:hideMark/>
          </w:tcPr>
          <w:p w14:paraId="570729AE" w14:textId="77777777" w:rsidR="00C34275" w:rsidRPr="00696588" w:rsidRDefault="00C34275" w:rsidP="00696588">
            <w:pPr>
              <w:jc w:val="center"/>
              <w:rPr>
                <w:rFonts w:ascii="Verdana" w:eastAsia="Times New Roman" w:hAnsi="Verdana" w:cs="Calibri"/>
                <w:color w:val="376092"/>
                <w:sz w:val="20"/>
                <w:szCs w:val="20"/>
                <w:lang w:val="en-CY" w:eastAsia="en-CY" w:bidi="he-IL"/>
              </w:rPr>
            </w:pPr>
            <w:r w:rsidRPr="00696588">
              <w:rPr>
                <w:rFonts w:ascii="Verdana" w:eastAsia="Times New Roman" w:hAnsi="Verdana" w:cs="Calibri"/>
                <w:color w:val="376092"/>
                <w:sz w:val="20"/>
                <w:szCs w:val="20"/>
                <w:lang w:val="en-CY" w:eastAsia="en-CY" w:bidi="he-IL"/>
              </w:rPr>
              <w:t>50</w:t>
            </w:r>
          </w:p>
        </w:tc>
        <w:tc>
          <w:tcPr>
            <w:tcW w:w="3546" w:type="dxa"/>
            <w:tcBorders>
              <w:top w:val="nil"/>
              <w:bottom w:val="nil"/>
            </w:tcBorders>
            <w:shd w:val="clear" w:color="auto" w:fill="auto"/>
            <w:vAlign w:val="center"/>
            <w:hideMark/>
          </w:tcPr>
          <w:p w14:paraId="48D6D173" w14:textId="30BD7719" w:rsidR="00C34275" w:rsidRPr="00957297" w:rsidRDefault="00C34275" w:rsidP="00696588">
            <w:pPr>
              <w:rPr>
                <w:rFonts w:ascii="Verdana" w:eastAsia="Times New Roman" w:hAnsi="Verdana" w:cs="Calibri"/>
                <w:color w:val="376092"/>
                <w:sz w:val="20"/>
                <w:szCs w:val="20"/>
                <w:lang w:val="el-GR" w:eastAsia="en-CY" w:bidi="he-IL"/>
              </w:rPr>
            </w:pPr>
            <w:r w:rsidRPr="00696588">
              <w:rPr>
                <w:rFonts w:ascii="Verdana" w:eastAsia="Times New Roman" w:hAnsi="Verdana" w:cs="Calibri"/>
                <w:color w:val="376092"/>
                <w:sz w:val="20"/>
                <w:szCs w:val="20"/>
                <w:lang w:val="en-CY" w:eastAsia="en-CY" w:bidi="he-IL"/>
              </w:rPr>
              <w:t>Πλωτές μεταφορές</w:t>
            </w:r>
            <w:r w:rsidR="00957297">
              <w:rPr>
                <w:rFonts w:ascii="Verdana" w:eastAsia="Times New Roman" w:hAnsi="Verdana" w:cs="Calibri"/>
                <w:color w:val="376092"/>
                <w:sz w:val="20"/>
                <w:szCs w:val="20"/>
                <w:lang w:val="el-GR" w:eastAsia="en-CY" w:bidi="he-IL"/>
              </w:rPr>
              <w:t xml:space="preserve"> </w:t>
            </w:r>
          </w:p>
        </w:tc>
        <w:tc>
          <w:tcPr>
            <w:tcW w:w="1301" w:type="dxa"/>
            <w:tcBorders>
              <w:top w:val="nil"/>
              <w:bottom w:val="nil"/>
            </w:tcBorders>
            <w:shd w:val="clear" w:color="auto" w:fill="auto"/>
            <w:vAlign w:val="center"/>
            <w:hideMark/>
          </w:tcPr>
          <w:p w14:paraId="742E0F6D" w14:textId="77777777" w:rsidR="00C34275" w:rsidRPr="00696588" w:rsidRDefault="00C34275" w:rsidP="00D25C91">
            <w:pPr>
              <w:ind w:right="113"/>
              <w:jc w:val="right"/>
              <w:rPr>
                <w:rFonts w:ascii="Verdana" w:eastAsia="Times New Roman" w:hAnsi="Verdana" w:cs="Calibri"/>
                <w:color w:val="376092"/>
                <w:sz w:val="20"/>
                <w:szCs w:val="20"/>
                <w:lang w:val="en-CY" w:eastAsia="en-CY" w:bidi="he-IL"/>
              </w:rPr>
            </w:pPr>
            <w:r w:rsidRPr="00696588">
              <w:rPr>
                <w:rFonts w:ascii="Verdana" w:eastAsia="Times New Roman" w:hAnsi="Verdana" w:cs="Calibri"/>
                <w:color w:val="376092"/>
                <w:sz w:val="20"/>
                <w:szCs w:val="20"/>
                <w:lang w:val="en-CY" w:eastAsia="en-CY" w:bidi="he-IL"/>
              </w:rPr>
              <w:t>86,5</w:t>
            </w:r>
          </w:p>
        </w:tc>
        <w:tc>
          <w:tcPr>
            <w:tcW w:w="1301" w:type="dxa"/>
            <w:tcBorders>
              <w:top w:val="nil"/>
              <w:bottom w:val="nil"/>
            </w:tcBorders>
            <w:shd w:val="clear" w:color="auto" w:fill="auto"/>
            <w:vAlign w:val="center"/>
            <w:hideMark/>
          </w:tcPr>
          <w:p w14:paraId="2612C2F5" w14:textId="77777777" w:rsidR="00C34275" w:rsidRPr="00696588" w:rsidRDefault="00C34275" w:rsidP="00D25C91">
            <w:pPr>
              <w:ind w:right="113"/>
              <w:jc w:val="right"/>
              <w:rPr>
                <w:rFonts w:ascii="Verdana" w:eastAsia="Times New Roman" w:hAnsi="Verdana" w:cs="Calibri"/>
                <w:color w:val="376092"/>
                <w:sz w:val="20"/>
                <w:szCs w:val="20"/>
                <w:lang w:val="en-CY" w:eastAsia="en-CY" w:bidi="he-IL"/>
              </w:rPr>
            </w:pPr>
            <w:r w:rsidRPr="00696588">
              <w:rPr>
                <w:rFonts w:ascii="Verdana" w:eastAsia="Times New Roman" w:hAnsi="Verdana" w:cs="Calibri"/>
                <w:color w:val="376092"/>
                <w:sz w:val="20"/>
                <w:szCs w:val="20"/>
                <w:lang w:val="en-CY" w:eastAsia="en-CY" w:bidi="he-IL"/>
              </w:rPr>
              <w:t>89,3</w:t>
            </w:r>
          </w:p>
        </w:tc>
        <w:tc>
          <w:tcPr>
            <w:tcW w:w="341" w:type="dxa"/>
            <w:tcBorders>
              <w:top w:val="nil"/>
              <w:bottom w:val="nil"/>
            </w:tcBorders>
            <w:shd w:val="clear" w:color="auto" w:fill="auto"/>
            <w:vAlign w:val="center"/>
            <w:hideMark/>
          </w:tcPr>
          <w:p w14:paraId="38CDFC4F" w14:textId="77777777" w:rsidR="00C34275" w:rsidRPr="00696588" w:rsidRDefault="00C34275" w:rsidP="00D25C91">
            <w:pPr>
              <w:ind w:right="113"/>
              <w:jc w:val="right"/>
              <w:rPr>
                <w:rFonts w:ascii="Verdana" w:eastAsia="Times New Roman" w:hAnsi="Verdana" w:cs="Calibri"/>
                <w:color w:val="376092"/>
                <w:sz w:val="20"/>
                <w:szCs w:val="20"/>
                <w:lang w:val="en-CY" w:eastAsia="en-CY" w:bidi="he-IL"/>
              </w:rPr>
            </w:pPr>
          </w:p>
        </w:tc>
        <w:tc>
          <w:tcPr>
            <w:tcW w:w="1470" w:type="dxa"/>
            <w:tcBorders>
              <w:top w:val="nil"/>
              <w:bottom w:val="nil"/>
            </w:tcBorders>
            <w:shd w:val="clear" w:color="auto" w:fill="auto"/>
            <w:vAlign w:val="center"/>
            <w:hideMark/>
          </w:tcPr>
          <w:p w14:paraId="51552B3B" w14:textId="77777777" w:rsidR="00C34275" w:rsidRPr="00696588" w:rsidRDefault="00C34275" w:rsidP="000557AA">
            <w:pPr>
              <w:ind w:right="397"/>
              <w:jc w:val="right"/>
              <w:rPr>
                <w:rFonts w:ascii="Verdana" w:eastAsia="Times New Roman" w:hAnsi="Verdana" w:cs="Calibri"/>
                <w:color w:val="376092"/>
                <w:sz w:val="20"/>
                <w:szCs w:val="20"/>
                <w:lang w:val="en-CY" w:eastAsia="en-CY" w:bidi="he-IL"/>
              </w:rPr>
            </w:pPr>
            <w:r w:rsidRPr="00696588">
              <w:rPr>
                <w:rFonts w:ascii="Verdana" w:eastAsia="Times New Roman" w:hAnsi="Verdana" w:cs="Calibri"/>
                <w:color w:val="376092"/>
                <w:sz w:val="20"/>
                <w:szCs w:val="20"/>
                <w:lang w:val="en-CY" w:eastAsia="en-CY" w:bidi="he-IL"/>
              </w:rPr>
              <w:t>3,2</w:t>
            </w:r>
          </w:p>
        </w:tc>
        <w:tc>
          <w:tcPr>
            <w:tcW w:w="1470" w:type="dxa"/>
            <w:tcBorders>
              <w:top w:val="nil"/>
              <w:bottom w:val="nil"/>
            </w:tcBorders>
            <w:shd w:val="clear" w:color="auto" w:fill="auto"/>
            <w:vAlign w:val="center"/>
            <w:hideMark/>
          </w:tcPr>
          <w:p w14:paraId="4B6849AE" w14:textId="77777777" w:rsidR="00C34275" w:rsidRPr="00696588" w:rsidRDefault="00C34275" w:rsidP="000557AA">
            <w:pPr>
              <w:ind w:right="397"/>
              <w:jc w:val="right"/>
              <w:rPr>
                <w:rFonts w:ascii="Verdana" w:eastAsia="Times New Roman" w:hAnsi="Verdana" w:cs="Calibri"/>
                <w:color w:val="376092"/>
                <w:sz w:val="20"/>
                <w:szCs w:val="20"/>
                <w:lang w:val="en-CY" w:eastAsia="en-CY" w:bidi="he-IL"/>
              </w:rPr>
            </w:pPr>
            <w:r w:rsidRPr="00696588">
              <w:rPr>
                <w:rFonts w:ascii="Verdana" w:eastAsia="Times New Roman" w:hAnsi="Verdana" w:cs="Calibri"/>
                <w:color w:val="376092"/>
                <w:sz w:val="20"/>
                <w:szCs w:val="20"/>
                <w:lang w:val="en-CY" w:eastAsia="en-CY" w:bidi="he-IL"/>
              </w:rPr>
              <w:t>9,7</w:t>
            </w:r>
          </w:p>
        </w:tc>
      </w:tr>
      <w:tr w:rsidR="00C34275" w:rsidRPr="00696588" w14:paraId="02AA818E" w14:textId="77777777" w:rsidTr="00957297">
        <w:trPr>
          <w:trHeight w:val="1077"/>
          <w:jc w:val="center"/>
        </w:trPr>
        <w:tc>
          <w:tcPr>
            <w:tcW w:w="1137" w:type="dxa"/>
            <w:tcBorders>
              <w:top w:val="nil"/>
              <w:bottom w:val="nil"/>
            </w:tcBorders>
            <w:shd w:val="clear" w:color="auto" w:fill="auto"/>
            <w:vAlign w:val="center"/>
            <w:hideMark/>
          </w:tcPr>
          <w:p w14:paraId="1D63EB34" w14:textId="7161FC3D" w:rsidR="00C34275" w:rsidRPr="00957297" w:rsidRDefault="00C34275" w:rsidP="00696588">
            <w:pPr>
              <w:jc w:val="center"/>
              <w:rPr>
                <w:rFonts w:ascii="Verdana" w:eastAsia="Times New Roman" w:hAnsi="Verdana" w:cs="Calibri"/>
                <w:color w:val="376092"/>
                <w:sz w:val="20"/>
                <w:szCs w:val="20"/>
                <w:lang w:val="el-GR" w:eastAsia="en-CY" w:bidi="he-IL"/>
              </w:rPr>
            </w:pPr>
            <w:r w:rsidRPr="00696588">
              <w:rPr>
                <w:rFonts w:ascii="Verdana" w:eastAsia="Times New Roman" w:hAnsi="Verdana" w:cs="Calibri"/>
                <w:color w:val="376092"/>
                <w:sz w:val="20"/>
                <w:szCs w:val="20"/>
                <w:lang w:val="en-CY" w:eastAsia="en-CY" w:bidi="he-IL"/>
              </w:rPr>
              <w:t>51</w:t>
            </w:r>
            <w:r w:rsidR="00957297">
              <w:rPr>
                <w:rFonts w:ascii="Verdana" w:eastAsia="Times New Roman" w:hAnsi="Verdana" w:cs="Calibri"/>
                <w:color w:val="376092"/>
                <w:sz w:val="20"/>
                <w:szCs w:val="20"/>
                <w:lang w:val="el-GR" w:eastAsia="en-CY" w:bidi="he-IL"/>
              </w:rPr>
              <w:t>+52</w:t>
            </w:r>
          </w:p>
        </w:tc>
        <w:tc>
          <w:tcPr>
            <w:tcW w:w="3546" w:type="dxa"/>
            <w:tcBorders>
              <w:top w:val="nil"/>
              <w:bottom w:val="nil"/>
            </w:tcBorders>
            <w:shd w:val="clear" w:color="auto" w:fill="auto"/>
            <w:vAlign w:val="center"/>
            <w:hideMark/>
          </w:tcPr>
          <w:p w14:paraId="1D42D93F" w14:textId="775C5168" w:rsidR="00C34275" w:rsidRPr="00957297" w:rsidRDefault="00C34275" w:rsidP="00696588">
            <w:pPr>
              <w:rPr>
                <w:rFonts w:ascii="Verdana" w:eastAsia="Times New Roman" w:hAnsi="Verdana" w:cs="Calibri"/>
                <w:color w:val="376092"/>
                <w:sz w:val="20"/>
                <w:szCs w:val="20"/>
                <w:lang w:val="el-GR" w:eastAsia="en-CY" w:bidi="he-IL"/>
              </w:rPr>
            </w:pPr>
            <w:r w:rsidRPr="00696588">
              <w:rPr>
                <w:rFonts w:ascii="Verdana" w:eastAsia="Times New Roman" w:hAnsi="Verdana" w:cs="Calibri"/>
                <w:color w:val="376092"/>
                <w:sz w:val="20"/>
                <w:szCs w:val="20"/>
                <w:lang w:val="en-CY" w:eastAsia="en-CY" w:bidi="he-IL"/>
              </w:rPr>
              <w:t>Αεροπορικές μεταφορές</w:t>
            </w:r>
            <w:r w:rsidR="00957297">
              <w:rPr>
                <w:rFonts w:ascii="Verdana" w:eastAsia="Times New Roman" w:hAnsi="Verdana" w:cs="Calibri"/>
                <w:color w:val="376092"/>
                <w:sz w:val="20"/>
                <w:szCs w:val="20"/>
                <w:lang w:val="el-GR" w:eastAsia="en-CY" w:bidi="he-IL"/>
              </w:rPr>
              <w:t xml:space="preserve"> και </w:t>
            </w:r>
            <w:r w:rsidR="00957297" w:rsidRPr="00957297">
              <w:rPr>
                <w:rFonts w:ascii="Verdana" w:eastAsia="Times New Roman" w:hAnsi="Verdana" w:cs="Calibri"/>
                <w:color w:val="376092"/>
                <w:sz w:val="20"/>
                <w:szCs w:val="20"/>
                <w:lang w:val="el-GR" w:eastAsia="en-CY" w:bidi="he-IL"/>
              </w:rPr>
              <w:t>Αποθήκευση και υποστηρικτικές δραστηριότητες</w:t>
            </w:r>
          </w:p>
        </w:tc>
        <w:tc>
          <w:tcPr>
            <w:tcW w:w="1301" w:type="dxa"/>
            <w:tcBorders>
              <w:top w:val="nil"/>
              <w:bottom w:val="nil"/>
            </w:tcBorders>
            <w:shd w:val="clear" w:color="auto" w:fill="auto"/>
            <w:vAlign w:val="center"/>
            <w:hideMark/>
          </w:tcPr>
          <w:p w14:paraId="289517EF" w14:textId="55078487" w:rsidR="00C34275" w:rsidRPr="002138E1" w:rsidRDefault="002138E1" w:rsidP="00D25C91">
            <w:pPr>
              <w:ind w:right="113"/>
              <w:jc w:val="right"/>
              <w:rPr>
                <w:rFonts w:ascii="Verdana" w:eastAsia="Times New Roman" w:hAnsi="Verdana" w:cs="Calibri"/>
                <w:color w:val="376092"/>
                <w:sz w:val="20"/>
                <w:szCs w:val="20"/>
                <w:lang w:eastAsia="en-CY" w:bidi="he-IL"/>
              </w:rPr>
            </w:pPr>
            <w:r>
              <w:rPr>
                <w:rFonts w:ascii="Verdana" w:eastAsia="Times New Roman" w:hAnsi="Verdana" w:cs="Calibri"/>
                <w:color w:val="376092"/>
                <w:sz w:val="20"/>
                <w:szCs w:val="20"/>
                <w:lang w:eastAsia="en-CY" w:bidi="he-IL"/>
              </w:rPr>
              <w:t>122,4</w:t>
            </w:r>
          </w:p>
        </w:tc>
        <w:tc>
          <w:tcPr>
            <w:tcW w:w="1301" w:type="dxa"/>
            <w:tcBorders>
              <w:top w:val="nil"/>
              <w:bottom w:val="nil"/>
            </w:tcBorders>
            <w:shd w:val="clear" w:color="auto" w:fill="auto"/>
            <w:vAlign w:val="center"/>
            <w:hideMark/>
          </w:tcPr>
          <w:p w14:paraId="7AC401B0" w14:textId="0F60F6FA" w:rsidR="00C34275" w:rsidRPr="00696588" w:rsidRDefault="002138E1" w:rsidP="00D25C91">
            <w:pPr>
              <w:ind w:right="113"/>
              <w:jc w:val="right"/>
              <w:rPr>
                <w:rFonts w:ascii="Verdana" w:eastAsia="Times New Roman" w:hAnsi="Verdana" w:cs="Calibri"/>
                <w:color w:val="376092"/>
                <w:sz w:val="20"/>
                <w:szCs w:val="20"/>
                <w:lang w:val="en-CY" w:eastAsia="en-CY" w:bidi="he-IL"/>
              </w:rPr>
            </w:pPr>
            <w:r>
              <w:rPr>
                <w:rFonts w:ascii="Verdana" w:eastAsia="Times New Roman" w:hAnsi="Verdana" w:cs="Calibri"/>
                <w:color w:val="376092"/>
                <w:sz w:val="20"/>
                <w:szCs w:val="20"/>
                <w:lang w:eastAsia="en-CY" w:bidi="he-IL"/>
              </w:rPr>
              <w:t>143,1</w:t>
            </w:r>
          </w:p>
        </w:tc>
        <w:tc>
          <w:tcPr>
            <w:tcW w:w="341" w:type="dxa"/>
            <w:tcBorders>
              <w:top w:val="nil"/>
              <w:bottom w:val="nil"/>
            </w:tcBorders>
            <w:shd w:val="clear" w:color="auto" w:fill="auto"/>
            <w:vAlign w:val="center"/>
            <w:hideMark/>
          </w:tcPr>
          <w:p w14:paraId="4C81C349" w14:textId="77777777" w:rsidR="00C34275" w:rsidRPr="00696588" w:rsidRDefault="00C34275" w:rsidP="00D25C91">
            <w:pPr>
              <w:ind w:right="113"/>
              <w:jc w:val="right"/>
              <w:rPr>
                <w:rFonts w:ascii="Verdana" w:eastAsia="Times New Roman" w:hAnsi="Verdana" w:cs="Calibri"/>
                <w:color w:val="376092"/>
                <w:sz w:val="20"/>
                <w:szCs w:val="20"/>
                <w:lang w:val="en-CY" w:eastAsia="en-CY" w:bidi="he-IL"/>
              </w:rPr>
            </w:pPr>
          </w:p>
        </w:tc>
        <w:tc>
          <w:tcPr>
            <w:tcW w:w="1470" w:type="dxa"/>
            <w:tcBorders>
              <w:top w:val="nil"/>
              <w:bottom w:val="nil"/>
            </w:tcBorders>
            <w:shd w:val="clear" w:color="auto" w:fill="auto"/>
            <w:vAlign w:val="center"/>
            <w:hideMark/>
          </w:tcPr>
          <w:p w14:paraId="292D9539" w14:textId="7D32884F" w:rsidR="00C34275" w:rsidRPr="002138E1" w:rsidRDefault="002138E1" w:rsidP="000557AA">
            <w:pPr>
              <w:ind w:right="397"/>
              <w:jc w:val="right"/>
              <w:rPr>
                <w:rFonts w:ascii="Verdana" w:eastAsia="Times New Roman" w:hAnsi="Verdana" w:cs="Calibri"/>
                <w:color w:val="376092"/>
                <w:sz w:val="20"/>
                <w:szCs w:val="20"/>
                <w:lang w:eastAsia="en-CY" w:bidi="he-IL"/>
              </w:rPr>
            </w:pPr>
            <w:r>
              <w:rPr>
                <w:rFonts w:ascii="Verdana" w:eastAsia="Times New Roman" w:hAnsi="Verdana" w:cs="Calibri"/>
                <w:color w:val="376092"/>
                <w:sz w:val="20"/>
                <w:szCs w:val="20"/>
                <w:lang w:eastAsia="en-CY" w:bidi="he-IL"/>
              </w:rPr>
              <w:t>1</w:t>
            </w:r>
            <w:r w:rsidR="00C34275" w:rsidRPr="00696588">
              <w:rPr>
                <w:rFonts w:ascii="Verdana" w:eastAsia="Times New Roman" w:hAnsi="Verdana" w:cs="Calibri"/>
                <w:color w:val="376092"/>
                <w:sz w:val="20"/>
                <w:szCs w:val="20"/>
                <w:lang w:val="en-CY" w:eastAsia="en-CY" w:bidi="he-IL"/>
              </w:rPr>
              <w:t>6,</w:t>
            </w:r>
            <w:r>
              <w:rPr>
                <w:rFonts w:ascii="Verdana" w:eastAsia="Times New Roman" w:hAnsi="Verdana" w:cs="Calibri"/>
                <w:color w:val="376092"/>
                <w:sz w:val="20"/>
                <w:szCs w:val="20"/>
                <w:lang w:eastAsia="en-CY" w:bidi="he-IL"/>
              </w:rPr>
              <w:t>9</w:t>
            </w:r>
          </w:p>
        </w:tc>
        <w:tc>
          <w:tcPr>
            <w:tcW w:w="1470" w:type="dxa"/>
            <w:tcBorders>
              <w:top w:val="nil"/>
              <w:bottom w:val="nil"/>
            </w:tcBorders>
            <w:shd w:val="clear" w:color="auto" w:fill="auto"/>
            <w:vAlign w:val="center"/>
            <w:hideMark/>
          </w:tcPr>
          <w:p w14:paraId="54C26D0B" w14:textId="762C369A" w:rsidR="00C34275" w:rsidRPr="002138E1" w:rsidRDefault="00C34275" w:rsidP="000557AA">
            <w:pPr>
              <w:ind w:right="397"/>
              <w:jc w:val="right"/>
              <w:rPr>
                <w:rFonts w:ascii="Verdana" w:eastAsia="Times New Roman" w:hAnsi="Verdana" w:cs="Calibri"/>
                <w:color w:val="376092"/>
                <w:sz w:val="20"/>
                <w:szCs w:val="20"/>
                <w:lang w:eastAsia="en-CY" w:bidi="he-IL"/>
              </w:rPr>
            </w:pPr>
            <w:r w:rsidRPr="00696588">
              <w:rPr>
                <w:rFonts w:ascii="Verdana" w:eastAsia="Times New Roman" w:hAnsi="Verdana" w:cs="Calibri"/>
                <w:color w:val="376092"/>
                <w:sz w:val="20"/>
                <w:szCs w:val="20"/>
                <w:lang w:val="en-CY" w:eastAsia="en-CY" w:bidi="he-IL"/>
              </w:rPr>
              <w:t>1</w:t>
            </w:r>
            <w:r w:rsidR="002138E1">
              <w:rPr>
                <w:rFonts w:ascii="Verdana" w:eastAsia="Times New Roman" w:hAnsi="Verdana" w:cs="Calibri"/>
                <w:color w:val="376092"/>
                <w:sz w:val="20"/>
                <w:szCs w:val="20"/>
                <w:lang w:eastAsia="en-CY" w:bidi="he-IL"/>
              </w:rPr>
              <w:t>9</w:t>
            </w:r>
            <w:r w:rsidRPr="00696588">
              <w:rPr>
                <w:rFonts w:ascii="Verdana" w:eastAsia="Times New Roman" w:hAnsi="Verdana" w:cs="Calibri"/>
                <w:color w:val="376092"/>
                <w:sz w:val="20"/>
                <w:szCs w:val="20"/>
                <w:lang w:val="en-CY" w:eastAsia="en-CY" w:bidi="he-IL"/>
              </w:rPr>
              <w:t>,</w:t>
            </w:r>
            <w:r w:rsidR="002138E1">
              <w:rPr>
                <w:rFonts w:ascii="Verdana" w:eastAsia="Times New Roman" w:hAnsi="Verdana" w:cs="Calibri"/>
                <w:color w:val="376092"/>
                <w:sz w:val="20"/>
                <w:szCs w:val="20"/>
                <w:lang w:eastAsia="en-CY" w:bidi="he-IL"/>
              </w:rPr>
              <w:t>9</w:t>
            </w:r>
          </w:p>
        </w:tc>
      </w:tr>
      <w:tr w:rsidR="00C34275" w:rsidRPr="00696588" w14:paraId="2A343568" w14:textId="77777777" w:rsidTr="00957297">
        <w:trPr>
          <w:trHeight w:val="799"/>
          <w:jc w:val="center"/>
        </w:trPr>
        <w:tc>
          <w:tcPr>
            <w:tcW w:w="1137" w:type="dxa"/>
            <w:tcBorders>
              <w:top w:val="nil"/>
              <w:bottom w:val="single" w:sz="4" w:space="0" w:color="365F91"/>
            </w:tcBorders>
            <w:shd w:val="clear" w:color="auto" w:fill="auto"/>
            <w:vAlign w:val="center"/>
            <w:hideMark/>
          </w:tcPr>
          <w:p w14:paraId="3890D321" w14:textId="77777777" w:rsidR="00C34275" w:rsidRPr="00696588" w:rsidRDefault="00C34275" w:rsidP="00696588">
            <w:pPr>
              <w:jc w:val="center"/>
              <w:rPr>
                <w:rFonts w:ascii="Verdana" w:eastAsia="Times New Roman" w:hAnsi="Verdana" w:cs="Calibri"/>
                <w:color w:val="376092"/>
                <w:sz w:val="20"/>
                <w:szCs w:val="20"/>
                <w:lang w:val="en-CY" w:eastAsia="en-CY" w:bidi="he-IL"/>
              </w:rPr>
            </w:pPr>
            <w:r w:rsidRPr="00696588">
              <w:rPr>
                <w:rFonts w:ascii="Verdana" w:eastAsia="Times New Roman" w:hAnsi="Verdana" w:cs="Calibri"/>
                <w:color w:val="376092"/>
                <w:sz w:val="20"/>
                <w:szCs w:val="20"/>
                <w:lang w:val="en-CY" w:eastAsia="en-CY" w:bidi="he-IL"/>
              </w:rPr>
              <w:t>53</w:t>
            </w:r>
          </w:p>
        </w:tc>
        <w:tc>
          <w:tcPr>
            <w:tcW w:w="3546" w:type="dxa"/>
            <w:tcBorders>
              <w:top w:val="nil"/>
              <w:bottom w:val="single" w:sz="4" w:space="0" w:color="365F91"/>
            </w:tcBorders>
            <w:shd w:val="clear" w:color="auto" w:fill="auto"/>
            <w:vAlign w:val="center"/>
            <w:hideMark/>
          </w:tcPr>
          <w:p w14:paraId="27005DC6" w14:textId="77777777" w:rsidR="00C34275" w:rsidRPr="00696588" w:rsidRDefault="00C34275" w:rsidP="00696588">
            <w:pPr>
              <w:rPr>
                <w:rFonts w:ascii="Verdana" w:eastAsia="Times New Roman" w:hAnsi="Verdana" w:cs="Calibri"/>
                <w:color w:val="376092"/>
                <w:sz w:val="20"/>
                <w:szCs w:val="20"/>
                <w:lang w:val="en-CY" w:eastAsia="en-CY" w:bidi="he-IL"/>
              </w:rPr>
            </w:pPr>
            <w:r w:rsidRPr="00696588">
              <w:rPr>
                <w:rFonts w:ascii="Verdana" w:eastAsia="Times New Roman" w:hAnsi="Verdana" w:cs="Calibri"/>
                <w:color w:val="376092"/>
                <w:sz w:val="20"/>
                <w:szCs w:val="20"/>
                <w:lang w:val="en-CY" w:eastAsia="en-CY" w:bidi="he-IL"/>
              </w:rPr>
              <w:t>Ταχυδρομικές και ταχυμεταφορικές δραστηριότητες</w:t>
            </w:r>
          </w:p>
        </w:tc>
        <w:tc>
          <w:tcPr>
            <w:tcW w:w="1301" w:type="dxa"/>
            <w:tcBorders>
              <w:top w:val="nil"/>
              <w:bottom w:val="single" w:sz="4" w:space="0" w:color="365F91"/>
            </w:tcBorders>
            <w:shd w:val="clear" w:color="auto" w:fill="auto"/>
            <w:vAlign w:val="center"/>
            <w:hideMark/>
          </w:tcPr>
          <w:p w14:paraId="541A4507" w14:textId="77777777" w:rsidR="00C34275" w:rsidRPr="00696588" w:rsidRDefault="00C34275" w:rsidP="00D25C91">
            <w:pPr>
              <w:ind w:right="113"/>
              <w:jc w:val="right"/>
              <w:rPr>
                <w:rFonts w:ascii="Verdana" w:eastAsia="Times New Roman" w:hAnsi="Verdana" w:cs="Calibri"/>
                <w:color w:val="376092"/>
                <w:sz w:val="20"/>
                <w:szCs w:val="20"/>
                <w:lang w:val="en-CY" w:eastAsia="en-CY" w:bidi="he-IL"/>
              </w:rPr>
            </w:pPr>
            <w:r w:rsidRPr="00696588">
              <w:rPr>
                <w:rFonts w:ascii="Verdana" w:eastAsia="Times New Roman" w:hAnsi="Verdana" w:cs="Calibri"/>
                <w:color w:val="376092"/>
                <w:sz w:val="20"/>
                <w:szCs w:val="20"/>
                <w:lang w:val="en-CY" w:eastAsia="en-CY" w:bidi="he-IL"/>
              </w:rPr>
              <w:t>120,6</w:t>
            </w:r>
          </w:p>
        </w:tc>
        <w:tc>
          <w:tcPr>
            <w:tcW w:w="1301" w:type="dxa"/>
            <w:tcBorders>
              <w:top w:val="nil"/>
              <w:bottom w:val="single" w:sz="4" w:space="0" w:color="365F91"/>
            </w:tcBorders>
            <w:shd w:val="clear" w:color="auto" w:fill="auto"/>
            <w:vAlign w:val="center"/>
            <w:hideMark/>
          </w:tcPr>
          <w:p w14:paraId="0ED6FE0E" w14:textId="77777777" w:rsidR="00C34275" w:rsidRPr="00696588" w:rsidRDefault="00C34275" w:rsidP="00D25C91">
            <w:pPr>
              <w:ind w:right="113"/>
              <w:jc w:val="right"/>
              <w:rPr>
                <w:rFonts w:ascii="Verdana" w:eastAsia="Times New Roman" w:hAnsi="Verdana" w:cs="Calibri"/>
                <w:color w:val="376092"/>
                <w:sz w:val="20"/>
                <w:szCs w:val="20"/>
                <w:lang w:val="en-CY" w:eastAsia="en-CY" w:bidi="he-IL"/>
              </w:rPr>
            </w:pPr>
            <w:r w:rsidRPr="00696588">
              <w:rPr>
                <w:rFonts w:ascii="Verdana" w:eastAsia="Times New Roman" w:hAnsi="Verdana" w:cs="Calibri"/>
                <w:color w:val="376092"/>
                <w:sz w:val="20"/>
                <w:szCs w:val="20"/>
                <w:lang w:val="en-CY" w:eastAsia="en-CY" w:bidi="he-IL"/>
              </w:rPr>
              <w:t>135,7</w:t>
            </w:r>
          </w:p>
        </w:tc>
        <w:tc>
          <w:tcPr>
            <w:tcW w:w="341" w:type="dxa"/>
            <w:tcBorders>
              <w:top w:val="nil"/>
              <w:bottom w:val="single" w:sz="4" w:space="0" w:color="365F91"/>
            </w:tcBorders>
            <w:shd w:val="clear" w:color="auto" w:fill="auto"/>
            <w:vAlign w:val="center"/>
            <w:hideMark/>
          </w:tcPr>
          <w:p w14:paraId="68DD10C3" w14:textId="77777777" w:rsidR="00C34275" w:rsidRPr="00696588" w:rsidRDefault="00C34275" w:rsidP="00D25C91">
            <w:pPr>
              <w:ind w:right="113"/>
              <w:jc w:val="right"/>
              <w:rPr>
                <w:rFonts w:ascii="Verdana" w:eastAsia="Times New Roman" w:hAnsi="Verdana" w:cs="Calibri"/>
                <w:color w:val="376092"/>
                <w:sz w:val="20"/>
                <w:szCs w:val="20"/>
                <w:lang w:val="en-CY" w:eastAsia="en-CY" w:bidi="he-IL"/>
              </w:rPr>
            </w:pPr>
            <w:r w:rsidRPr="00696588">
              <w:rPr>
                <w:rFonts w:ascii="Verdana" w:eastAsia="Times New Roman" w:hAnsi="Verdana" w:cs="Calibri"/>
                <w:color w:val="376092"/>
                <w:sz w:val="20"/>
                <w:szCs w:val="20"/>
                <w:lang w:val="en-CY" w:eastAsia="en-CY" w:bidi="he-IL"/>
              </w:rPr>
              <w:t> </w:t>
            </w:r>
          </w:p>
        </w:tc>
        <w:tc>
          <w:tcPr>
            <w:tcW w:w="1470" w:type="dxa"/>
            <w:tcBorders>
              <w:top w:val="nil"/>
              <w:bottom w:val="single" w:sz="4" w:space="0" w:color="365F91"/>
            </w:tcBorders>
            <w:shd w:val="clear" w:color="auto" w:fill="auto"/>
            <w:vAlign w:val="center"/>
            <w:hideMark/>
          </w:tcPr>
          <w:p w14:paraId="03D8F318" w14:textId="77777777" w:rsidR="00C34275" w:rsidRPr="00696588" w:rsidRDefault="00C34275" w:rsidP="000557AA">
            <w:pPr>
              <w:ind w:right="397"/>
              <w:jc w:val="right"/>
              <w:rPr>
                <w:rFonts w:ascii="Verdana" w:eastAsia="Times New Roman" w:hAnsi="Verdana" w:cs="Calibri"/>
                <w:color w:val="376092"/>
                <w:sz w:val="20"/>
                <w:szCs w:val="20"/>
                <w:lang w:val="en-CY" w:eastAsia="en-CY" w:bidi="he-IL"/>
              </w:rPr>
            </w:pPr>
            <w:r w:rsidRPr="00696588">
              <w:rPr>
                <w:rFonts w:ascii="Verdana" w:eastAsia="Times New Roman" w:hAnsi="Verdana" w:cs="Calibri"/>
                <w:color w:val="376092"/>
                <w:sz w:val="20"/>
                <w:szCs w:val="20"/>
                <w:lang w:val="en-CY" w:eastAsia="en-CY" w:bidi="he-IL"/>
              </w:rPr>
              <w:t>12,5</w:t>
            </w:r>
          </w:p>
        </w:tc>
        <w:tc>
          <w:tcPr>
            <w:tcW w:w="1470" w:type="dxa"/>
            <w:tcBorders>
              <w:top w:val="nil"/>
              <w:bottom w:val="single" w:sz="4" w:space="0" w:color="365F91"/>
            </w:tcBorders>
            <w:shd w:val="clear" w:color="auto" w:fill="auto"/>
            <w:vAlign w:val="center"/>
            <w:hideMark/>
          </w:tcPr>
          <w:p w14:paraId="34F28290" w14:textId="77777777" w:rsidR="00C34275" w:rsidRPr="00696588" w:rsidRDefault="00C34275" w:rsidP="000557AA">
            <w:pPr>
              <w:ind w:right="397"/>
              <w:jc w:val="right"/>
              <w:rPr>
                <w:rFonts w:ascii="Verdana" w:eastAsia="Times New Roman" w:hAnsi="Verdana" w:cs="Calibri"/>
                <w:color w:val="376092"/>
                <w:sz w:val="20"/>
                <w:szCs w:val="20"/>
                <w:lang w:val="en-CY" w:eastAsia="en-CY" w:bidi="he-IL"/>
              </w:rPr>
            </w:pPr>
            <w:r w:rsidRPr="00696588">
              <w:rPr>
                <w:rFonts w:ascii="Verdana" w:eastAsia="Times New Roman" w:hAnsi="Verdana" w:cs="Calibri"/>
                <w:color w:val="376092"/>
                <w:sz w:val="20"/>
                <w:szCs w:val="20"/>
                <w:lang w:val="en-CY" w:eastAsia="en-CY" w:bidi="he-IL"/>
              </w:rPr>
              <w:t>12,3</w:t>
            </w:r>
          </w:p>
        </w:tc>
      </w:tr>
    </w:tbl>
    <w:p w14:paraId="33A32C44" w14:textId="5FC32286" w:rsidR="00F33E5D" w:rsidRPr="00536F27" w:rsidRDefault="00F33E5D" w:rsidP="00F33E5D">
      <w:pPr>
        <w:jc w:val="both"/>
        <w:rPr>
          <w:rFonts w:ascii="Verdana" w:eastAsia="Malgun Gothic" w:hAnsi="Verdana" w:cs="Arial"/>
          <w:sz w:val="18"/>
          <w:szCs w:val="18"/>
          <w:lang w:val="el-GR"/>
        </w:rPr>
      </w:pPr>
    </w:p>
    <w:p w14:paraId="15E6045F" w14:textId="77777777" w:rsidR="00F33E5D" w:rsidRPr="00536F27" w:rsidRDefault="00F33E5D" w:rsidP="00F33E5D">
      <w:pPr>
        <w:jc w:val="both"/>
        <w:rPr>
          <w:rFonts w:ascii="Verdana" w:eastAsia="Malgun Gothic" w:hAnsi="Verdana" w:cs="Arial"/>
          <w:sz w:val="18"/>
          <w:szCs w:val="18"/>
          <w:lang w:val="el-GR"/>
        </w:rPr>
      </w:pPr>
    </w:p>
    <w:p w14:paraId="344277EB" w14:textId="77777777" w:rsidR="00F33E5D" w:rsidRPr="00834B82" w:rsidRDefault="00F33E5D" w:rsidP="00F33E5D">
      <w:pPr>
        <w:jc w:val="both"/>
        <w:rPr>
          <w:rFonts w:ascii="Verdana" w:eastAsia="Malgun Gothic" w:hAnsi="Verdana" w:cs="Arial"/>
          <w:sz w:val="18"/>
          <w:szCs w:val="18"/>
          <w:lang w:val="el-GR"/>
        </w:rPr>
      </w:pPr>
    </w:p>
    <w:p w14:paraId="74FF502E" w14:textId="77777777" w:rsidR="00F33E5D" w:rsidRPr="00834B82" w:rsidRDefault="00F33E5D" w:rsidP="00F33E5D">
      <w:pPr>
        <w:jc w:val="both"/>
        <w:rPr>
          <w:rFonts w:ascii="Verdana" w:eastAsia="Malgun Gothic" w:hAnsi="Verdana" w:cs="Arial"/>
          <w:sz w:val="18"/>
          <w:szCs w:val="18"/>
          <w:lang w:val="el-GR"/>
        </w:rPr>
      </w:pPr>
    </w:p>
    <w:p w14:paraId="01B3DE70" w14:textId="77777777" w:rsidR="00F33E5D" w:rsidRPr="00834B82" w:rsidRDefault="00F33E5D" w:rsidP="00F33E5D">
      <w:pPr>
        <w:jc w:val="both"/>
        <w:rPr>
          <w:rFonts w:ascii="Verdana" w:eastAsia="Malgun Gothic" w:hAnsi="Verdana" w:cs="Arial"/>
          <w:sz w:val="18"/>
          <w:szCs w:val="18"/>
          <w:lang w:val="el-GR"/>
        </w:rPr>
      </w:pPr>
    </w:p>
    <w:p w14:paraId="6C692D8D" w14:textId="77777777" w:rsidR="00F33E5D" w:rsidRPr="00834B82" w:rsidRDefault="00F33E5D" w:rsidP="00F33E5D">
      <w:pPr>
        <w:jc w:val="both"/>
        <w:rPr>
          <w:rFonts w:ascii="Verdana" w:eastAsia="Malgun Gothic" w:hAnsi="Verdana" w:cs="Arial"/>
          <w:sz w:val="18"/>
          <w:szCs w:val="18"/>
          <w:lang w:val="el-GR"/>
        </w:rPr>
      </w:pPr>
    </w:p>
    <w:p w14:paraId="1A056347" w14:textId="77777777" w:rsidR="00F33E5D" w:rsidRPr="000059B2" w:rsidRDefault="00F33E5D" w:rsidP="00F33E5D">
      <w:pPr>
        <w:jc w:val="both"/>
        <w:rPr>
          <w:rFonts w:ascii="Verdana" w:eastAsia="Malgun Gothic" w:hAnsi="Verdana" w:cs="Arial"/>
          <w:sz w:val="18"/>
          <w:szCs w:val="18"/>
          <w:lang w:val="el-GR"/>
        </w:rPr>
      </w:pPr>
    </w:p>
    <w:p w14:paraId="5BBE584F" w14:textId="77777777" w:rsidR="00F33E5D" w:rsidRPr="000059B2" w:rsidRDefault="00F33E5D" w:rsidP="00F33E5D">
      <w:pPr>
        <w:jc w:val="both"/>
        <w:rPr>
          <w:rFonts w:ascii="Verdana" w:eastAsia="Malgun Gothic" w:hAnsi="Verdana" w:cs="Arial"/>
          <w:sz w:val="18"/>
          <w:szCs w:val="18"/>
          <w:lang w:val="el-GR"/>
        </w:rPr>
      </w:pPr>
    </w:p>
    <w:p w14:paraId="304EAD69" w14:textId="77777777" w:rsidR="00F33E5D" w:rsidRPr="000059B2" w:rsidRDefault="00F33E5D" w:rsidP="00F33E5D">
      <w:pPr>
        <w:jc w:val="both"/>
        <w:rPr>
          <w:rFonts w:ascii="Verdana" w:eastAsia="Malgun Gothic" w:hAnsi="Verdana" w:cs="Arial"/>
          <w:sz w:val="18"/>
          <w:szCs w:val="18"/>
          <w:lang w:val="el-GR"/>
        </w:rPr>
      </w:pPr>
    </w:p>
    <w:p w14:paraId="555F5F66" w14:textId="77777777" w:rsidR="00F33E5D" w:rsidRPr="000059B2" w:rsidRDefault="00F33E5D" w:rsidP="00F33E5D">
      <w:pPr>
        <w:jc w:val="both"/>
        <w:rPr>
          <w:rFonts w:ascii="Verdana" w:eastAsia="Malgun Gothic" w:hAnsi="Verdana" w:cs="Arial"/>
          <w:sz w:val="18"/>
          <w:szCs w:val="18"/>
          <w:lang w:val="el-GR"/>
        </w:rPr>
      </w:pPr>
    </w:p>
    <w:p w14:paraId="46DBA61E" w14:textId="77777777" w:rsidR="00F33E5D" w:rsidRPr="000059B2" w:rsidRDefault="00F33E5D" w:rsidP="00F33E5D">
      <w:pPr>
        <w:jc w:val="both"/>
        <w:rPr>
          <w:rFonts w:ascii="Verdana" w:eastAsia="Malgun Gothic" w:hAnsi="Verdana" w:cs="Arial"/>
          <w:sz w:val="18"/>
          <w:szCs w:val="18"/>
          <w:lang w:val="el-GR"/>
        </w:rPr>
      </w:pPr>
    </w:p>
    <w:p w14:paraId="7380B379" w14:textId="77777777" w:rsidR="00F33E5D" w:rsidRPr="000059B2" w:rsidRDefault="00F33E5D" w:rsidP="00F33E5D">
      <w:pPr>
        <w:jc w:val="both"/>
        <w:rPr>
          <w:rFonts w:ascii="Verdana" w:eastAsia="Malgun Gothic" w:hAnsi="Verdana" w:cs="Arial"/>
          <w:sz w:val="18"/>
          <w:szCs w:val="18"/>
          <w:lang w:val="el-GR"/>
        </w:rPr>
      </w:pPr>
    </w:p>
    <w:p w14:paraId="2B721C59" w14:textId="77777777" w:rsidR="00F33E5D" w:rsidRPr="000059B2" w:rsidRDefault="00F33E5D" w:rsidP="00F33E5D">
      <w:pPr>
        <w:jc w:val="both"/>
        <w:rPr>
          <w:rFonts w:ascii="Verdana" w:eastAsia="Malgun Gothic" w:hAnsi="Verdana" w:cs="Arial"/>
          <w:sz w:val="18"/>
          <w:szCs w:val="18"/>
          <w:lang w:val="el-GR"/>
        </w:rPr>
      </w:pPr>
    </w:p>
    <w:p w14:paraId="53B651AE" w14:textId="77777777" w:rsidR="00F33E5D" w:rsidRPr="000059B2" w:rsidRDefault="00F33E5D" w:rsidP="00F33E5D">
      <w:pPr>
        <w:jc w:val="both"/>
        <w:rPr>
          <w:rFonts w:ascii="Verdana" w:eastAsia="Malgun Gothic" w:hAnsi="Verdana" w:cs="Arial"/>
          <w:sz w:val="18"/>
          <w:szCs w:val="18"/>
          <w:lang w:val="el-GR"/>
        </w:rPr>
      </w:pPr>
    </w:p>
    <w:p w14:paraId="146867C4" w14:textId="77777777" w:rsidR="00F33E5D" w:rsidRPr="000059B2" w:rsidRDefault="00F33E5D" w:rsidP="00F33E5D">
      <w:pPr>
        <w:jc w:val="both"/>
        <w:rPr>
          <w:rFonts w:ascii="Verdana" w:eastAsia="Malgun Gothic" w:hAnsi="Verdana" w:cs="Arial"/>
          <w:sz w:val="18"/>
          <w:szCs w:val="18"/>
          <w:lang w:val="el-GR"/>
        </w:rPr>
      </w:pPr>
    </w:p>
    <w:p w14:paraId="04617EBB" w14:textId="77777777" w:rsidR="00F33E5D" w:rsidRPr="000059B2" w:rsidRDefault="00F33E5D" w:rsidP="00F33E5D">
      <w:pPr>
        <w:jc w:val="both"/>
        <w:rPr>
          <w:rFonts w:ascii="Verdana" w:eastAsia="Malgun Gothic" w:hAnsi="Verdana" w:cs="Arial"/>
          <w:sz w:val="18"/>
          <w:szCs w:val="18"/>
          <w:lang w:val="el-GR"/>
        </w:rPr>
      </w:pPr>
    </w:p>
    <w:p w14:paraId="2B478C13" w14:textId="77777777" w:rsidR="00F33E5D" w:rsidRPr="000059B2" w:rsidRDefault="00F33E5D" w:rsidP="00F33E5D">
      <w:pPr>
        <w:jc w:val="both"/>
        <w:rPr>
          <w:rFonts w:ascii="Verdana" w:eastAsia="Malgun Gothic" w:hAnsi="Verdana" w:cs="Arial"/>
          <w:sz w:val="18"/>
          <w:szCs w:val="18"/>
          <w:lang w:val="el-GR"/>
        </w:rPr>
      </w:pPr>
    </w:p>
    <w:p w14:paraId="72D57AF5" w14:textId="77777777" w:rsidR="00F33E5D" w:rsidRPr="000059B2" w:rsidRDefault="00F33E5D" w:rsidP="00F33E5D">
      <w:pPr>
        <w:jc w:val="both"/>
        <w:rPr>
          <w:rFonts w:ascii="Verdana" w:eastAsia="Malgun Gothic" w:hAnsi="Verdana" w:cs="Arial"/>
          <w:sz w:val="18"/>
          <w:szCs w:val="18"/>
          <w:lang w:val="el-GR"/>
        </w:rPr>
      </w:pPr>
    </w:p>
    <w:p w14:paraId="02DB02D7" w14:textId="77777777" w:rsidR="00F33E5D" w:rsidRPr="000059B2" w:rsidRDefault="00F33E5D" w:rsidP="00F33E5D">
      <w:pPr>
        <w:jc w:val="both"/>
        <w:rPr>
          <w:rFonts w:ascii="Verdana" w:eastAsia="Malgun Gothic" w:hAnsi="Verdana" w:cs="Arial"/>
          <w:sz w:val="18"/>
          <w:szCs w:val="18"/>
          <w:lang w:val="el-GR"/>
        </w:rPr>
      </w:pPr>
    </w:p>
    <w:p w14:paraId="2708B312" w14:textId="77777777" w:rsidR="00F33E5D" w:rsidRPr="000059B2" w:rsidRDefault="00F33E5D" w:rsidP="00F33E5D">
      <w:pPr>
        <w:jc w:val="both"/>
        <w:rPr>
          <w:rFonts w:ascii="Verdana" w:eastAsia="Malgun Gothic" w:hAnsi="Verdana" w:cs="Arial"/>
          <w:sz w:val="18"/>
          <w:szCs w:val="18"/>
          <w:lang w:val="el-GR"/>
        </w:rPr>
      </w:pPr>
    </w:p>
    <w:p w14:paraId="13CA7F87" w14:textId="77777777" w:rsidR="00F33E5D" w:rsidRPr="000059B2" w:rsidRDefault="00F33E5D" w:rsidP="00F33E5D">
      <w:pPr>
        <w:jc w:val="both"/>
        <w:rPr>
          <w:rFonts w:ascii="Verdana" w:eastAsia="Malgun Gothic" w:hAnsi="Verdana" w:cs="Arial"/>
          <w:sz w:val="18"/>
          <w:szCs w:val="18"/>
          <w:lang w:val="el-GR"/>
        </w:rPr>
      </w:pPr>
    </w:p>
    <w:p w14:paraId="5A8B1B2F" w14:textId="77777777" w:rsidR="00F33E5D" w:rsidRPr="00A03B4F" w:rsidRDefault="00F33E5D" w:rsidP="00F33E5D">
      <w:pPr>
        <w:jc w:val="both"/>
        <w:rPr>
          <w:rFonts w:ascii="Verdana" w:eastAsia="Malgun Gothic" w:hAnsi="Verdana" w:cs="Arial"/>
          <w:sz w:val="18"/>
          <w:szCs w:val="18"/>
          <w:lang w:val="el-GR"/>
        </w:rPr>
      </w:pPr>
    </w:p>
    <w:p w14:paraId="4216A5E1" w14:textId="3E94964D" w:rsidR="00F33E5D" w:rsidRDefault="00F33E5D" w:rsidP="00F33E5D">
      <w:pPr>
        <w:jc w:val="both"/>
        <w:rPr>
          <w:rFonts w:ascii="Verdana" w:eastAsia="Malgun Gothic" w:hAnsi="Verdana" w:cs="Arial"/>
          <w:sz w:val="18"/>
          <w:szCs w:val="18"/>
          <w:lang w:val="el-GR"/>
        </w:rPr>
      </w:pPr>
    </w:p>
    <w:p w14:paraId="6556E315" w14:textId="51529809" w:rsidR="002C4AEE" w:rsidRDefault="002C4AEE" w:rsidP="00F33E5D">
      <w:pPr>
        <w:jc w:val="both"/>
        <w:rPr>
          <w:rFonts w:ascii="Verdana" w:eastAsia="Malgun Gothic" w:hAnsi="Verdana" w:cs="Arial"/>
          <w:sz w:val="18"/>
          <w:szCs w:val="18"/>
          <w:lang w:val="el-GR"/>
        </w:rPr>
      </w:pPr>
    </w:p>
    <w:p w14:paraId="689F7153" w14:textId="47CB781C" w:rsidR="002C4AEE" w:rsidRDefault="002C4AEE" w:rsidP="00F33E5D">
      <w:pPr>
        <w:jc w:val="both"/>
        <w:rPr>
          <w:rFonts w:ascii="Verdana" w:eastAsia="Malgun Gothic" w:hAnsi="Verdana" w:cs="Arial"/>
          <w:sz w:val="18"/>
          <w:szCs w:val="18"/>
          <w:lang w:val="el-GR"/>
        </w:rPr>
      </w:pPr>
    </w:p>
    <w:p w14:paraId="3BF99AA3" w14:textId="77777777" w:rsidR="00C12D63" w:rsidRDefault="00C12D63" w:rsidP="00F33E5D">
      <w:pPr>
        <w:jc w:val="both"/>
        <w:rPr>
          <w:rFonts w:ascii="Verdana" w:eastAsia="Malgun Gothic" w:hAnsi="Verdana" w:cs="Arial"/>
          <w:sz w:val="18"/>
          <w:szCs w:val="18"/>
          <w:lang w:val="el-GR"/>
        </w:rPr>
      </w:pPr>
    </w:p>
    <w:p w14:paraId="433A267C" w14:textId="77777777" w:rsidR="00C12D63" w:rsidRDefault="00C12D63" w:rsidP="00F33E5D">
      <w:pPr>
        <w:jc w:val="both"/>
        <w:rPr>
          <w:rFonts w:ascii="Verdana" w:eastAsia="Malgun Gothic" w:hAnsi="Verdana" w:cs="Arial"/>
          <w:sz w:val="18"/>
          <w:szCs w:val="18"/>
          <w:lang w:val="el-GR"/>
        </w:rPr>
      </w:pPr>
    </w:p>
    <w:p w14:paraId="2E36BE13" w14:textId="77777777" w:rsidR="00C12D63" w:rsidRDefault="00C12D63" w:rsidP="00F33E5D">
      <w:pPr>
        <w:jc w:val="both"/>
        <w:rPr>
          <w:rFonts w:ascii="Verdana" w:eastAsia="Malgun Gothic" w:hAnsi="Verdana" w:cs="Arial"/>
          <w:sz w:val="18"/>
          <w:szCs w:val="18"/>
          <w:lang w:val="el-GR"/>
        </w:rPr>
      </w:pPr>
    </w:p>
    <w:p w14:paraId="63CBA6C8" w14:textId="77777777" w:rsidR="002C4AEE" w:rsidRDefault="002C4AEE" w:rsidP="00F33E5D">
      <w:pPr>
        <w:jc w:val="both"/>
        <w:rPr>
          <w:rFonts w:ascii="Verdana" w:eastAsia="Malgun Gothic" w:hAnsi="Verdana" w:cs="Arial"/>
          <w:sz w:val="18"/>
          <w:szCs w:val="18"/>
          <w:lang w:val="el-GR"/>
        </w:rPr>
      </w:pPr>
    </w:p>
    <w:p w14:paraId="0700DB50" w14:textId="46EA32CD" w:rsidR="00AB31A2" w:rsidRDefault="00AB31A2" w:rsidP="00F33E5D">
      <w:pPr>
        <w:jc w:val="both"/>
        <w:rPr>
          <w:rFonts w:ascii="Verdana" w:eastAsia="Malgun Gothic" w:hAnsi="Verdana" w:cs="Arial"/>
          <w:sz w:val="18"/>
          <w:szCs w:val="18"/>
          <w:lang w:val="el-GR"/>
        </w:rPr>
      </w:pPr>
    </w:p>
    <w:p w14:paraId="79E69010" w14:textId="77777777" w:rsidR="00F33E5D" w:rsidRDefault="00F33E5D" w:rsidP="00F33E5D">
      <w:pPr>
        <w:jc w:val="both"/>
        <w:rPr>
          <w:rFonts w:ascii="Verdana" w:eastAsia="Malgun Gothic" w:hAnsi="Verdana" w:cs="Arial"/>
          <w:sz w:val="18"/>
          <w:szCs w:val="18"/>
          <w:lang w:val="el-GR"/>
        </w:rPr>
      </w:pPr>
    </w:p>
    <w:p w14:paraId="29F61068" w14:textId="77777777" w:rsidR="008F5B47" w:rsidRDefault="008F5B47" w:rsidP="00F33E5D">
      <w:pPr>
        <w:jc w:val="both"/>
        <w:rPr>
          <w:rFonts w:ascii="Verdana" w:eastAsia="Malgun Gothic" w:hAnsi="Verdana" w:cs="Arial"/>
          <w:sz w:val="18"/>
          <w:szCs w:val="18"/>
          <w:lang w:val="el-GR"/>
        </w:rPr>
      </w:pPr>
    </w:p>
    <w:p w14:paraId="35831023" w14:textId="77777777" w:rsidR="008F5B47" w:rsidRDefault="008F5B47" w:rsidP="00F33E5D">
      <w:pPr>
        <w:jc w:val="both"/>
        <w:rPr>
          <w:rFonts w:ascii="Verdana" w:eastAsia="Malgun Gothic" w:hAnsi="Verdana" w:cs="Arial"/>
          <w:sz w:val="18"/>
          <w:szCs w:val="18"/>
          <w:lang w:val="el-GR"/>
        </w:rPr>
      </w:pPr>
    </w:p>
    <w:p w14:paraId="56CB8375" w14:textId="77777777" w:rsidR="008F5B47" w:rsidRDefault="008F5B47" w:rsidP="00F33E5D">
      <w:pPr>
        <w:jc w:val="both"/>
        <w:rPr>
          <w:rFonts w:ascii="Verdana" w:eastAsia="Malgun Gothic" w:hAnsi="Verdana" w:cs="Arial"/>
          <w:sz w:val="18"/>
          <w:szCs w:val="18"/>
          <w:lang w:val="el-GR"/>
        </w:rPr>
      </w:pPr>
    </w:p>
    <w:p w14:paraId="0780DBBA" w14:textId="77777777" w:rsidR="002138E1" w:rsidRDefault="002138E1" w:rsidP="00F33E5D">
      <w:pPr>
        <w:jc w:val="both"/>
        <w:rPr>
          <w:rFonts w:ascii="Verdana" w:eastAsia="Malgun Gothic" w:hAnsi="Verdana" w:cs="Arial"/>
          <w:sz w:val="18"/>
          <w:szCs w:val="18"/>
          <w:lang w:val="el-GR"/>
        </w:rPr>
      </w:pPr>
    </w:p>
    <w:p w14:paraId="69D21405" w14:textId="77777777" w:rsidR="002138E1" w:rsidRDefault="002138E1" w:rsidP="00F33E5D">
      <w:pPr>
        <w:jc w:val="both"/>
        <w:rPr>
          <w:rFonts w:ascii="Verdana" w:eastAsia="Malgun Gothic" w:hAnsi="Verdana" w:cs="Arial"/>
          <w:sz w:val="18"/>
          <w:szCs w:val="18"/>
          <w:lang w:val="el-GR"/>
        </w:rPr>
      </w:pPr>
    </w:p>
    <w:p w14:paraId="124DDBFE" w14:textId="77777777" w:rsidR="002138E1" w:rsidRDefault="002138E1" w:rsidP="00F33E5D">
      <w:pPr>
        <w:jc w:val="both"/>
        <w:rPr>
          <w:rFonts w:ascii="Verdana" w:eastAsia="Malgun Gothic" w:hAnsi="Verdana" w:cs="Arial"/>
          <w:sz w:val="18"/>
          <w:szCs w:val="18"/>
          <w:lang w:val="el-GR"/>
        </w:rPr>
      </w:pPr>
    </w:p>
    <w:p w14:paraId="1D8052EC" w14:textId="77777777" w:rsidR="005B2B73" w:rsidRPr="000059B2" w:rsidRDefault="005B2B73" w:rsidP="00F33E5D">
      <w:pPr>
        <w:jc w:val="both"/>
        <w:rPr>
          <w:rFonts w:ascii="Verdana" w:eastAsia="Malgun Gothic" w:hAnsi="Verdana" w:cs="Arial"/>
          <w:sz w:val="18"/>
          <w:szCs w:val="18"/>
          <w:lang w:val="el-GR"/>
        </w:rPr>
      </w:pPr>
    </w:p>
    <w:p w14:paraId="7F1ED76B" w14:textId="77777777" w:rsidR="00F33E5D" w:rsidRDefault="00F33E5D" w:rsidP="00F33E5D">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5D3B165C" w14:textId="77777777" w:rsidR="00F33E5D" w:rsidRPr="00780A62" w:rsidRDefault="00F33E5D" w:rsidP="00F33E5D">
      <w:pPr>
        <w:jc w:val="both"/>
        <w:rPr>
          <w:rFonts w:ascii="Verdana" w:eastAsia="Malgun Gothic" w:hAnsi="Verdana" w:cs="Arial"/>
          <w:b/>
          <w:sz w:val="20"/>
          <w:szCs w:val="20"/>
          <w:u w:val="single"/>
          <w:lang w:val="el-GR"/>
        </w:rPr>
      </w:pPr>
    </w:p>
    <w:p w14:paraId="3ED5B63E" w14:textId="77777777" w:rsidR="00F33E5D" w:rsidRPr="00D353D1" w:rsidRDefault="00F33E5D" w:rsidP="00F33E5D">
      <w:pPr>
        <w:jc w:val="both"/>
        <w:rPr>
          <w:rFonts w:ascii="Verdana" w:eastAsia="Malgun Gothic" w:hAnsi="Verdana" w:cs="Arial"/>
          <w:b/>
          <w:sz w:val="18"/>
          <w:szCs w:val="18"/>
          <w:u w:val="single"/>
          <w:lang w:val="el-GR"/>
        </w:rPr>
      </w:pPr>
      <w:r w:rsidRPr="00D353D1">
        <w:rPr>
          <w:rFonts w:ascii="Verdana" w:eastAsia="Malgun Gothic" w:hAnsi="Verdana" w:cs="Arial"/>
          <w:b/>
          <w:sz w:val="18"/>
          <w:szCs w:val="18"/>
          <w:u w:val="single"/>
          <w:lang w:val="el-GR"/>
        </w:rPr>
        <w:t>Ορισμοί</w:t>
      </w:r>
    </w:p>
    <w:p w14:paraId="27BD34CD" w14:textId="77777777" w:rsidR="00F33E5D" w:rsidRDefault="00F33E5D" w:rsidP="00F33E5D">
      <w:pPr>
        <w:jc w:val="both"/>
        <w:rPr>
          <w:rFonts w:ascii="Verdana" w:eastAsia="Malgun Gothic" w:hAnsi="Verdana" w:cs="Arial"/>
          <w:sz w:val="18"/>
          <w:szCs w:val="18"/>
          <w:lang w:val="el-GR"/>
        </w:rPr>
      </w:pPr>
    </w:p>
    <w:p w14:paraId="63A0D113" w14:textId="77777777" w:rsidR="00353CC2" w:rsidRPr="00353CC2" w:rsidRDefault="00353CC2" w:rsidP="00353CC2">
      <w:pPr>
        <w:jc w:val="both"/>
        <w:rPr>
          <w:rFonts w:ascii="Verdana" w:eastAsia="Malgun Gothic" w:hAnsi="Verdana" w:cs="Arial"/>
          <w:sz w:val="18"/>
          <w:szCs w:val="18"/>
          <w:lang w:val="el-GR"/>
        </w:rPr>
      </w:pPr>
      <w:r w:rsidRPr="00353CC2">
        <w:rPr>
          <w:rFonts w:ascii="Verdana" w:eastAsia="Malgun Gothic" w:hAnsi="Verdana" w:cs="Arial"/>
          <w:sz w:val="18"/>
          <w:szCs w:val="18"/>
          <w:lang w:val="el-GR"/>
        </w:rPr>
        <w:t xml:space="preserve">Ο Δείκτης Κύκλου Εργασιών στις Μεταφορές και Αποθήκευση παρακολουθεί τις βραχυπρόθεσμες εξελίξεις που αφορούν στον κύκλο εργασιών των επιχειρήσεων που δραστηριοποιούνται στους κλάδους των χερσαίων μεταφορών και μεταφορών μέσω αγωγών, των πλωτών μεταφορών, των αεροπορικών μεταφορών, της αποθήκευσης και υποστηρικτικών προς τη μεταφορά δραστηριοτήτων (περιλαμβάνει τη δραστηριότητα των πλοιοκτητριών εταιρειών οι οποίες έχουν φυσική παρουσία στην Κύπρο) και των ταχυδρομικών και ταχυμεταφορικών δραστηριοτήτων. </w:t>
      </w:r>
    </w:p>
    <w:p w14:paraId="2AE7CA79" w14:textId="77777777" w:rsidR="00353CC2" w:rsidRPr="00353CC2" w:rsidRDefault="00353CC2" w:rsidP="00353CC2">
      <w:pPr>
        <w:jc w:val="both"/>
        <w:rPr>
          <w:rFonts w:ascii="Verdana" w:eastAsia="Malgun Gothic" w:hAnsi="Verdana" w:cs="Arial"/>
          <w:sz w:val="18"/>
          <w:szCs w:val="18"/>
          <w:lang w:val="el-GR"/>
        </w:rPr>
      </w:pPr>
    </w:p>
    <w:p w14:paraId="194F5DCC" w14:textId="0AF88E40" w:rsidR="00353CC2" w:rsidRPr="00353CC2" w:rsidRDefault="00353CC2" w:rsidP="00353CC2">
      <w:pPr>
        <w:jc w:val="both"/>
        <w:rPr>
          <w:rFonts w:ascii="Verdana" w:eastAsia="Malgun Gothic" w:hAnsi="Verdana" w:cs="Arial"/>
          <w:b/>
          <w:sz w:val="18"/>
          <w:szCs w:val="18"/>
          <w:u w:val="single"/>
          <w:lang w:val="el-GR"/>
        </w:rPr>
      </w:pPr>
      <w:r w:rsidRPr="00353CC2">
        <w:rPr>
          <w:rFonts w:ascii="Verdana" w:eastAsia="Malgun Gothic" w:hAnsi="Verdana" w:cs="Arial"/>
          <w:b/>
          <w:sz w:val="18"/>
          <w:szCs w:val="18"/>
          <w:u w:val="single"/>
          <w:lang w:val="el-GR"/>
        </w:rPr>
        <w:t xml:space="preserve">Συλλογή </w:t>
      </w:r>
      <w:r>
        <w:rPr>
          <w:rFonts w:ascii="Verdana" w:eastAsia="Malgun Gothic" w:hAnsi="Verdana" w:cs="Arial"/>
          <w:b/>
          <w:sz w:val="18"/>
          <w:szCs w:val="18"/>
          <w:u w:val="single"/>
          <w:lang w:val="el-GR"/>
        </w:rPr>
        <w:t>Σ</w:t>
      </w:r>
      <w:r w:rsidRPr="00353CC2">
        <w:rPr>
          <w:rFonts w:ascii="Verdana" w:eastAsia="Malgun Gothic" w:hAnsi="Verdana" w:cs="Arial"/>
          <w:b/>
          <w:sz w:val="18"/>
          <w:szCs w:val="18"/>
          <w:u w:val="single"/>
          <w:lang w:val="el-GR"/>
        </w:rPr>
        <w:t>τοιχείων</w:t>
      </w:r>
    </w:p>
    <w:p w14:paraId="14CE2CC9" w14:textId="77777777" w:rsidR="00353CC2" w:rsidRPr="00353CC2" w:rsidRDefault="00353CC2" w:rsidP="00353CC2">
      <w:pPr>
        <w:jc w:val="both"/>
        <w:rPr>
          <w:rFonts w:ascii="Verdana" w:eastAsia="Malgun Gothic" w:hAnsi="Verdana" w:cs="Arial"/>
          <w:sz w:val="18"/>
          <w:szCs w:val="18"/>
          <w:lang w:val="el-GR"/>
        </w:rPr>
      </w:pPr>
    </w:p>
    <w:p w14:paraId="4498CE0C" w14:textId="77777777" w:rsidR="00353CC2" w:rsidRPr="00353CC2" w:rsidRDefault="00353CC2" w:rsidP="00353CC2">
      <w:pPr>
        <w:jc w:val="both"/>
        <w:rPr>
          <w:rFonts w:ascii="Verdana" w:eastAsia="Malgun Gothic" w:hAnsi="Verdana" w:cs="Arial"/>
          <w:sz w:val="18"/>
          <w:szCs w:val="18"/>
          <w:lang w:val="el-GR"/>
        </w:rPr>
      </w:pPr>
      <w:r w:rsidRPr="00353CC2">
        <w:rPr>
          <w:rFonts w:ascii="Verdana" w:eastAsia="Malgun Gothic" w:hAnsi="Verdana" w:cs="Arial"/>
          <w:sz w:val="18"/>
          <w:szCs w:val="18"/>
          <w:lang w:val="el-GR"/>
        </w:rPr>
        <w:t>Η έρευνα είναι δειγματοληπτική και αφορά τις επιχειρήσεις που δραστηριοποιούνται στους πιο πάνω κλάδους. Διεξάγεται τηλεφωνικώς, με χρήση τηλεομοιότυπου και με ηλεκτρονική αλληλογραφία. Τα στοιχεία συλλέγονται σε τριμηνιαία βάση.</w:t>
      </w:r>
    </w:p>
    <w:p w14:paraId="35257096" w14:textId="77777777" w:rsidR="00353CC2" w:rsidRPr="00353CC2" w:rsidRDefault="00353CC2" w:rsidP="00353CC2">
      <w:pPr>
        <w:jc w:val="both"/>
        <w:rPr>
          <w:rFonts w:ascii="Verdana" w:eastAsia="Malgun Gothic" w:hAnsi="Verdana" w:cs="Arial"/>
          <w:sz w:val="18"/>
          <w:szCs w:val="18"/>
          <w:lang w:val="el-GR"/>
        </w:rPr>
      </w:pPr>
    </w:p>
    <w:p w14:paraId="785CF63E" w14:textId="77777777" w:rsidR="00353CC2" w:rsidRPr="00353CC2" w:rsidRDefault="00353CC2" w:rsidP="00353CC2">
      <w:pPr>
        <w:jc w:val="both"/>
        <w:rPr>
          <w:rFonts w:ascii="Verdana" w:eastAsia="Malgun Gothic" w:hAnsi="Verdana" w:cs="Arial"/>
          <w:sz w:val="18"/>
          <w:szCs w:val="18"/>
          <w:lang w:val="el-GR"/>
        </w:rPr>
      </w:pPr>
    </w:p>
    <w:p w14:paraId="215F9ADE" w14:textId="5115B2EC" w:rsidR="00353CC2" w:rsidRPr="00353CC2" w:rsidRDefault="00353CC2" w:rsidP="00353CC2">
      <w:pPr>
        <w:jc w:val="both"/>
        <w:rPr>
          <w:rFonts w:ascii="Verdana" w:eastAsia="Malgun Gothic" w:hAnsi="Verdana" w:cs="Arial"/>
          <w:b/>
          <w:sz w:val="18"/>
          <w:szCs w:val="18"/>
          <w:u w:val="single"/>
          <w:lang w:val="el-GR"/>
        </w:rPr>
      </w:pPr>
      <w:r w:rsidRPr="00353CC2">
        <w:rPr>
          <w:rFonts w:ascii="Verdana" w:eastAsia="Malgun Gothic" w:hAnsi="Verdana" w:cs="Arial"/>
          <w:b/>
          <w:sz w:val="18"/>
          <w:szCs w:val="18"/>
          <w:u w:val="single"/>
          <w:lang w:val="el-GR"/>
        </w:rPr>
        <w:t xml:space="preserve">Μέθοδος </w:t>
      </w:r>
      <w:r>
        <w:rPr>
          <w:rFonts w:ascii="Verdana" w:eastAsia="Malgun Gothic" w:hAnsi="Verdana" w:cs="Arial"/>
          <w:b/>
          <w:sz w:val="18"/>
          <w:szCs w:val="18"/>
          <w:u w:val="single"/>
          <w:lang w:val="el-GR"/>
        </w:rPr>
        <w:t>Υ</w:t>
      </w:r>
      <w:r w:rsidRPr="00353CC2">
        <w:rPr>
          <w:rFonts w:ascii="Verdana" w:eastAsia="Malgun Gothic" w:hAnsi="Verdana" w:cs="Arial"/>
          <w:b/>
          <w:sz w:val="18"/>
          <w:szCs w:val="18"/>
          <w:u w:val="single"/>
          <w:lang w:val="el-GR"/>
        </w:rPr>
        <w:t xml:space="preserve">πολογισμού </w:t>
      </w:r>
    </w:p>
    <w:p w14:paraId="6BC4F151" w14:textId="77777777" w:rsidR="00353CC2" w:rsidRPr="00353CC2" w:rsidRDefault="00353CC2" w:rsidP="00353CC2">
      <w:pPr>
        <w:jc w:val="both"/>
        <w:rPr>
          <w:rFonts w:ascii="Verdana" w:eastAsia="Malgun Gothic" w:hAnsi="Verdana" w:cs="Arial"/>
          <w:sz w:val="18"/>
          <w:szCs w:val="18"/>
          <w:lang w:val="el-GR"/>
        </w:rPr>
      </w:pPr>
    </w:p>
    <w:p w14:paraId="7D6A92E1" w14:textId="77777777" w:rsidR="00353CC2" w:rsidRPr="00353CC2" w:rsidRDefault="00353CC2" w:rsidP="00353CC2">
      <w:pPr>
        <w:jc w:val="both"/>
        <w:rPr>
          <w:rFonts w:ascii="Verdana" w:eastAsia="Malgun Gothic" w:hAnsi="Verdana" w:cs="Arial"/>
          <w:sz w:val="18"/>
          <w:szCs w:val="18"/>
          <w:lang w:val="el-GR"/>
        </w:rPr>
      </w:pPr>
      <w:r w:rsidRPr="00353CC2">
        <w:rPr>
          <w:rFonts w:ascii="Verdana" w:eastAsia="Malgun Gothic" w:hAnsi="Verdana" w:cs="Arial"/>
          <w:sz w:val="18"/>
          <w:szCs w:val="18"/>
          <w:lang w:val="el-GR"/>
        </w:rPr>
        <w:t>Ο Δείκτης παράγεται για τους πέντε κλάδους του Συστήματος Ταξινόμησης Οικονομικών Δραστηριοτήτων (NACE Αναθ. 2) που αποτελούν τον τομέα των Μεταφορών και Αποθήκευσης. Έχει ως έτος βάσης το 2015, δείχνει δηλαδή την μεταβολή στον κύκλο εργασιών των επιχειρήσεων για την περίοδο αναφοράς σε σχέση με το μέσο όρο του 2015. Κατά το έτος βάσης, ο μέσος όρος των τριμηνιαίων δεικτών είναι 100.</w:t>
      </w:r>
    </w:p>
    <w:p w14:paraId="7C91B5A6" w14:textId="77777777" w:rsidR="00353CC2" w:rsidRPr="00353CC2" w:rsidRDefault="00353CC2" w:rsidP="00353CC2">
      <w:pPr>
        <w:jc w:val="both"/>
        <w:rPr>
          <w:rFonts w:ascii="Verdana" w:eastAsia="Malgun Gothic" w:hAnsi="Verdana" w:cs="Arial"/>
          <w:sz w:val="18"/>
          <w:szCs w:val="18"/>
          <w:lang w:val="el-GR"/>
        </w:rPr>
      </w:pPr>
    </w:p>
    <w:p w14:paraId="7CF2A181" w14:textId="77777777" w:rsidR="00353CC2" w:rsidRPr="00353CC2" w:rsidRDefault="00353CC2" w:rsidP="00353CC2">
      <w:pPr>
        <w:jc w:val="both"/>
        <w:rPr>
          <w:rFonts w:ascii="Verdana" w:eastAsia="Malgun Gothic" w:hAnsi="Verdana" w:cs="Arial"/>
          <w:sz w:val="18"/>
          <w:szCs w:val="18"/>
          <w:lang w:val="el-GR"/>
        </w:rPr>
      </w:pPr>
      <w:r w:rsidRPr="00353CC2">
        <w:rPr>
          <w:rFonts w:ascii="Verdana" w:eastAsia="Malgun Gothic" w:hAnsi="Verdana" w:cs="Arial"/>
          <w:sz w:val="18"/>
          <w:szCs w:val="18"/>
          <w:lang w:val="el-GR"/>
        </w:rPr>
        <w:t>Οι συντελεστές που χρησιμοποιούνται για τη στάθμιση προέρχονται από τις συνολικές πωλήσεις των επιχειρήσεων κατά το έτος βάσης (2015) και αντικατοπτρίζουν τον κύκλο εργασιών κάθε κλάδου σε σχέση με το σύνολο του τομέα.</w:t>
      </w:r>
    </w:p>
    <w:p w14:paraId="032AC9FA" w14:textId="77777777" w:rsidR="00353CC2" w:rsidRPr="00353CC2" w:rsidRDefault="00353CC2" w:rsidP="00353CC2">
      <w:pPr>
        <w:jc w:val="both"/>
        <w:rPr>
          <w:rFonts w:ascii="Verdana" w:eastAsia="Malgun Gothic" w:hAnsi="Verdana" w:cs="Arial"/>
          <w:sz w:val="18"/>
          <w:szCs w:val="18"/>
          <w:lang w:val="el-GR"/>
        </w:rPr>
      </w:pPr>
    </w:p>
    <w:p w14:paraId="1B9335E4" w14:textId="77777777" w:rsidR="00353CC2" w:rsidRPr="00353CC2" w:rsidRDefault="00353CC2" w:rsidP="00353CC2">
      <w:pPr>
        <w:jc w:val="both"/>
        <w:rPr>
          <w:rFonts w:ascii="Verdana" w:eastAsia="Malgun Gothic" w:hAnsi="Verdana" w:cs="Arial"/>
          <w:sz w:val="18"/>
          <w:szCs w:val="18"/>
          <w:lang w:val="el-GR"/>
        </w:rPr>
      </w:pPr>
      <w:r w:rsidRPr="00353CC2">
        <w:rPr>
          <w:rFonts w:ascii="Verdana" w:eastAsia="Malgun Gothic" w:hAnsi="Verdana" w:cs="Arial"/>
          <w:sz w:val="18"/>
          <w:szCs w:val="18"/>
          <w:lang w:val="el-GR"/>
        </w:rPr>
        <w:t xml:space="preserve">Ο καταρτισμός του Δείκτη Κύκλου Εργασιών στις Μεταφορές και Αποθήκευση γίνεται </w:t>
      </w:r>
      <w:r w:rsidRPr="00353CC2">
        <w:rPr>
          <w:rFonts w:ascii="Verdana" w:hAnsi="Verdana"/>
          <w:sz w:val="18"/>
          <w:szCs w:val="18"/>
          <w:lang w:val="el-GR"/>
        </w:rPr>
        <w:t>στο πλαίσιο εφαρμογής του Κανονισμού (ΕΕ) 2019/2152 σχετικά με τις ευρωπαϊκές στατιστικές για τις επιχειρήσεις.</w:t>
      </w:r>
    </w:p>
    <w:p w14:paraId="5131D5FB" w14:textId="77777777" w:rsidR="00F33E5D" w:rsidRPr="00353CC2" w:rsidRDefault="00F33E5D" w:rsidP="00F33E5D">
      <w:pPr>
        <w:jc w:val="both"/>
        <w:rPr>
          <w:rFonts w:ascii="Verdana" w:eastAsia="Malgun Gothic" w:hAnsi="Verdana" w:cs="Arial"/>
          <w:sz w:val="18"/>
          <w:szCs w:val="18"/>
          <w:lang w:val="el-GR"/>
        </w:rPr>
      </w:pPr>
    </w:p>
    <w:p w14:paraId="6E5A3C44" w14:textId="77777777" w:rsidR="00F33E5D" w:rsidRPr="00521C6E" w:rsidRDefault="00F33E5D" w:rsidP="00F33E5D">
      <w:pPr>
        <w:rPr>
          <w:rFonts w:ascii="Verdana" w:hAnsi="Verdana"/>
          <w:b/>
          <w:sz w:val="18"/>
          <w:szCs w:val="18"/>
          <w:lang w:val="el-GR"/>
        </w:rPr>
      </w:pPr>
    </w:p>
    <w:p w14:paraId="16C6E23C" w14:textId="77777777" w:rsidR="00F33E5D" w:rsidRPr="00FA1295" w:rsidRDefault="00F33E5D" w:rsidP="00F33E5D">
      <w:pPr>
        <w:rPr>
          <w:rFonts w:ascii="Verdana" w:hAnsi="Verdana"/>
          <w:i/>
          <w:sz w:val="18"/>
          <w:szCs w:val="18"/>
          <w:lang w:val="el-GR"/>
        </w:rPr>
      </w:pPr>
      <w:r w:rsidRPr="00FA1295">
        <w:rPr>
          <w:rFonts w:ascii="Verdana" w:hAnsi="Verdana"/>
          <w:b/>
          <w:i/>
          <w:sz w:val="18"/>
          <w:szCs w:val="18"/>
          <w:lang w:val="el-GR"/>
        </w:rPr>
        <w:t>Για περισσότερες πληροφορίες:</w:t>
      </w:r>
    </w:p>
    <w:p w14:paraId="66E1D011" w14:textId="77777777" w:rsidR="00F33E5D" w:rsidRPr="00FA1295" w:rsidRDefault="00F33E5D" w:rsidP="00F33E5D">
      <w:pPr>
        <w:rPr>
          <w:rFonts w:ascii="Verdana" w:hAnsi="Verdana"/>
          <w:sz w:val="18"/>
          <w:szCs w:val="18"/>
          <w:lang w:val="el-GR"/>
        </w:rPr>
      </w:pPr>
      <w:r w:rsidRPr="00FA1295">
        <w:rPr>
          <w:rFonts w:ascii="Verdana" w:hAnsi="Verdana"/>
          <w:sz w:val="18"/>
          <w:szCs w:val="18"/>
          <w:lang w:val="el-GR"/>
        </w:rPr>
        <w:t xml:space="preserve">Πύλη Στατιστικής Υπηρεσίας, υπόθεμα </w:t>
      </w:r>
      <w:hyperlink r:id="rId9" w:history="1">
        <w:r w:rsidRPr="00FA1295">
          <w:rPr>
            <w:rStyle w:val="Hyperlink"/>
            <w:rFonts w:ascii="Verdana" w:hAnsi="Verdana"/>
            <w:sz w:val="18"/>
            <w:szCs w:val="18"/>
            <w:lang w:val="el-GR"/>
          </w:rPr>
          <w:t>Υπηρεσίες</w:t>
        </w:r>
      </w:hyperlink>
    </w:p>
    <w:p w14:paraId="5D1D963D" w14:textId="335C420B" w:rsidR="00AB31A2" w:rsidRPr="00AC2590" w:rsidRDefault="00000000" w:rsidP="00AB31A2">
      <w:pPr>
        <w:rPr>
          <w:rFonts w:ascii="Verdana" w:hAnsi="Verdana"/>
          <w:sz w:val="18"/>
          <w:szCs w:val="18"/>
          <w:lang w:val="el-GR"/>
        </w:rPr>
      </w:pPr>
      <w:hyperlink r:id="rId10" w:history="1">
        <w:r w:rsidR="00AB31A2" w:rsidRPr="00A34089">
          <w:rPr>
            <w:rStyle w:val="Hyperlink"/>
            <w:rFonts w:ascii="Verdana" w:hAnsi="Verdana"/>
            <w:sz w:val="18"/>
            <w:szCs w:val="18"/>
          </w:rPr>
          <w:t>CYSTAT</w:t>
        </w:r>
        <w:r w:rsidR="00AB31A2" w:rsidRPr="00AC2590">
          <w:rPr>
            <w:rStyle w:val="Hyperlink"/>
            <w:rFonts w:ascii="Verdana" w:hAnsi="Verdana"/>
            <w:sz w:val="18"/>
            <w:szCs w:val="18"/>
            <w:lang w:val="el-GR"/>
          </w:rPr>
          <w:t>-</w:t>
        </w:r>
        <w:r w:rsidR="00AB31A2" w:rsidRPr="00A34089">
          <w:rPr>
            <w:rStyle w:val="Hyperlink"/>
            <w:rFonts w:ascii="Verdana" w:hAnsi="Verdana"/>
            <w:sz w:val="18"/>
            <w:szCs w:val="18"/>
          </w:rPr>
          <w:t>DB</w:t>
        </w:r>
      </w:hyperlink>
      <w:r w:rsidR="00AB31A2" w:rsidRPr="00AC2590">
        <w:rPr>
          <w:rFonts w:ascii="Verdana" w:hAnsi="Verdana"/>
          <w:sz w:val="18"/>
          <w:szCs w:val="18"/>
          <w:lang w:val="el-GR"/>
        </w:rPr>
        <w:t xml:space="preserve"> (Βάση Δεδομένων)</w:t>
      </w:r>
    </w:p>
    <w:p w14:paraId="7FF805D2" w14:textId="0493AFA3" w:rsidR="00F33E5D" w:rsidRDefault="00000000" w:rsidP="00F33E5D">
      <w:pPr>
        <w:rPr>
          <w:rFonts w:ascii="Verdana" w:hAnsi="Verdana"/>
          <w:sz w:val="18"/>
          <w:szCs w:val="18"/>
          <w:lang w:val="el-GR"/>
        </w:rPr>
      </w:pPr>
      <w:hyperlink r:id="rId11" w:history="1">
        <w:r w:rsidR="00F33E5D" w:rsidRPr="00FA1295">
          <w:rPr>
            <w:rStyle w:val="Hyperlink"/>
            <w:rFonts w:ascii="Verdana" w:hAnsi="Verdana"/>
            <w:sz w:val="18"/>
            <w:szCs w:val="18"/>
            <w:lang w:val="el-GR"/>
          </w:rPr>
          <w:t>Προκαθορισμένοι Πίνακες</w:t>
        </w:r>
      </w:hyperlink>
      <w:r w:rsidR="00F33E5D" w:rsidRPr="00FA1295">
        <w:rPr>
          <w:rFonts w:ascii="Verdana" w:hAnsi="Verdana"/>
          <w:sz w:val="18"/>
          <w:szCs w:val="18"/>
          <w:lang w:val="el-GR"/>
        </w:rPr>
        <w:t xml:space="preserve"> (</w:t>
      </w:r>
      <w:r w:rsidR="00F33E5D" w:rsidRPr="00040F97">
        <w:rPr>
          <w:rFonts w:ascii="Verdana" w:hAnsi="Verdana"/>
          <w:sz w:val="18"/>
          <w:szCs w:val="18"/>
        </w:rPr>
        <w:t>Excel</w:t>
      </w:r>
      <w:r w:rsidR="00F33E5D" w:rsidRPr="00FA1295">
        <w:rPr>
          <w:rFonts w:ascii="Verdana" w:hAnsi="Verdana"/>
          <w:sz w:val="18"/>
          <w:szCs w:val="18"/>
          <w:lang w:val="el-GR"/>
        </w:rPr>
        <w:t>)</w:t>
      </w:r>
    </w:p>
    <w:p w14:paraId="69044DD6" w14:textId="77777777" w:rsidR="00F33E5D" w:rsidRPr="00D67EF5" w:rsidRDefault="00F33E5D" w:rsidP="00F33E5D">
      <w:pPr>
        <w:jc w:val="both"/>
        <w:rPr>
          <w:rFonts w:ascii="Verdana" w:eastAsia="Malgun Gothic" w:hAnsi="Verdana" w:cs="Arial"/>
          <w:sz w:val="18"/>
          <w:szCs w:val="18"/>
          <w:lang w:val="el-GR"/>
        </w:rPr>
      </w:pPr>
    </w:p>
    <w:p w14:paraId="652AF104" w14:textId="5FAFE8BF" w:rsidR="00F33E5D" w:rsidRPr="00C12D63" w:rsidRDefault="00282C19" w:rsidP="00F33E5D">
      <w:pPr>
        <w:jc w:val="both"/>
        <w:rPr>
          <w:rFonts w:ascii="Verdana" w:eastAsia="Times New Roman" w:hAnsi="Verdana" w:cs="Arial"/>
          <w:b/>
          <w:bCs/>
          <w:sz w:val="18"/>
          <w:szCs w:val="18"/>
          <w:lang w:val="en-CY" w:eastAsia="en-CY" w:bidi="he-IL"/>
        </w:rPr>
      </w:pPr>
      <w:r w:rsidRPr="00282C19">
        <w:rPr>
          <w:rFonts w:ascii="Verdana" w:eastAsia="Times New Roman" w:hAnsi="Verdana" w:cs="Arial"/>
          <w:b/>
          <w:bCs/>
          <w:sz w:val="18"/>
          <w:szCs w:val="18"/>
          <w:lang w:val="en-CY" w:eastAsia="en-CY" w:bidi="he-IL"/>
        </w:rPr>
        <w:t xml:space="preserve">Οι </w:t>
      </w:r>
      <w:r w:rsidRPr="00282C19">
        <w:rPr>
          <w:rFonts w:ascii="Verdana" w:eastAsia="Times New Roman" w:hAnsi="Verdana" w:cs="Arial"/>
          <w:b/>
          <w:bCs/>
          <w:sz w:val="18"/>
          <w:szCs w:val="18"/>
          <w:u w:val="single"/>
          <w:lang w:val="en-CY" w:eastAsia="en-CY" w:bidi="he-IL"/>
        </w:rPr>
        <w:t>Προκαθορισμένοι Πίνακες</w:t>
      </w:r>
      <w:r w:rsidRPr="00282C19">
        <w:rPr>
          <w:rFonts w:ascii="Verdana" w:eastAsia="Times New Roman" w:hAnsi="Verdana" w:cs="Arial"/>
          <w:b/>
          <w:bCs/>
          <w:sz w:val="18"/>
          <w:szCs w:val="18"/>
          <w:lang w:val="en-CY" w:eastAsia="en-CY" w:bidi="he-IL"/>
        </w:rPr>
        <w:t xml:space="preserve"> σε μορφή Excel περιλαμβάνουν στοιχεία μέχρι και το τέταρτο τρίμηνο του 2022.</w:t>
      </w:r>
      <w:r w:rsidRPr="00C12D63">
        <w:rPr>
          <w:rFonts w:ascii="Verdana" w:eastAsia="Times New Roman" w:hAnsi="Verdana" w:cs="Arial"/>
          <w:b/>
          <w:bCs/>
          <w:sz w:val="18"/>
          <w:szCs w:val="18"/>
          <w:lang w:val="el-GR" w:eastAsia="en-CY" w:bidi="he-IL"/>
        </w:rPr>
        <w:t xml:space="preserve"> </w:t>
      </w:r>
      <w:r w:rsidRPr="00282C19">
        <w:rPr>
          <w:rFonts w:ascii="Verdana" w:eastAsia="Times New Roman" w:hAnsi="Verdana" w:cs="Arial"/>
          <w:b/>
          <w:bCs/>
          <w:sz w:val="18"/>
          <w:szCs w:val="18"/>
          <w:lang w:val="en-CY" w:eastAsia="en-CY" w:bidi="he-IL"/>
        </w:rPr>
        <w:t xml:space="preserve">Για το </w:t>
      </w:r>
      <w:r w:rsidR="00C34275">
        <w:rPr>
          <w:rFonts w:ascii="Verdana" w:eastAsia="Times New Roman" w:hAnsi="Verdana" w:cs="Arial"/>
          <w:b/>
          <w:bCs/>
          <w:sz w:val="18"/>
          <w:szCs w:val="18"/>
          <w:lang w:val="en-CY" w:eastAsia="en-CY" w:bidi="he-IL"/>
        </w:rPr>
        <w:t>δεύτερο</w:t>
      </w:r>
      <w:r w:rsidRPr="00282C19">
        <w:rPr>
          <w:rFonts w:ascii="Verdana" w:eastAsia="Times New Roman" w:hAnsi="Verdana" w:cs="Arial"/>
          <w:b/>
          <w:bCs/>
          <w:sz w:val="18"/>
          <w:szCs w:val="18"/>
          <w:lang w:val="en-CY" w:eastAsia="en-CY" w:bidi="he-IL"/>
        </w:rPr>
        <w:t xml:space="preserve"> τρίμηνο του 2023 και μετέπειτα, η ενημέρωση γίνεται μόνο στη Βάση Δεδομένων CYSTAT-DB.</w:t>
      </w:r>
    </w:p>
    <w:p w14:paraId="30077F84" w14:textId="77777777" w:rsidR="00282C19" w:rsidRPr="00282C19" w:rsidRDefault="00282C19" w:rsidP="00F33E5D">
      <w:pPr>
        <w:jc w:val="both"/>
        <w:rPr>
          <w:rFonts w:ascii="Verdana" w:eastAsia="Malgun Gothic" w:hAnsi="Verdana" w:cs="Arial"/>
          <w:sz w:val="18"/>
          <w:szCs w:val="18"/>
          <w:lang w:val="el-GR"/>
        </w:rPr>
      </w:pPr>
    </w:p>
    <w:p w14:paraId="3B6D2455" w14:textId="77777777" w:rsidR="00F33E5D" w:rsidRPr="00D67EF5" w:rsidRDefault="00F33E5D" w:rsidP="00F33E5D">
      <w:pPr>
        <w:jc w:val="both"/>
        <w:rPr>
          <w:rFonts w:ascii="Verdana" w:eastAsia="Malgun Gothic" w:hAnsi="Verdana" w:cs="Arial"/>
          <w:i/>
          <w:sz w:val="18"/>
          <w:szCs w:val="18"/>
          <w:u w:val="single"/>
          <w:lang w:val="el-GR"/>
        </w:rPr>
      </w:pPr>
      <w:r w:rsidRPr="00D67EF5">
        <w:rPr>
          <w:rFonts w:ascii="Verdana" w:eastAsia="Malgun Gothic" w:hAnsi="Verdana" w:cs="Arial"/>
          <w:i/>
          <w:sz w:val="18"/>
          <w:szCs w:val="18"/>
          <w:u w:val="single"/>
          <w:lang w:val="el-GR"/>
        </w:rPr>
        <w:t>Επικοινωνία</w:t>
      </w:r>
    </w:p>
    <w:p w14:paraId="6517B0B6" w14:textId="77777777" w:rsidR="00F33E5D" w:rsidRDefault="00F33E5D" w:rsidP="00F33E5D">
      <w:pPr>
        <w:jc w:val="both"/>
        <w:rPr>
          <w:rFonts w:ascii="Verdana" w:eastAsia="Malgun Gothic" w:hAnsi="Verdana" w:cs="Arial"/>
          <w:sz w:val="18"/>
          <w:szCs w:val="18"/>
          <w:lang w:val="el-GR"/>
        </w:rPr>
      </w:pPr>
      <w:r w:rsidRPr="00D67EF5">
        <w:rPr>
          <w:rFonts w:ascii="Verdana" w:eastAsia="Malgun Gothic" w:hAnsi="Verdana" w:cs="Arial"/>
          <w:sz w:val="18"/>
          <w:szCs w:val="18"/>
          <w:lang w:val="el-GR"/>
        </w:rPr>
        <w:t>Άντρη Μηλιδώνη</w:t>
      </w:r>
      <w:r>
        <w:rPr>
          <w:rFonts w:ascii="Verdana" w:eastAsia="Malgun Gothic" w:hAnsi="Verdana" w:cs="Arial"/>
          <w:sz w:val="18"/>
          <w:szCs w:val="18"/>
          <w:lang w:val="el-GR"/>
        </w:rPr>
        <w:t xml:space="preserve">: </w:t>
      </w:r>
      <w:r w:rsidRPr="00D67EF5">
        <w:rPr>
          <w:rFonts w:ascii="Verdana" w:eastAsia="Malgun Gothic" w:hAnsi="Verdana" w:cs="Arial"/>
          <w:sz w:val="18"/>
          <w:szCs w:val="18"/>
          <w:lang w:val="el-GR"/>
        </w:rPr>
        <w:t>Τηλ:+357 22 602240</w:t>
      </w:r>
      <w:r>
        <w:rPr>
          <w:rFonts w:ascii="Verdana" w:eastAsia="Malgun Gothic" w:hAnsi="Verdana" w:cs="Arial"/>
          <w:sz w:val="18"/>
          <w:szCs w:val="18"/>
          <w:lang w:val="el-GR"/>
        </w:rPr>
        <w:t xml:space="preserve">, </w:t>
      </w:r>
      <w:r w:rsidRPr="00D67EF5">
        <w:rPr>
          <w:rFonts w:ascii="Verdana" w:eastAsia="Malgun Gothic" w:hAnsi="Verdana" w:cs="Arial"/>
          <w:sz w:val="18"/>
          <w:szCs w:val="18"/>
          <w:lang w:val="el-GR"/>
        </w:rPr>
        <w:t xml:space="preserve">Ηλ. </w:t>
      </w:r>
      <w:r>
        <w:rPr>
          <w:rFonts w:ascii="Verdana" w:eastAsia="Malgun Gothic" w:hAnsi="Verdana" w:cs="Arial"/>
          <w:sz w:val="18"/>
          <w:szCs w:val="18"/>
          <w:lang w:val="el-GR"/>
        </w:rPr>
        <w:t>Ταχ.</w:t>
      </w:r>
      <w:r w:rsidRPr="00D67EF5">
        <w:rPr>
          <w:rFonts w:ascii="Verdana" w:eastAsia="Malgun Gothic" w:hAnsi="Verdana" w:cs="Arial"/>
          <w:sz w:val="18"/>
          <w:szCs w:val="18"/>
          <w:lang w:val="el-GR"/>
        </w:rPr>
        <w:t xml:space="preserve">: </w:t>
      </w:r>
      <w:hyperlink r:id="rId12" w:history="1">
        <w:r w:rsidRPr="00C006AD">
          <w:rPr>
            <w:rStyle w:val="Hyperlink"/>
            <w:rFonts w:ascii="Verdana" w:eastAsia="Malgun Gothic" w:hAnsi="Verdana" w:cs="Arial"/>
            <w:sz w:val="18"/>
            <w:szCs w:val="18"/>
            <w:lang w:val="el-GR"/>
          </w:rPr>
          <w:t>amilidoni@cystat.mof.gov.cy</w:t>
        </w:r>
      </w:hyperlink>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6AED8DD2" w14:textId="77777777" w:rsidR="00957297" w:rsidRDefault="00957297" w:rsidP="000E4CB0">
      <w:pPr>
        <w:jc w:val="both"/>
        <w:rPr>
          <w:rFonts w:ascii="Verdana" w:hAnsi="Verdana" w:cs="Arial"/>
          <w:sz w:val="18"/>
          <w:szCs w:val="18"/>
          <w:lang w:val="el-GR"/>
        </w:rPr>
      </w:pPr>
    </w:p>
    <w:p w14:paraId="1B13335A" w14:textId="77777777" w:rsidR="00957297" w:rsidRDefault="00957297" w:rsidP="000E4CB0">
      <w:pPr>
        <w:jc w:val="both"/>
        <w:rPr>
          <w:rFonts w:ascii="Verdana" w:hAnsi="Verdana" w:cs="Arial"/>
          <w:sz w:val="18"/>
          <w:szCs w:val="18"/>
          <w:lang w:val="el-GR"/>
        </w:rPr>
      </w:pPr>
    </w:p>
    <w:p w14:paraId="52068971" w14:textId="77777777" w:rsidR="00957297" w:rsidRDefault="00957297" w:rsidP="000E4CB0">
      <w:pPr>
        <w:jc w:val="both"/>
        <w:rPr>
          <w:rFonts w:ascii="Verdana" w:hAnsi="Verdana" w:cs="Arial"/>
          <w:sz w:val="18"/>
          <w:szCs w:val="18"/>
          <w:lang w:val="el-GR"/>
        </w:rPr>
      </w:pPr>
    </w:p>
    <w:p w14:paraId="51C097F5" w14:textId="77777777" w:rsidR="00957297" w:rsidRDefault="00957297" w:rsidP="000E4CB0">
      <w:pPr>
        <w:jc w:val="both"/>
        <w:rPr>
          <w:rFonts w:ascii="Verdana" w:hAnsi="Verdana" w:cs="Arial"/>
          <w:sz w:val="18"/>
          <w:szCs w:val="18"/>
          <w:lang w:val="el-GR"/>
        </w:rPr>
      </w:pPr>
    </w:p>
    <w:p w14:paraId="62EA5791" w14:textId="77777777" w:rsidR="00957297" w:rsidRDefault="00957297" w:rsidP="000E4CB0">
      <w:pPr>
        <w:jc w:val="both"/>
        <w:rPr>
          <w:rFonts w:ascii="Verdana" w:hAnsi="Verdana" w:cs="Arial"/>
          <w:sz w:val="18"/>
          <w:szCs w:val="18"/>
          <w:lang w:val="el-GR"/>
        </w:rPr>
      </w:pPr>
    </w:p>
    <w:p w14:paraId="3325CFF9" w14:textId="2F3A9BC8" w:rsidR="00957297" w:rsidRDefault="00957297" w:rsidP="00957297">
      <w:pPr>
        <w:jc w:val="right"/>
        <w:rPr>
          <w:rFonts w:ascii="Verdana" w:hAnsi="Verdana" w:cs="Arial"/>
          <w:sz w:val="18"/>
          <w:szCs w:val="18"/>
          <w:lang w:val="el-GR"/>
        </w:rPr>
      </w:pPr>
      <w:r>
        <w:rPr>
          <w:rFonts w:ascii="Verdana" w:hAnsi="Verdana" w:cs="Arial"/>
          <w:sz w:val="18"/>
          <w:szCs w:val="18"/>
          <w:lang w:val="el-GR"/>
        </w:rPr>
        <w:t>2</w:t>
      </w:r>
      <w:r w:rsidRPr="00957297">
        <w:rPr>
          <w:rFonts w:ascii="Verdana" w:hAnsi="Verdana" w:cs="Arial"/>
          <w:sz w:val="18"/>
          <w:szCs w:val="18"/>
          <w:lang w:val="el-GR"/>
        </w:rPr>
        <w:t>2</w:t>
      </w:r>
      <w:r w:rsidRPr="00B9413C">
        <w:rPr>
          <w:rFonts w:ascii="Verdana" w:hAnsi="Verdana" w:cs="Arial"/>
          <w:sz w:val="18"/>
          <w:szCs w:val="18"/>
          <w:lang w:val="el-GR"/>
        </w:rPr>
        <w:t xml:space="preserve"> </w:t>
      </w:r>
      <w:r>
        <w:rPr>
          <w:rFonts w:ascii="Verdana" w:hAnsi="Verdana" w:cs="Arial"/>
          <w:sz w:val="18"/>
          <w:szCs w:val="18"/>
          <w:lang w:val="el-GR"/>
        </w:rPr>
        <w:t>Αυγούστου</w:t>
      </w:r>
      <w:r w:rsidRPr="00576CD8">
        <w:rPr>
          <w:rFonts w:ascii="Verdana" w:eastAsia="Malgun Gothic" w:hAnsi="Verdana" w:cs="Arial"/>
          <w:sz w:val="18"/>
          <w:szCs w:val="18"/>
          <w:lang w:val="el-GR"/>
        </w:rPr>
        <w:t>, 202</w:t>
      </w:r>
      <w:r>
        <w:rPr>
          <w:rFonts w:ascii="Verdana" w:eastAsia="Malgun Gothic" w:hAnsi="Verdana" w:cs="Arial"/>
          <w:sz w:val="18"/>
          <w:szCs w:val="18"/>
          <w:lang w:val="el-GR"/>
        </w:rPr>
        <w:t>3</w:t>
      </w:r>
    </w:p>
    <w:p w14:paraId="2E88F494" w14:textId="77777777" w:rsidR="00957297" w:rsidRDefault="00957297" w:rsidP="000E4CB0">
      <w:pPr>
        <w:jc w:val="both"/>
        <w:rPr>
          <w:rFonts w:ascii="Verdana" w:hAnsi="Verdana" w:cs="Arial"/>
          <w:sz w:val="18"/>
          <w:szCs w:val="18"/>
          <w:lang w:val="el-GR"/>
        </w:rPr>
      </w:pPr>
    </w:p>
    <w:p w14:paraId="5943059F" w14:textId="77777777" w:rsidR="00957297" w:rsidRDefault="00957297" w:rsidP="000E4CB0">
      <w:pPr>
        <w:jc w:val="both"/>
        <w:rPr>
          <w:rFonts w:ascii="Verdana" w:hAnsi="Verdana" w:cs="Arial"/>
          <w:sz w:val="18"/>
          <w:szCs w:val="18"/>
          <w:lang w:val="el-GR"/>
        </w:rPr>
      </w:pPr>
    </w:p>
    <w:p w14:paraId="53697760" w14:textId="77777777" w:rsidR="00957297" w:rsidRPr="00CF40F8" w:rsidRDefault="00957297" w:rsidP="00957297">
      <w:pPr>
        <w:jc w:val="center"/>
        <w:rPr>
          <w:rFonts w:ascii="Verdana" w:eastAsia="Malgun Gothic" w:hAnsi="Verdana" w:cs="Arial"/>
          <w:b/>
          <w:sz w:val="24"/>
          <w:szCs w:val="24"/>
          <w:lang w:val="el-GR"/>
        </w:rPr>
      </w:pPr>
      <w:r>
        <w:rPr>
          <w:rFonts w:ascii="Verdana" w:eastAsia="Malgun Gothic" w:hAnsi="Verdana" w:cs="Arial"/>
          <w:b/>
          <w:sz w:val="24"/>
          <w:szCs w:val="24"/>
          <w:lang w:val="el-GR"/>
        </w:rPr>
        <w:t>ΔΙΟΡΘΩΤΙΚΟ ΣΗΜΕΙΩΜΑ</w:t>
      </w:r>
    </w:p>
    <w:p w14:paraId="352123DC" w14:textId="77777777" w:rsidR="00957297" w:rsidRDefault="00957297" w:rsidP="000E4CB0">
      <w:pPr>
        <w:jc w:val="both"/>
        <w:rPr>
          <w:rFonts w:ascii="Verdana" w:hAnsi="Verdana" w:cs="Arial"/>
          <w:sz w:val="18"/>
          <w:szCs w:val="18"/>
          <w:lang w:val="el-GR"/>
        </w:rPr>
      </w:pPr>
    </w:p>
    <w:p w14:paraId="484156B0" w14:textId="77777777" w:rsidR="00957297" w:rsidRDefault="00957297" w:rsidP="000E4CB0">
      <w:pPr>
        <w:jc w:val="both"/>
        <w:rPr>
          <w:rFonts w:ascii="Verdana" w:hAnsi="Verdana" w:cs="Arial"/>
          <w:sz w:val="18"/>
          <w:szCs w:val="18"/>
          <w:lang w:val="el-GR"/>
        </w:rPr>
      </w:pPr>
    </w:p>
    <w:p w14:paraId="6B7D0C8B" w14:textId="450DCB30" w:rsidR="00957297" w:rsidRDefault="00957297" w:rsidP="000E4CB0">
      <w:pPr>
        <w:jc w:val="both"/>
        <w:rPr>
          <w:rFonts w:ascii="Verdana" w:hAnsi="Verdana" w:cs="Arial"/>
          <w:sz w:val="18"/>
          <w:szCs w:val="18"/>
          <w:lang w:val="el-GR"/>
        </w:rPr>
      </w:pPr>
      <w:r>
        <w:rPr>
          <w:rFonts w:ascii="Verdana" w:hAnsi="Verdana" w:cs="Arial"/>
          <w:sz w:val="18"/>
          <w:szCs w:val="18"/>
          <w:lang w:val="el-GR"/>
        </w:rPr>
        <w:t>Ο</w:t>
      </w:r>
      <w:r w:rsidR="001B074A">
        <w:rPr>
          <w:rFonts w:ascii="Verdana" w:hAnsi="Verdana" w:cs="Arial"/>
          <w:sz w:val="18"/>
          <w:szCs w:val="18"/>
          <w:lang w:val="el-GR"/>
        </w:rPr>
        <w:t>ι</w:t>
      </w:r>
      <w:r>
        <w:rPr>
          <w:rFonts w:ascii="Verdana" w:hAnsi="Verdana" w:cs="Arial"/>
          <w:sz w:val="18"/>
          <w:szCs w:val="18"/>
          <w:lang w:val="el-GR"/>
        </w:rPr>
        <w:t xml:space="preserve"> δ</w:t>
      </w:r>
      <w:r w:rsidRPr="00957297">
        <w:rPr>
          <w:rFonts w:ascii="Verdana" w:hAnsi="Verdana" w:cs="Arial"/>
          <w:sz w:val="18"/>
          <w:szCs w:val="18"/>
          <w:lang w:val="el-GR"/>
        </w:rPr>
        <w:t>είκτ</w:t>
      </w:r>
      <w:r w:rsidR="001B074A">
        <w:rPr>
          <w:rFonts w:ascii="Verdana" w:hAnsi="Verdana" w:cs="Arial"/>
          <w:sz w:val="18"/>
          <w:szCs w:val="18"/>
          <w:lang w:val="el-GR"/>
        </w:rPr>
        <w:t>ε</w:t>
      </w:r>
      <w:r w:rsidRPr="00957297">
        <w:rPr>
          <w:rFonts w:ascii="Verdana" w:hAnsi="Verdana" w:cs="Arial"/>
          <w:sz w:val="18"/>
          <w:szCs w:val="18"/>
          <w:lang w:val="el-GR"/>
        </w:rPr>
        <w:t xml:space="preserve">ς </w:t>
      </w:r>
      <w:r>
        <w:rPr>
          <w:rFonts w:ascii="Verdana" w:hAnsi="Verdana" w:cs="Arial"/>
          <w:sz w:val="18"/>
          <w:szCs w:val="18"/>
          <w:lang w:val="el-GR"/>
        </w:rPr>
        <w:t>κ</w:t>
      </w:r>
      <w:r w:rsidRPr="00957297">
        <w:rPr>
          <w:rFonts w:ascii="Verdana" w:hAnsi="Verdana" w:cs="Arial"/>
          <w:sz w:val="18"/>
          <w:szCs w:val="18"/>
          <w:lang w:val="el-GR"/>
        </w:rPr>
        <w:t xml:space="preserve">ύκλου </w:t>
      </w:r>
      <w:r>
        <w:rPr>
          <w:rFonts w:ascii="Verdana" w:hAnsi="Verdana" w:cs="Arial"/>
          <w:sz w:val="18"/>
          <w:szCs w:val="18"/>
          <w:lang w:val="el-GR"/>
        </w:rPr>
        <w:t>ε</w:t>
      </w:r>
      <w:r w:rsidRPr="00957297">
        <w:rPr>
          <w:rFonts w:ascii="Verdana" w:hAnsi="Verdana" w:cs="Arial"/>
          <w:sz w:val="18"/>
          <w:szCs w:val="18"/>
          <w:lang w:val="el-GR"/>
        </w:rPr>
        <w:t>ργασιών</w:t>
      </w:r>
      <w:r>
        <w:rPr>
          <w:rFonts w:ascii="Verdana" w:hAnsi="Verdana" w:cs="Arial"/>
          <w:sz w:val="18"/>
          <w:szCs w:val="18"/>
          <w:lang w:val="el-GR"/>
        </w:rPr>
        <w:t xml:space="preserve"> για τις </w:t>
      </w:r>
      <w:r w:rsidRPr="00957297">
        <w:rPr>
          <w:rFonts w:ascii="Verdana" w:hAnsi="Verdana" w:cs="Arial"/>
          <w:sz w:val="18"/>
          <w:szCs w:val="18"/>
          <w:lang w:val="el-GR"/>
        </w:rPr>
        <w:t xml:space="preserve">αεροπορικές μεταφορές </w:t>
      </w:r>
      <w:r>
        <w:rPr>
          <w:rFonts w:ascii="Verdana" w:hAnsi="Verdana" w:cs="Arial"/>
          <w:sz w:val="18"/>
          <w:szCs w:val="18"/>
          <w:lang w:val="el-GR"/>
        </w:rPr>
        <w:t xml:space="preserve">και </w:t>
      </w:r>
      <w:r w:rsidR="002643EA">
        <w:rPr>
          <w:rFonts w:ascii="Verdana" w:hAnsi="Verdana" w:cs="Arial"/>
          <w:sz w:val="18"/>
          <w:szCs w:val="18"/>
          <w:lang w:val="el-GR"/>
        </w:rPr>
        <w:t>για την</w:t>
      </w:r>
      <w:r w:rsidRPr="00957297">
        <w:rPr>
          <w:rFonts w:ascii="Verdana" w:hAnsi="Verdana" w:cs="Arial"/>
          <w:sz w:val="18"/>
          <w:szCs w:val="18"/>
          <w:lang w:val="el-GR"/>
        </w:rPr>
        <w:t xml:space="preserve"> αποθήκευση</w:t>
      </w:r>
      <w:r>
        <w:rPr>
          <w:rFonts w:ascii="Verdana" w:hAnsi="Verdana" w:cs="Arial"/>
          <w:sz w:val="18"/>
          <w:szCs w:val="18"/>
          <w:lang w:val="el-GR"/>
        </w:rPr>
        <w:t xml:space="preserve"> </w:t>
      </w:r>
      <w:r w:rsidRPr="00957297">
        <w:rPr>
          <w:rFonts w:ascii="Verdana" w:hAnsi="Verdana" w:cs="Arial"/>
          <w:sz w:val="18"/>
          <w:szCs w:val="18"/>
          <w:lang w:val="el-GR"/>
        </w:rPr>
        <w:t xml:space="preserve">και </w:t>
      </w:r>
      <w:r w:rsidR="002643EA">
        <w:rPr>
          <w:rFonts w:ascii="Verdana" w:hAnsi="Verdana" w:cs="Arial"/>
          <w:sz w:val="18"/>
          <w:szCs w:val="18"/>
          <w:lang w:val="el-GR"/>
        </w:rPr>
        <w:t>τ</w:t>
      </w:r>
      <w:r w:rsidRPr="00957297">
        <w:rPr>
          <w:rFonts w:ascii="Verdana" w:hAnsi="Verdana" w:cs="Arial"/>
          <w:sz w:val="18"/>
          <w:szCs w:val="18"/>
          <w:lang w:val="el-GR"/>
        </w:rPr>
        <w:t>ι</w:t>
      </w:r>
      <w:r w:rsidR="002643EA">
        <w:rPr>
          <w:rFonts w:ascii="Verdana" w:hAnsi="Verdana" w:cs="Arial"/>
          <w:sz w:val="18"/>
          <w:szCs w:val="18"/>
          <w:lang w:val="el-GR"/>
        </w:rPr>
        <w:t>ς</w:t>
      </w:r>
      <w:r w:rsidRPr="00957297">
        <w:rPr>
          <w:rFonts w:ascii="Verdana" w:hAnsi="Verdana" w:cs="Arial"/>
          <w:sz w:val="18"/>
          <w:szCs w:val="18"/>
          <w:lang w:val="el-GR"/>
        </w:rPr>
        <w:t xml:space="preserve"> υποστηρικτικές προς τη μεταφορά δραστηριότητες</w:t>
      </w:r>
      <w:r w:rsidR="002643EA">
        <w:rPr>
          <w:rFonts w:ascii="Verdana" w:hAnsi="Verdana" w:cs="Arial"/>
          <w:sz w:val="18"/>
          <w:szCs w:val="18"/>
          <w:lang w:val="el-GR"/>
        </w:rPr>
        <w:t xml:space="preserve"> παρουσιάζονται ως μία οικονομική δραστηριότητα, τόσο στη γραφική παράσταση όσο και στον πίνακα.</w:t>
      </w:r>
    </w:p>
    <w:sectPr w:rsidR="00957297" w:rsidSect="007E1AED">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5F8E" w14:textId="77777777" w:rsidR="005B2D3A" w:rsidRDefault="005B2D3A" w:rsidP="00FB398F">
      <w:r>
        <w:separator/>
      </w:r>
    </w:p>
  </w:endnote>
  <w:endnote w:type="continuationSeparator" w:id="0">
    <w:p w14:paraId="20C6D966" w14:textId="77777777" w:rsidR="005B2D3A" w:rsidRDefault="005B2D3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EB54DD">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A78A" w14:textId="77777777" w:rsidR="005B2D3A" w:rsidRDefault="005B2D3A" w:rsidP="00FB398F">
      <w:r>
        <w:separator/>
      </w:r>
    </w:p>
  </w:footnote>
  <w:footnote w:type="continuationSeparator" w:id="0">
    <w:p w14:paraId="058CB6CF" w14:textId="77777777" w:rsidR="005B2D3A" w:rsidRDefault="005B2D3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71F8244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0618"/>
    <w:rsid w:val="00013E40"/>
    <w:rsid w:val="000161B1"/>
    <w:rsid w:val="00025A39"/>
    <w:rsid w:val="00027853"/>
    <w:rsid w:val="00030E18"/>
    <w:rsid w:val="00031D32"/>
    <w:rsid w:val="0003603D"/>
    <w:rsid w:val="00041CEC"/>
    <w:rsid w:val="00045088"/>
    <w:rsid w:val="00045A06"/>
    <w:rsid w:val="00050391"/>
    <w:rsid w:val="00050D80"/>
    <w:rsid w:val="00050FC1"/>
    <w:rsid w:val="00055291"/>
    <w:rsid w:val="000557AA"/>
    <w:rsid w:val="000563D3"/>
    <w:rsid w:val="00057E44"/>
    <w:rsid w:val="00061299"/>
    <w:rsid w:val="00070576"/>
    <w:rsid w:val="000752BB"/>
    <w:rsid w:val="00081ADF"/>
    <w:rsid w:val="000848DB"/>
    <w:rsid w:val="00084A02"/>
    <w:rsid w:val="00084BF7"/>
    <w:rsid w:val="00084EBD"/>
    <w:rsid w:val="000870E9"/>
    <w:rsid w:val="000932CF"/>
    <w:rsid w:val="00096ED8"/>
    <w:rsid w:val="000A1A88"/>
    <w:rsid w:val="000A2B5C"/>
    <w:rsid w:val="000A3601"/>
    <w:rsid w:val="000A6FA8"/>
    <w:rsid w:val="000C1070"/>
    <w:rsid w:val="000C4E72"/>
    <w:rsid w:val="000D1E7A"/>
    <w:rsid w:val="000D3CA7"/>
    <w:rsid w:val="000D49F3"/>
    <w:rsid w:val="000D6B0F"/>
    <w:rsid w:val="000E24B1"/>
    <w:rsid w:val="000E2735"/>
    <w:rsid w:val="000E32D6"/>
    <w:rsid w:val="000E4BAC"/>
    <w:rsid w:val="000E4CB0"/>
    <w:rsid w:val="000E5194"/>
    <w:rsid w:val="000E57F2"/>
    <w:rsid w:val="000E72A7"/>
    <w:rsid w:val="000F1162"/>
    <w:rsid w:val="000F3467"/>
    <w:rsid w:val="000F38DE"/>
    <w:rsid w:val="000F532A"/>
    <w:rsid w:val="000F5D6C"/>
    <w:rsid w:val="00106852"/>
    <w:rsid w:val="00110F9D"/>
    <w:rsid w:val="00114A67"/>
    <w:rsid w:val="00122F4E"/>
    <w:rsid w:val="001253B6"/>
    <w:rsid w:val="001262C3"/>
    <w:rsid w:val="00127320"/>
    <w:rsid w:val="00127456"/>
    <w:rsid w:val="001312D8"/>
    <w:rsid w:val="0013137B"/>
    <w:rsid w:val="00145542"/>
    <w:rsid w:val="0015118B"/>
    <w:rsid w:val="001519CE"/>
    <w:rsid w:val="00161CF3"/>
    <w:rsid w:val="00162C00"/>
    <w:rsid w:val="001639EF"/>
    <w:rsid w:val="0016589F"/>
    <w:rsid w:val="001712CF"/>
    <w:rsid w:val="0017769A"/>
    <w:rsid w:val="00183DFC"/>
    <w:rsid w:val="00184384"/>
    <w:rsid w:val="00186717"/>
    <w:rsid w:val="00187FFC"/>
    <w:rsid w:val="0019391C"/>
    <w:rsid w:val="00194268"/>
    <w:rsid w:val="001A2018"/>
    <w:rsid w:val="001B074A"/>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1F08C4"/>
    <w:rsid w:val="002003A2"/>
    <w:rsid w:val="0020309E"/>
    <w:rsid w:val="00210B58"/>
    <w:rsid w:val="002138E1"/>
    <w:rsid w:val="00222423"/>
    <w:rsid w:val="00225B28"/>
    <w:rsid w:val="00226891"/>
    <w:rsid w:val="00230D9B"/>
    <w:rsid w:val="002313AC"/>
    <w:rsid w:val="00235FB2"/>
    <w:rsid w:val="00237BC1"/>
    <w:rsid w:val="002430B4"/>
    <w:rsid w:val="002447D0"/>
    <w:rsid w:val="002454C5"/>
    <w:rsid w:val="00245E19"/>
    <w:rsid w:val="00246AEB"/>
    <w:rsid w:val="00250005"/>
    <w:rsid w:val="0025254F"/>
    <w:rsid w:val="0025566D"/>
    <w:rsid w:val="0025595C"/>
    <w:rsid w:val="00257149"/>
    <w:rsid w:val="002576E7"/>
    <w:rsid w:val="00260357"/>
    <w:rsid w:val="002637D1"/>
    <w:rsid w:val="002643EA"/>
    <w:rsid w:val="00264F04"/>
    <w:rsid w:val="00267554"/>
    <w:rsid w:val="00282C19"/>
    <w:rsid w:val="0028338F"/>
    <w:rsid w:val="002915C4"/>
    <w:rsid w:val="00297E6B"/>
    <w:rsid w:val="002A1D1C"/>
    <w:rsid w:val="002A4D64"/>
    <w:rsid w:val="002B4969"/>
    <w:rsid w:val="002B6554"/>
    <w:rsid w:val="002C4AEE"/>
    <w:rsid w:val="002D05F0"/>
    <w:rsid w:val="002D2829"/>
    <w:rsid w:val="002D7D4A"/>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4616"/>
    <w:rsid w:val="00336C36"/>
    <w:rsid w:val="00343815"/>
    <w:rsid w:val="003522BB"/>
    <w:rsid w:val="00352F6C"/>
    <w:rsid w:val="00353CC2"/>
    <w:rsid w:val="003556EA"/>
    <w:rsid w:val="0038154A"/>
    <w:rsid w:val="00386FC7"/>
    <w:rsid w:val="00390A32"/>
    <w:rsid w:val="003A1E91"/>
    <w:rsid w:val="003A40F2"/>
    <w:rsid w:val="003A50D1"/>
    <w:rsid w:val="003B196D"/>
    <w:rsid w:val="003B2710"/>
    <w:rsid w:val="003B341F"/>
    <w:rsid w:val="003B37F8"/>
    <w:rsid w:val="003B4608"/>
    <w:rsid w:val="003B6A5E"/>
    <w:rsid w:val="003C2392"/>
    <w:rsid w:val="003C4C7B"/>
    <w:rsid w:val="003C5174"/>
    <w:rsid w:val="003C5240"/>
    <w:rsid w:val="003C66C6"/>
    <w:rsid w:val="003C6702"/>
    <w:rsid w:val="003C76E6"/>
    <w:rsid w:val="003D14E0"/>
    <w:rsid w:val="003D1EA5"/>
    <w:rsid w:val="003D3348"/>
    <w:rsid w:val="003D4E63"/>
    <w:rsid w:val="003D5FF9"/>
    <w:rsid w:val="003D6822"/>
    <w:rsid w:val="003D724C"/>
    <w:rsid w:val="003E0CE2"/>
    <w:rsid w:val="003F0B1A"/>
    <w:rsid w:val="003F49E4"/>
    <w:rsid w:val="003F4D2F"/>
    <w:rsid w:val="003F5875"/>
    <w:rsid w:val="003F5E32"/>
    <w:rsid w:val="003F75F6"/>
    <w:rsid w:val="00404670"/>
    <w:rsid w:val="0040758C"/>
    <w:rsid w:val="00414CA0"/>
    <w:rsid w:val="00422F54"/>
    <w:rsid w:val="00431516"/>
    <w:rsid w:val="004361B3"/>
    <w:rsid w:val="0044249D"/>
    <w:rsid w:val="0044379F"/>
    <w:rsid w:val="00444FCC"/>
    <w:rsid w:val="00446FB1"/>
    <w:rsid w:val="00452753"/>
    <w:rsid w:val="0046078F"/>
    <w:rsid w:val="00460E94"/>
    <w:rsid w:val="00463214"/>
    <w:rsid w:val="0046434D"/>
    <w:rsid w:val="004656FA"/>
    <w:rsid w:val="00471D77"/>
    <w:rsid w:val="00475587"/>
    <w:rsid w:val="00480BC2"/>
    <w:rsid w:val="004845C3"/>
    <w:rsid w:val="004929C2"/>
    <w:rsid w:val="00493FDD"/>
    <w:rsid w:val="0049586B"/>
    <w:rsid w:val="004A3E44"/>
    <w:rsid w:val="004B2018"/>
    <w:rsid w:val="004B2896"/>
    <w:rsid w:val="004B38E9"/>
    <w:rsid w:val="004B3FBA"/>
    <w:rsid w:val="004B6599"/>
    <w:rsid w:val="004C2768"/>
    <w:rsid w:val="004C6CA7"/>
    <w:rsid w:val="004C6CFF"/>
    <w:rsid w:val="004D4357"/>
    <w:rsid w:val="004D4950"/>
    <w:rsid w:val="004D56DC"/>
    <w:rsid w:val="004E2393"/>
    <w:rsid w:val="004E3745"/>
    <w:rsid w:val="004E42BE"/>
    <w:rsid w:val="004E4F42"/>
    <w:rsid w:val="004E63D5"/>
    <w:rsid w:val="004F02BF"/>
    <w:rsid w:val="004F03FD"/>
    <w:rsid w:val="004F52F0"/>
    <w:rsid w:val="004F6250"/>
    <w:rsid w:val="004F677C"/>
    <w:rsid w:val="004F6D8F"/>
    <w:rsid w:val="00505503"/>
    <w:rsid w:val="0051107B"/>
    <w:rsid w:val="00512F9C"/>
    <w:rsid w:val="00527CDB"/>
    <w:rsid w:val="005341C9"/>
    <w:rsid w:val="005369CA"/>
    <w:rsid w:val="00536DE9"/>
    <w:rsid w:val="00541E08"/>
    <w:rsid w:val="00546297"/>
    <w:rsid w:val="0055181E"/>
    <w:rsid w:val="00553703"/>
    <w:rsid w:val="00554FE0"/>
    <w:rsid w:val="0055789A"/>
    <w:rsid w:val="00560952"/>
    <w:rsid w:val="005652D1"/>
    <w:rsid w:val="005660A0"/>
    <w:rsid w:val="00566A4F"/>
    <w:rsid w:val="005677FB"/>
    <w:rsid w:val="00567D64"/>
    <w:rsid w:val="005978D4"/>
    <w:rsid w:val="005A23FA"/>
    <w:rsid w:val="005B09D4"/>
    <w:rsid w:val="005B2A67"/>
    <w:rsid w:val="005B2B73"/>
    <w:rsid w:val="005B2D3A"/>
    <w:rsid w:val="005B3DCD"/>
    <w:rsid w:val="005B4AD4"/>
    <w:rsid w:val="005C2798"/>
    <w:rsid w:val="005C36C3"/>
    <w:rsid w:val="005C56EE"/>
    <w:rsid w:val="005D1714"/>
    <w:rsid w:val="005D7638"/>
    <w:rsid w:val="005F12F5"/>
    <w:rsid w:val="005F7C7D"/>
    <w:rsid w:val="006044B7"/>
    <w:rsid w:val="006071CE"/>
    <w:rsid w:val="006075B5"/>
    <w:rsid w:val="0061018C"/>
    <w:rsid w:val="0061094E"/>
    <w:rsid w:val="00613440"/>
    <w:rsid w:val="00613BE3"/>
    <w:rsid w:val="00616497"/>
    <w:rsid w:val="00621E65"/>
    <w:rsid w:val="0062327B"/>
    <w:rsid w:val="00632777"/>
    <w:rsid w:val="00633750"/>
    <w:rsid w:val="00634491"/>
    <w:rsid w:val="0063679C"/>
    <w:rsid w:val="00637055"/>
    <w:rsid w:val="00641D59"/>
    <w:rsid w:val="00644507"/>
    <w:rsid w:val="00646880"/>
    <w:rsid w:val="00647D2A"/>
    <w:rsid w:val="006537BB"/>
    <w:rsid w:val="0065643E"/>
    <w:rsid w:val="00667E07"/>
    <w:rsid w:val="00671785"/>
    <w:rsid w:val="00672BA9"/>
    <w:rsid w:val="00673005"/>
    <w:rsid w:val="006804BE"/>
    <w:rsid w:val="00682030"/>
    <w:rsid w:val="0068434A"/>
    <w:rsid w:val="0069008E"/>
    <w:rsid w:val="0069087E"/>
    <w:rsid w:val="006925C4"/>
    <w:rsid w:val="00696588"/>
    <w:rsid w:val="006A02B7"/>
    <w:rsid w:val="006A7019"/>
    <w:rsid w:val="006B46D5"/>
    <w:rsid w:val="006B46F4"/>
    <w:rsid w:val="006C7AF3"/>
    <w:rsid w:val="006D0B9D"/>
    <w:rsid w:val="006D6548"/>
    <w:rsid w:val="006E0E20"/>
    <w:rsid w:val="006E4256"/>
    <w:rsid w:val="006E4BBA"/>
    <w:rsid w:val="006E5F43"/>
    <w:rsid w:val="006E60A6"/>
    <w:rsid w:val="006F0F69"/>
    <w:rsid w:val="006F116B"/>
    <w:rsid w:val="006F117F"/>
    <w:rsid w:val="006F13DF"/>
    <w:rsid w:val="006F1DCC"/>
    <w:rsid w:val="006F2780"/>
    <w:rsid w:val="00702F26"/>
    <w:rsid w:val="0070313E"/>
    <w:rsid w:val="00703799"/>
    <w:rsid w:val="00705C5C"/>
    <w:rsid w:val="00711475"/>
    <w:rsid w:val="0072548A"/>
    <w:rsid w:val="007277A6"/>
    <w:rsid w:val="00734E59"/>
    <w:rsid w:val="007437AB"/>
    <w:rsid w:val="00745425"/>
    <w:rsid w:val="007534F8"/>
    <w:rsid w:val="007545AD"/>
    <w:rsid w:val="00763722"/>
    <w:rsid w:val="00764AF9"/>
    <w:rsid w:val="00764BC1"/>
    <w:rsid w:val="00770869"/>
    <w:rsid w:val="0077282F"/>
    <w:rsid w:val="007738AA"/>
    <w:rsid w:val="00780A62"/>
    <w:rsid w:val="00783241"/>
    <w:rsid w:val="00784BDC"/>
    <w:rsid w:val="0078790F"/>
    <w:rsid w:val="00792F28"/>
    <w:rsid w:val="007935CA"/>
    <w:rsid w:val="0079543F"/>
    <w:rsid w:val="00795880"/>
    <w:rsid w:val="007A4367"/>
    <w:rsid w:val="007B0867"/>
    <w:rsid w:val="007B1AC1"/>
    <w:rsid w:val="007B5A08"/>
    <w:rsid w:val="007B693D"/>
    <w:rsid w:val="007C4CDC"/>
    <w:rsid w:val="007C5291"/>
    <w:rsid w:val="007E041B"/>
    <w:rsid w:val="007E199A"/>
    <w:rsid w:val="007E1AED"/>
    <w:rsid w:val="007E2415"/>
    <w:rsid w:val="007E39F3"/>
    <w:rsid w:val="007E405E"/>
    <w:rsid w:val="007E68F4"/>
    <w:rsid w:val="007E6DE2"/>
    <w:rsid w:val="007F31BA"/>
    <w:rsid w:val="007F4078"/>
    <w:rsid w:val="0080014B"/>
    <w:rsid w:val="00801793"/>
    <w:rsid w:val="00803642"/>
    <w:rsid w:val="00806EA2"/>
    <w:rsid w:val="00812A2B"/>
    <w:rsid w:val="00814A4C"/>
    <w:rsid w:val="00831AAB"/>
    <w:rsid w:val="00833BCD"/>
    <w:rsid w:val="00834B82"/>
    <w:rsid w:val="0083544D"/>
    <w:rsid w:val="0083574E"/>
    <w:rsid w:val="0083640C"/>
    <w:rsid w:val="008374E3"/>
    <w:rsid w:val="00840DF5"/>
    <w:rsid w:val="0084157B"/>
    <w:rsid w:val="00842BFB"/>
    <w:rsid w:val="00846B85"/>
    <w:rsid w:val="00847DC3"/>
    <w:rsid w:val="00847F49"/>
    <w:rsid w:val="008535C5"/>
    <w:rsid w:val="00853765"/>
    <w:rsid w:val="0085516F"/>
    <w:rsid w:val="00866626"/>
    <w:rsid w:val="00867186"/>
    <w:rsid w:val="00870AF6"/>
    <w:rsid w:val="00877452"/>
    <w:rsid w:val="00881268"/>
    <w:rsid w:val="0088394A"/>
    <w:rsid w:val="008860BD"/>
    <w:rsid w:val="00887399"/>
    <w:rsid w:val="0088779E"/>
    <w:rsid w:val="008912AF"/>
    <w:rsid w:val="00892114"/>
    <w:rsid w:val="00892CB9"/>
    <w:rsid w:val="008935CB"/>
    <w:rsid w:val="0089360C"/>
    <w:rsid w:val="008B0E7E"/>
    <w:rsid w:val="008B65BD"/>
    <w:rsid w:val="008B7900"/>
    <w:rsid w:val="008C71BF"/>
    <w:rsid w:val="008C7FE0"/>
    <w:rsid w:val="008D5717"/>
    <w:rsid w:val="008E44A9"/>
    <w:rsid w:val="008E50C9"/>
    <w:rsid w:val="008E6656"/>
    <w:rsid w:val="008E6B4D"/>
    <w:rsid w:val="008E6BFF"/>
    <w:rsid w:val="008F21AF"/>
    <w:rsid w:val="008F2400"/>
    <w:rsid w:val="008F5B47"/>
    <w:rsid w:val="008F61BA"/>
    <w:rsid w:val="008F6E3C"/>
    <w:rsid w:val="008F7C55"/>
    <w:rsid w:val="00914A23"/>
    <w:rsid w:val="009173F5"/>
    <w:rsid w:val="00930754"/>
    <w:rsid w:val="00934F68"/>
    <w:rsid w:val="009355AC"/>
    <w:rsid w:val="00935F38"/>
    <w:rsid w:val="00937586"/>
    <w:rsid w:val="00944347"/>
    <w:rsid w:val="00947889"/>
    <w:rsid w:val="009478BD"/>
    <w:rsid w:val="00951A5E"/>
    <w:rsid w:val="00957297"/>
    <w:rsid w:val="00960E98"/>
    <w:rsid w:val="00963A82"/>
    <w:rsid w:val="00972912"/>
    <w:rsid w:val="00976D1F"/>
    <w:rsid w:val="00981C81"/>
    <w:rsid w:val="009A2D24"/>
    <w:rsid w:val="009A456C"/>
    <w:rsid w:val="009B00E0"/>
    <w:rsid w:val="009B292A"/>
    <w:rsid w:val="009B76D5"/>
    <w:rsid w:val="009C165D"/>
    <w:rsid w:val="009C3CEA"/>
    <w:rsid w:val="009C583D"/>
    <w:rsid w:val="009D2611"/>
    <w:rsid w:val="009D79D2"/>
    <w:rsid w:val="009E247C"/>
    <w:rsid w:val="009E31BA"/>
    <w:rsid w:val="009E324F"/>
    <w:rsid w:val="009F0528"/>
    <w:rsid w:val="009F0806"/>
    <w:rsid w:val="009F233B"/>
    <w:rsid w:val="00A05D16"/>
    <w:rsid w:val="00A0659F"/>
    <w:rsid w:val="00A079BA"/>
    <w:rsid w:val="00A14E8C"/>
    <w:rsid w:val="00A20C70"/>
    <w:rsid w:val="00A3322A"/>
    <w:rsid w:val="00A33875"/>
    <w:rsid w:val="00A360A1"/>
    <w:rsid w:val="00A402B3"/>
    <w:rsid w:val="00A42A64"/>
    <w:rsid w:val="00A544B7"/>
    <w:rsid w:val="00A618CF"/>
    <w:rsid w:val="00A62770"/>
    <w:rsid w:val="00A62EEB"/>
    <w:rsid w:val="00A660FF"/>
    <w:rsid w:val="00A73395"/>
    <w:rsid w:val="00A771E3"/>
    <w:rsid w:val="00A82B4C"/>
    <w:rsid w:val="00A93A4C"/>
    <w:rsid w:val="00A94D5D"/>
    <w:rsid w:val="00AA1D9B"/>
    <w:rsid w:val="00AA2543"/>
    <w:rsid w:val="00AA3804"/>
    <w:rsid w:val="00AA55C2"/>
    <w:rsid w:val="00AB0ACA"/>
    <w:rsid w:val="00AB1D41"/>
    <w:rsid w:val="00AB31A2"/>
    <w:rsid w:val="00AC3185"/>
    <w:rsid w:val="00AC5E9A"/>
    <w:rsid w:val="00AC704B"/>
    <w:rsid w:val="00AD553E"/>
    <w:rsid w:val="00AD5848"/>
    <w:rsid w:val="00AE5ADA"/>
    <w:rsid w:val="00AE71F7"/>
    <w:rsid w:val="00AF3F73"/>
    <w:rsid w:val="00AF6145"/>
    <w:rsid w:val="00B01386"/>
    <w:rsid w:val="00B01915"/>
    <w:rsid w:val="00B01BB5"/>
    <w:rsid w:val="00B026CC"/>
    <w:rsid w:val="00B04AF4"/>
    <w:rsid w:val="00B05214"/>
    <w:rsid w:val="00B30D97"/>
    <w:rsid w:val="00B31074"/>
    <w:rsid w:val="00B3181A"/>
    <w:rsid w:val="00B35A7C"/>
    <w:rsid w:val="00B44ECD"/>
    <w:rsid w:val="00B450D1"/>
    <w:rsid w:val="00B524EB"/>
    <w:rsid w:val="00B53D47"/>
    <w:rsid w:val="00B54A25"/>
    <w:rsid w:val="00B618C3"/>
    <w:rsid w:val="00B63652"/>
    <w:rsid w:val="00B668B0"/>
    <w:rsid w:val="00B66990"/>
    <w:rsid w:val="00B70F5C"/>
    <w:rsid w:val="00B71873"/>
    <w:rsid w:val="00B75AE5"/>
    <w:rsid w:val="00B800C0"/>
    <w:rsid w:val="00B8132B"/>
    <w:rsid w:val="00B84C5A"/>
    <w:rsid w:val="00B858F5"/>
    <w:rsid w:val="00B906C0"/>
    <w:rsid w:val="00B93668"/>
    <w:rsid w:val="00BA063F"/>
    <w:rsid w:val="00BA68C6"/>
    <w:rsid w:val="00BB07A7"/>
    <w:rsid w:val="00BB12F1"/>
    <w:rsid w:val="00BB276E"/>
    <w:rsid w:val="00BB3FEE"/>
    <w:rsid w:val="00BB5EB0"/>
    <w:rsid w:val="00BC245A"/>
    <w:rsid w:val="00BD16FA"/>
    <w:rsid w:val="00BD41C3"/>
    <w:rsid w:val="00BD488B"/>
    <w:rsid w:val="00BD7CCC"/>
    <w:rsid w:val="00BE002A"/>
    <w:rsid w:val="00BE0283"/>
    <w:rsid w:val="00BE1BC9"/>
    <w:rsid w:val="00BE5CDA"/>
    <w:rsid w:val="00BE608F"/>
    <w:rsid w:val="00BF23BB"/>
    <w:rsid w:val="00BF33DD"/>
    <w:rsid w:val="00BF5755"/>
    <w:rsid w:val="00BF684B"/>
    <w:rsid w:val="00C016F3"/>
    <w:rsid w:val="00C12D63"/>
    <w:rsid w:val="00C15193"/>
    <w:rsid w:val="00C15402"/>
    <w:rsid w:val="00C15609"/>
    <w:rsid w:val="00C15F6A"/>
    <w:rsid w:val="00C23EA7"/>
    <w:rsid w:val="00C256F3"/>
    <w:rsid w:val="00C270A2"/>
    <w:rsid w:val="00C315B5"/>
    <w:rsid w:val="00C34275"/>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80E86"/>
    <w:rsid w:val="00C83027"/>
    <w:rsid w:val="00C84B8A"/>
    <w:rsid w:val="00C85E65"/>
    <w:rsid w:val="00C87CA1"/>
    <w:rsid w:val="00C911B4"/>
    <w:rsid w:val="00C91B3B"/>
    <w:rsid w:val="00C94262"/>
    <w:rsid w:val="00C976E1"/>
    <w:rsid w:val="00CA148E"/>
    <w:rsid w:val="00CA3A9A"/>
    <w:rsid w:val="00CB1709"/>
    <w:rsid w:val="00CB6BC1"/>
    <w:rsid w:val="00CB7021"/>
    <w:rsid w:val="00CD3294"/>
    <w:rsid w:val="00CD3942"/>
    <w:rsid w:val="00CD4524"/>
    <w:rsid w:val="00CD784D"/>
    <w:rsid w:val="00CF3A1C"/>
    <w:rsid w:val="00CF40F8"/>
    <w:rsid w:val="00D008DA"/>
    <w:rsid w:val="00D0416F"/>
    <w:rsid w:val="00D05851"/>
    <w:rsid w:val="00D10FED"/>
    <w:rsid w:val="00D11736"/>
    <w:rsid w:val="00D12EE8"/>
    <w:rsid w:val="00D14CDF"/>
    <w:rsid w:val="00D15FF1"/>
    <w:rsid w:val="00D167F4"/>
    <w:rsid w:val="00D2092A"/>
    <w:rsid w:val="00D2216D"/>
    <w:rsid w:val="00D24581"/>
    <w:rsid w:val="00D25C91"/>
    <w:rsid w:val="00D31A6F"/>
    <w:rsid w:val="00D353D1"/>
    <w:rsid w:val="00D367DB"/>
    <w:rsid w:val="00D36E05"/>
    <w:rsid w:val="00D44F27"/>
    <w:rsid w:val="00D45304"/>
    <w:rsid w:val="00D46165"/>
    <w:rsid w:val="00D461C7"/>
    <w:rsid w:val="00D50424"/>
    <w:rsid w:val="00D525C9"/>
    <w:rsid w:val="00D56718"/>
    <w:rsid w:val="00D57D3E"/>
    <w:rsid w:val="00D7059B"/>
    <w:rsid w:val="00D76249"/>
    <w:rsid w:val="00DA7D12"/>
    <w:rsid w:val="00DB655C"/>
    <w:rsid w:val="00DC23CF"/>
    <w:rsid w:val="00DC6562"/>
    <w:rsid w:val="00DE130D"/>
    <w:rsid w:val="00DE24CF"/>
    <w:rsid w:val="00DE407C"/>
    <w:rsid w:val="00DE7C7D"/>
    <w:rsid w:val="00DF2992"/>
    <w:rsid w:val="00DF2D0C"/>
    <w:rsid w:val="00DF7477"/>
    <w:rsid w:val="00E00058"/>
    <w:rsid w:val="00E01B9D"/>
    <w:rsid w:val="00E0468F"/>
    <w:rsid w:val="00E04F5E"/>
    <w:rsid w:val="00E0522E"/>
    <w:rsid w:val="00E120F4"/>
    <w:rsid w:val="00E133D7"/>
    <w:rsid w:val="00E17172"/>
    <w:rsid w:val="00E24591"/>
    <w:rsid w:val="00E274D7"/>
    <w:rsid w:val="00E3181C"/>
    <w:rsid w:val="00E3280A"/>
    <w:rsid w:val="00E372AF"/>
    <w:rsid w:val="00E37D68"/>
    <w:rsid w:val="00E40EAE"/>
    <w:rsid w:val="00E436AC"/>
    <w:rsid w:val="00E44F7A"/>
    <w:rsid w:val="00E44FF8"/>
    <w:rsid w:val="00E5066A"/>
    <w:rsid w:val="00E52CF9"/>
    <w:rsid w:val="00E63F34"/>
    <w:rsid w:val="00E63FEA"/>
    <w:rsid w:val="00E6715A"/>
    <w:rsid w:val="00E75DC9"/>
    <w:rsid w:val="00E81610"/>
    <w:rsid w:val="00E84910"/>
    <w:rsid w:val="00E85B28"/>
    <w:rsid w:val="00E911A5"/>
    <w:rsid w:val="00E91976"/>
    <w:rsid w:val="00E947A6"/>
    <w:rsid w:val="00E97FC7"/>
    <w:rsid w:val="00EA0690"/>
    <w:rsid w:val="00EA3956"/>
    <w:rsid w:val="00EA6B96"/>
    <w:rsid w:val="00EA7136"/>
    <w:rsid w:val="00EB325A"/>
    <w:rsid w:val="00EB54DD"/>
    <w:rsid w:val="00EC02A5"/>
    <w:rsid w:val="00EC0A27"/>
    <w:rsid w:val="00EC176B"/>
    <w:rsid w:val="00EC33CD"/>
    <w:rsid w:val="00EC5BE5"/>
    <w:rsid w:val="00ED2650"/>
    <w:rsid w:val="00ED721A"/>
    <w:rsid w:val="00EE393D"/>
    <w:rsid w:val="00EE39D3"/>
    <w:rsid w:val="00EF019A"/>
    <w:rsid w:val="00EF01CF"/>
    <w:rsid w:val="00EF6A47"/>
    <w:rsid w:val="00EF7AF9"/>
    <w:rsid w:val="00F00952"/>
    <w:rsid w:val="00F01495"/>
    <w:rsid w:val="00F10138"/>
    <w:rsid w:val="00F13F92"/>
    <w:rsid w:val="00F22ECA"/>
    <w:rsid w:val="00F240E8"/>
    <w:rsid w:val="00F244FA"/>
    <w:rsid w:val="00F33E5D"/>
    <w:rsid w:val="00F366A2"/>
    <w:rsid w:val="00F41892"/>
    <w:rsid w:val="00F44F43"/>
    <w:rsid w:val="00F450E1"/>
    <w:rsid w:val="00F50DF4"/>
    <w:rsid w:val="00F51A0A"/>
    <w:rsid w:val="00F57AFE"/>
    <w:rsid w:val="00F6278E"/>
    <w:rsid w:val="00F63C41"/>
    <w:rsid w:val="00F63E96"/>
    <w:rsid w:val="00F701E3"/>
    <w:rsid w:val="00F71008"/>
    <w:rsid w:val="00F71F8C"/>
    <w:rsid w:val="00F81F1F"/>
    <w:rsid w:val="00F86AD4"/>
    <w:rsid w:val="00FA0113"/>
    <w:rsid w:val="00FA12B2"/>
    <w:rsid w:val="00FA7610"/>
    <w:rsid w:val="00FB02BD"/>
    <w:rsid w:val="00FB398F"/>
    <w:rsid w:val="00FB4EF8"/>
    <w:rsid w:val="00FB54AE"/>
    <w:rsid w:val="00FB709A"/>
    <w:rsid w:val="00FB78DD"/>
    <w:rsid w:val="00FC3EF3"/>
    <w:rsid w:val="00FC5D35"/>
    <w:rsid w:val="00FC72D8"/>
    <w:rsid w:val="00FD2049"/>
    <w:rsid w:val="00FD2140"/>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AB31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31">
      <w:bodyDiv w:val="1"/>
      <w:marLeft w:val="0"/>
      <w:marRight w:val="0"/>
      <w:marTop w:val="0"/>
      <w:marBottom w:val="0"/>
      <w:divBdr>
        <w:top w:val="none" w:sz="0" w:space="0" w:color="auto"/>
        <w:left w:val="none" w:sz="0" w:space="0" w:color="auto"/>
        <w:bottom w:val="none" w:sz="0" w:space="0" w:color="auto"/>
        <w:right w:val="none" w:sz="0" w:space="0" w:color="auto"/>
      </w:divBdr>
    </w:div>
    <w:div w:id="27723497">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328026110">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03853442">
      <w:bodyDiv w:val="1"/>
      <w:marLeft w:val="0"/>
      <w:marRight w:val="0"/>
      <w:marTop w:val="0"/>
      <w:marBottom w:val="0"/>
      <w:divBdr>
        <w:top w:val="none" w:sz="0" w:space="0" w:color="auto"/>
        <w:left w:val="none" w:sz="0" w:space="0" w:color="auto"/>
        <w:bottom w:val="none" w:sz="0" w:space="0" w:color="auto"/>
        <w:right w:val="none" w:sz="0" w:space="0" w:color="auto"/>
      </w:divBdr>
    </w:div>
    <w:div w:id="607782237">
      <w:bodyDiv w:val="1"/>
      <w:marLeft w:val="0"/>
      <w:marRight w:val="0"/>
      <w:marTop w:val="0"/>
      <w:marBottom w:val="0"/>
      <w:divBdr>
        <w:top w:val="none" w:sz="0" w:space="0" w:color="auto"/>
        <w:left w:val="none" w:sz="0" w:space="0" w:color="auto"/>
        <w:bottom w:val="none" w:sz="0" w:space="0" w:color="auto"/>
        <w:right w:val="none" w:sz="0" w:space="0" w:color="auto"/>
      </w:divBdr>
    </w:div>
    <w:div w:id="610672457">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63123013">
      <w:bodyDiv w:val="1"/>
      <w:marLeft w:val="0"/>
      <w:marRight w:val="0"/>
      <w:marTop w:val="0"/>
      <w:marBottom w:val="0"/>
      <w:divBdr>
        <w:top w:val="none" w:sz="0" w:space="0" w:color="auto"/>
        <w:left w:val="none" w:sz="0" w:space="0" w:color="auto"/>
        <w:bottom w:val="none" w:sz="0" w:space="0" w:color="auto"/>
        <w:right w:val="none" w:sz="0" w:space="0" w:color="auto"/>
      </w:divBdr>
    </w:div>
    <w:div w:id="8105573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9071973">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4202640">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73435587">
      <w:bodyDiv w:val="1"/>
      <w:marLeft w:val="0"/>
      <w:marRight w:val="0"/>
      <w:marTop w:val="0"/>
      <w:marBottom w:val="0"/>
      <w:divBdr>
        <w:top w:val="none" w:sz="0" w:space="0" w:color="auto"/>
        <w:left w:val="none" w:sz="0" w:space="0" w:color="auto"/>
        <w:bottom w:val="none" w:sz="0" w:space="0" w:color="auto"/>
        <w:right w:val="none" w:sz="0" w:space="0" w:color="auto"/>
      </w:divBdr>
    </w:div>
    <w:div w:id="2022655914">
      <w:bodyDiv w:val="1"/>
      <w:marLeft w:val="0"/>
      <w:marRight w:val="0"/>
      <w:marTop w:val="0"/>
      <w:marBottom w:val="0"/>
      <w:divBdr>
        <w:top w:val="none" w:sz="0" w:space="0" w:color="auto"/>
        <w:left w:val="none" w:sz="0" w:space="0" w:color="auto"/>
        <w:bottom w:val="none" w:sz="0" w:space="0" w:color="auto"/>
        <w:right w:val="none" w:sz="0" w:space="0" w:color="auto"/>
      </w:divBdr>
    </w:div>
    <w:div w:id="2025084349">
      <w:bodyDiv w:val="1"/>
      <w:marLeft w:val="0"/>
      <w:marRight w:val="0"/>
      <w:marTop w:val="0"/>
      <w:marBottom w:val="0"/>
      <w:divBdr>
        <w:top w:val="none" w:sz="0" w:space="0" w:color="auto"/>
        <w:left w:val="none" w:sz="0" w:space="0" w:color="auto"/>
        <w:bottom w:val="none" w:sz="0" w:space="0" w:color="auto"/>
        <w:right w:val="none" w:sz="0" w:space="0" w:color="auto"/>
      </w:divBdr>
    </w:div>
    <w:div w:id="2137943463">
      <w:bodyDiv w:val="1"/>
      <w:marLeft w:val="0"/>
      <w:marRight w:val="0"/>
      <w:marTop w:val="0"/>
      <w:marBottom w:val="0"/>
      <w:divBdr>
        <w:top w:val="none" w:sz="0" w:space="0" w:color="auto"/>
        <w:left w:val="none" w:sz="0" w:space="0" w:color="auto"/>
        <w:bottom w:val="none" w:sz="0" w:space="0" w:color="auto"/>
        <w:right w:val="none" w:sz="0" w:space="0" w:color="auto"/>
      </w:divBdr>
    </w:div>
    <w:div w:id="21416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ilidoni@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5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Services__" TargetMode="External"/><Relationship Id="rId4" Type="http://schemas.openxmlformats.org/officeDocument/2006/relationships/settings" Target="settings.xml"/><Relationship Id="rId9" Type="http://schemas.openxmlformats.org/officeDocument/2006/relationships/hyperlink" Target="https://www.cystat.gov.cy/el/SubthemeStatistics?s=5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4104</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Milidoni  Andrie</cp:lastModifiedBy>
  <cp:revision>4</cp:revision>
  <cp:lastPrinted>2023-08-22T08:13:00Z</cp:lastPrinted>
  <dcterms:created xsi:type="dcterms:W3CDTF">2023-08-22T11:04:00Z</dcterms:created>
  <dcterms:modified xsi:type="dcterms:W3CDTF">2023-08-22T11:23:00Z</dcterms:modified>
</cp:coreProperties>
</file>