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B64C7" w14:textId="66C83DC9" w:rsidR="00F33E5D" w:rsidRDefault="00932D28" w:rsidP="00F33E5D">
      <w:pPr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4 Σεπτεμβρίου</w:t>
      </w:r>
      <w:r w:rsidR="002D35C1">
        <w:rPr>
          <w:rFonts w:ascii="Verdana" w:hAnsi="Verdana" w:cs="Arial"/>
          <w:sz w:val="18"/>
          <w:szCs w:val="18"/>
          <w:lang w:val="el-GR"/>
        </w:rPr>
        <w:t>, 2024</w:t>
      </w:r>
    </w:p>
    <w:p w14:paraId="064DCBD7" w14:textId="77777777" w:rsidR="0040758C" w:rsidRPr="00D5140D" w:rsidRDefault="0040758C" w:rsidP="006B196E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C05FDAA" w14:textId="69FF00B5" w:rsidR="00F33E5D" w:rsidRDefault="00F33E5D" w:rsidP="00F33E5D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5CE10E4A" w14:textId="77777777" w:rsidR="00F33E5D" w:rsidRPr="005B2B73" w:rsidRDefault="00F33E5D" w:rsidP="00F33E5D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0EE1B2D" w14:textId="48B2F9BE" w:rsidR="00F33E5D" w:rsidRPr="0007175A" w:rsidRDefault="00F33E5D" w:rsidP="00F33E5D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 w:val="21"/>
          <w:szCs w:val="21"/>
        </w:rPr>
      </w:pPr>
      <w:r w:rsidRPr="00D67EF5">
        <w:rPr>
          <w:rFonts w:ascii="Verdana" w:eastAsia="Malgun Gothic" w:hAnsi="Verdana" w:cs="Arial"/>
          <w:b w:val="0"/>
          <w:sz w:val="21"/>
          <w:szCs w:val="21"/>
        </w:rPr>
        <w:t xml:space="preserve">ΔΕΙΚΤΗΣ ΚΥΚΛΟΥ ΕΡΓΑΣΙΩΝ ΣΤΙΣ ΜΕΤΑΦΟΡΕΣ ΚΑΙ ΑΠΟΘΗΚΕΥΣΗ: </w:t>
      </w:r>
      <w:r w:rsidR="00932D28">
        <w:rPr>
          <w:rFonts w:ascii="Verdana" w:eastAsia="Malgun Gothic" w:hAnsi="Verdana" w:cs="Arial"/>
          <w:sz w:val="21"/>
          <w:szCs w:val="21"/>
        </w:rPr>
        <w:t>2</w:t>
      </w:r>
      <w:r w:rsidRPr="00D67EF5">
        <w:rPr>
          <w:rFonts w:ascii="Verdana" w:eastAsia="Malgun Gothic" w:hAnsi="Verdana" w:cs="Arial"/>
          <w:sz w:val="21"/>
          <w:szCs w:val="21"/>
        </w:rPr>
        <w:t>ο ΤΡΙΜΗΝΟ 202</w:t>
      </w:r>
      <w:r w:rsidR="0044389C">
        <w:rPr>
          <w:rFonts w:ascii="Verdana" w:eastAsia="Malgun Gothic" w:hAnsi="Verdana" w:cs="Arial"/>
          <w:sz w:val="21"/>
          <w:szCs w:val="21"/>
        </w:rPr>
        <w:t>4</w:t>
      </w:r>
    </w:p>
    <w:p w14:paraId="09957594" w14:textId="77777777" w:rsidR="00F33E5D" w:rsidRPr="006B196E" w:rsidRDefault="00F33E5D" w:rsidP="00F33E5D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5CC5547" w14:textId="6E87DF02" w:rsidR="00F33E5D" w:rsidRPr="004F03FD" w:rsidRDefault="00F33E5D" w:rsidP="00F33E5D">
      <w:pPr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>Ετήσια Μεταβολή</w:t>
      </w:r>
      <w:r w:rsidRPr="004F03FD">
        <w:rPr>
          <w:rFonts w:ascii="Verdana" w:eastAsia="Malgun Gothic" w:hAnsi="Verdana" w:cs="Arial"/>
          <w:b/>
          <w:lang w:val="el-GR"/>
        </w:rPr>
        <w:t xml:space="preserve"> </w:t>
      </w:r>
      <w:r w:rsidR="00932D28">
        <w:rPr>
          <w:rFonts w:ascii="Verdana" w:eastAsia="Malgun Gothic" w:hAnsi="Verdana" w:cs="Arial"/>
          <w:b/>
          <w:lang w:val="el-GR"/>
        </w:rPr>
        <w:t>+</w:t>
      </w:r>
      <w:r w:rsidR="008E327B" w:rsidRPr="00E06DAF">
        <w:rPr>
          <w:rFonts w:ascii="Verdana" w:eastAsia="Malgun Gothic" w:hAnsi="Verdana" w:cs="Arial"/>
          <w:b/>
          <w:lang w:val="el-GR"/>
        </w:rPr>
        <w:t>1,</w:t>
      </w:r>
      <w:r w:rsidR="00141725">
        <w:rPr>
          <w:rFonts w:ascii="Verdana" w:eastAsia="Malgun Gothic" w:hAnsi="Verdana" w:cs="Arial"/>
          <w:b/>
          <w:lang w:val="el-GR"/>
        </w:rPr>
        <w:t>8</w:t>
      </w:r>
      <w:r>
        <w:rPr>
          <w:rFonts w:ascii="Verdana" w:eastAsia="Malgun Gothic" w:hAnsi="Verdana" w:cs="Arial"/>
          <w:b/>
          <w:lang w:val="el-GR"/>
        </w:rPr>
        <w:t>%</w:t>
      </w:r>
    </w:p>
    <w:p w14:paraId="4AF06C91" w14:textId="77777777" w:rsidR="00F33E5D" w:rsidRPr="006B196E" w:rsidRDefault="00F33E5D" w:rsidP="00F33E5D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ADC774" w14:textId="40CDBB35" w:rsidR="00B23D3C" w:rsidRPr="00B23D3C" w:rsidRDefault="00B23D3C" w:rsidP="00B23D3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B23D3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 Δείκτης Κύκλου Εργασιών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Pr="00B23D3C">
        <w:rPr>
          <w:rFonts w:ascii="Verdana" w:hAnsi="Verdana"/>
          <w:sz w:val="18"/>
          <w:szCs w:val="18"/>
          <w:shd w:val="clear" w:color="auto" w:fill="FFFFFF"/>
          <w:lang w:val="el-GR"/>
        </w:rPr>
        <w:t>Μεταφορ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ές</w:t>
      </w:r>
      <w:r w:rsidRPr="00B23D3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Αποθήκευση κατά το </w:t>
      </w:r>
      <w:r w:rsidR="00932D28">
        <w:rPr>
          <w:rFonts w:ascii="Verdana" w:hAnsi="Verdana"/>
          <w:sz w:val="18"/>
          <w:szCs w:val="18"/>
          <w:shd w:val="clear" w:color="auto" w:fill="FFFFFF"/>
          <w:lang w:val="el-GR"/>
        </w:rPr>
        <w:t>δεύτερο</w:t>
      </w:r>
      <w:r w:rsidRPr="00B23D3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τρίμηνο του 2024 έφτασε τις </w:t>
      </w:r>
      <w:r w:rsidR="00932D28">
        <w:rPr>
          <w:rFonts w:ascii="Verdana" w:hAnsi="Verdana"/>
          <w:sz w:val="18"/>
          <w:szCs w:val="18"/>
          <w:shd w:val="clear" w:color="auto" w:fill="FFFFFF"/>
          <w:lang w:val="el-GR"/>
        </w:rPr>
        <w:t>139,</w:t>
      </w:r>
      <w:r w:rsidR="00060C5A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B23D3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μονάδες (έτος βάσης 2021=100), σημειώνοντας </w:t>
      </w:r>
      <w:r w:rsidR="00932D28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B23D3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1,</w:t>
      </w:r>
      <w:r w:rsidR="00060C5A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Pr="00B23D3C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 αντίστοιχο τρίμηνο του προηγούμενου έτους.</w:t>
      </w:r>
    </w:p>
    <w:p w14:paraId="58E2A311" w14:textId="77777777" w:rsidR="008E327B" w:rsidRPr="00E06DAF" w:rsidRDefault="008E327B" w:rsidP="009D0E2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79669C6" w14:textId="5D0096AF" w:rsidR="009D0E2E" w:rsidRDefault="008E327B" w:rsidP="00932D28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οικονομική δραστηριότητα, αυξήσεις σε σχέση με το </w:t>
      </w:r>
      <w:r w:rsidR="00932D28">
        <w:rPr>
          <w:rFonts w:ascii="Verdana" w:hAnsi="Verdana"/>
          <w:sz w:val="18"/>
          <w:szCs w:val="18"/>
          <w:shd w:val="clear" w:color="auto" w:fill="FFFFFF"/>
          <w:lang w:val="el-GR"/>
        </w:rPr>
        <w:t>δεύτερο</w:t>
      </w:r>
      <w:r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τρίμηνο του προηγούμενου έτους σημειώθηκαν στις </w:t>
      </w:r>
      <w:r w:rsidR="00060C5A"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>χερσαίες μεταφορές</w:t>
      </w:r>
      <w:r w:rsidR="00060C5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(6,7</w:t>
      </w:r>
      <w:r w:rsidR="00060C5A"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="00060C5A">
        <w:rPr>
          <w:rFonts w:ascii="Verdana" w:hAnsi="Verdana"/>
          <w:sz w:val="18"/>
          <w:szCs w:val="18"/>
          <w:shd w:val="clear" w:color="auto" w:fill="FFFFFF"/>
          <w:lang w:val="el-GR"/>
        </w:rPr>
        <w:t>)</w:t>
      </w:r>
      <w:r w:rsidR="00060C5A"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στις </w:t>
      </w:r>
      <w:r w:rsidR="00932D28">
        <w:rPr>
          <w:rFonts w:ascii="Verdana" w:hAnsi="Verdana"/>
          <w:sz w:val="18"/>
          <w:szCs w:val="18"/>
          <w:shd w:val="clear" w:color="auto" w:fill="FFFFFF"/>
          <w:lang w:val="el-GR"/>
        </w:rPr>
        <w:t>πλωτές</w:t>
      </w:r>
      <w:r w:rsidR="00932D28"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μεταφορές </w:t>
      </w:r>
      <w:r w:rsidR="00932D28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060C5A">
        <w:rPr>
          <w:rFonts w:ascii="Verdana" w:hAnsi="Verdana"/>
          <w:sz w:val="18"/>
          <w:szCs w:val="18"/>
          <w:shd w:val="clear" w:color="auto" w:fill="FFFFFF"/>
          <w:lang w:val="el-GR"/>
        </w:rPr>
        <w:t>6,4</w:t>
      </w:r>
      <w:r w:rsidR="00932D2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%), στις </w:t>
      </w:r>
      <w:r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>ταχυδρομικές και ταχυμεταφορ</w:t>
      </w:r>
      <w:r w:rsidR="00315D93">
        <w:rPr>
          <w:rFonts w:ascii="Verdana" w:hAnsi="Verdana"/>
          <w:sz w:val="18"/>
          <w:szCs w:val="18"/>
          <w:shd w:val="clear" w:color="auto" w:fill="FFFFFF"/>
          <w:lang w:val="el-GR"/>
        </w:rPr>
        <w:t>ικές δραστηριότητες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F058B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932D28">
        <w:rPr>
          <w:rFonts w:ascii="Verdana" w:hAnsi="Verdana"/>
          <w:sz w:val="18"/>
          <w:szCs w:val="18"/>
          <w:shd w:val="clear" w:color="auto" w:fill="FFFFFF"/>
          <w:lang w:val="el-GR"/>
        </w:rPr>
        <w:t>3,7</w:t>
      </w:r>
      <w:r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="00FF058B">
        <w:rPr>
          <w:rFonts w:ascii="Verdana" w:hAnsi="Verdana"/>
          <w:sz w:val="18"/>
          <w:szCs w:val="18"/>
          <w:shd w:val="clear" w:color="auto" w:fill="FFFFFF"/>
          <w:lang w:val="el-GR"/>
        </w:rPr>
        <w:t>)</w:t>
      </w:r>
      <w:r w:rsidR="00A62172">
        <w:rPr>
          <w:rFonts w:ascii="Verdana" w:hAnsi="Verdana"/>
          <w:sz w:val="18"/>
          <w:szCs w:val="18"/>
          <w:shd w:val="clear" w:color="auto" w:fill="FFFFFF"/>
          <w:lang w:val="el-GR"/>
        </w:rPr>
        <w:t>, στις</w:t>
      </w:r>
      <w:r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32D28"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>αεροπορικές μεταφορές</w:t>
      </w:r>
      <w:r w:rsidR="00932D2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A62172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932D28">
        <w:rPr>
          <w:rFonts w:ascii="Verdana" w:hAnsi="Verdana"/>
          <w:sz w:val="18"/>
          <w:szCs w:val="18"/>
          <w:shd w:val="clear" w:color="auto" w:fill="FFFFFF"/>
          <w:lang w:val="el-GR"/>
        </w:rPr>
        <w:t>2,2</w:t>
      </w:r>
      <w:r w:rsidR="00932D28"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="00932D28">
        <w:rPr>
          <w:rFonts w:ascii="Verdana" w:hAnsi="Verdana"/>
          <w:sz w:val="18"/>
          <w:szCs w:val="18"/>
          <w:shd w:val="clear" w:color="auto" w:fill="FFFFFF"/>
          <w:lang w:val="el-GR"/>
        </w:rPr>
        <w:t>)</w:t>
      </w:r>
      <w:r w:rsidR="00A6217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στην </w:t>
      </w:r>
      <w:r w:rsidR="00A62172" w:rsidRPr="002138E1">
        <w:rPr>
          <w:rFonts w:ascii="Verdana" w:hAnsi="Verdana" w:cs="Arial"/>
          <w:sz w:val="18"/>
          <w:szCs w:val="18"/>
          <w:lang w:val="el-GR"/>
        </w:rPr>
        <w:t>αποθήκευση και τις υποστηρικτικές προς τη μεταφορά δραστηριότητες</w:t>
      </w:r>
      <w:r w:rsidR="00A62172">
        <w:rPr>
          <w:rFonts w:ascii="Verdana" w:hAnsi="Verdana" w:cs="Arial"/>
          <w:sz w:val="18"/>
          <w:szCs w:val="18"/>
          <w:lang w:val="el-GR"/>
        </w:rPr>
        <w:t xml:space="preserve"> (1,1%)</w:t>
      </w:r>
      <w:r w:rsidR="00932D2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</w:p>
    <w:p w14:paraId="4D2FE31A" w14:textId="77777777" w:rsidR="00A62172" w:rsidRDefault="00A62172" w:rsidP="00932D28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D6B3E8D" w14:textId="0F9836C4" w:rsidR="00A62172" w:rsidRDefault="00A62172" w:rsidP="00932D28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138E1">
        <w:rPr>
          <w:rFonts w:ascii="Verdana" w:hAnsi="Verdana" w:cs="Arial"/>
          <w:sz w:val="18"/>
          <w:szCs w:val="18"/>
          <w:lang w:val="el-GR"/>
        </w:rPr>
        <w:t>Κατά την περίοδο Ιανουαρίου-</w:t>
      </w:r>
      <w:r>
        <w:rPr>
          <w:rFonts w:ascii="Verdana" w:hAnsi="Verdana" w:cs="Arial"/>
          <w:sz w:val="18"/>
          <w:szCs w:val="18"/>
          <w:lang w:val="el-GR"/>
        </w:rPr>
        <w:t>Ιουνίου</w:t>
      </w:r>
      <w:r w:rsidRPr="002138E1">
        <w:rPr>
          <w:rFonts w:ascii="Verdana" w:hAnsi="Verdana" w:cs="Arial"/>
          <w:sz w:val="18"/>
          <w:szCs w:val="18"/>
          <w:lang w:val="el-GR"/>
        </w:rPr>
        <w:t xml:space="preserve"> 202</w:t>
      </w:r>
      <w:r>
        <w:rPr>
          <w:rFonts w:ascii="Verdana" w:hAnsi="Verdana" w:cs="Arial"/>
          <w:sz w:val="18"/>
          <w:szCs w:val="18"/>
          <w:lang w:val="el-GR"/>
        </w:rPr>
        <w:t>4</w:t>
      </w:r>
      <w:r w:rsidRPr="002138E1">
        <w:rPr>
          <w:rFonts w:ascii="Verdana" w:hAnsi="Verdana" w:cs="Arial"/>
          <w:sz w:val="18"/>
          <w:szCs w:val="18"/>
          <w:lang w:val="el-GR"/>
        </w:rPr>
        <w:t xml:space="preserve">, ο Δείκτης Κύκλου Εργασιών στις Μεταφορές και Αποθήκευση σημείωσε αύξηση της τάξης του </w:t>
      </w:r>
      <w:r>
        <w:rPr>
          <w:rFonts w:ascii="Verdana" w:hAnsi="Verdana" w:cs="Arial"/>
          <w:sz w:val="18"/>
          <w:szCs w:val="18"/>
          <w:lang w:val="el-GR"/>
        </w:rPr>
        <w:t>1,</w:t>
      </w:r>
      <w:r w:rsidR="00B41C4D" w:rsidRPr="00B41C4D">
        <w:rPr>
          <w:rFonts w:ascii="Verdana" w:hAnsi="Verdana" w:cs="Arial"/>
          <w:sz w:val="18"/>
          <w:szCs w:val="18"/>
          <w:lang w:val="el-GR"/>
        </w:rPr>
        <w:t>2</w:t>
      </w:r>
      <w:r w:rsidRPr="002138E1">
        <w:rPr>
          <w:rFonts w:ascii="Verdana" w:hAnsi="Verdana" w:cs="Arial"/>
          <w:sz w:val="18"/>
          <w:szCs w:val="18"/>
          <w:lang w:val="el-GR"/>
        </w:rPr>
        <w:t>% σε σύγκριση με την αντίστοιχη περίοδο του 202</w:t>
      </w:r>
      <w:r>
        <w:rPr>
          <w:rFonts w:ascii="Verdana" w:hAnsi="Verdana" w:cs="Arial"/>
          <w:sz w:val="18"/>
          <w:szCs w:val="18"/>
          <w:lang w:val="el-GR"/>
        </w:rPr>
        <w:t>3</w:t>
      </w:r>
      <w:r w:rsidRPr="002138E1">
        <w:rPr>
          <w:rFonts w:ascii="Verdana" w:hAnsi="Verdana" w:cs="Arial"/>
          <w:sz w:val="18"/>
          <w:szCs w:val="18"/>
          <w:lang w:val="el-GR"/>
        </w:rPr>
        <w:t>.</w:t>
      </w:r>
    </w:p>
    <w:p w14:paraId="21F8F2C7" w14:textId="77777777" w:rsidR="00A62172" w:rsidRPr="00AE5652" w:rsidRDefault="00A62172" w:rsidP="00932D28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31C00FA" w14:textId="047C0DCF" w:rsidR="008E327B" w:rsidRPr="00A62172" w:rsidRDefault="00141725" w:rsidP="003D780B">
      <w:pPr>
        <w:rPr>
          <w:rFonts w:ascii="Verdana" w:hAnsi="Verdana"/>
          <w:noProof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color w:val="2F5496" w:themeColor="accent1" w:themeShade="BF"/>
          <w:sz w:val="16"/>
          <w:szCs w:val="16"/>
          <w:lang w:val="el-GR"/>
        </w:rPr>
        <w:drawing>
          <wp:inline distT="0" distB="0" distL="0" distR="0" wp14:anchorId="7E458501" wp14:editId="68BBB783">
            <wp:extent cx="6084570" cy="4980940"/>
            <wp:effectExtent l="0" t="0" r="0" b="0"/>
            <wp:docPr id="21129797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498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327B" w:rsidRPr="00E06DAF">
        <w:rPr>
          <w:rFonts w:ascii="Verdana" w:eastAsia="Malgun Gothic" w:hAnsi="Verdana" w:cs="Arial"/>
          <w:color w:val="2F5496" w:themeColor="accent1" w:themeShade="BF"/>
          <w:sz w:val="16"/>
          <w:szCs w:val="16"/>
          <w:lang w:val="el-GR"/>
        </w:rPr>
        <w:t>Σημ.: Στο γράφημα δεν περιλαμβάνεται ο κώδικας NACE 51</w:t>
      </w:r>
      <w:r w:rsidR="00D5140D" w:rsidRPr="00D5140D">
        <w:rPr>
          <w:lang w:val="el-GR"/>
        </w:rPr>
        <w:t xml:space="preserve"> </w:t>
      </w:r>
      <w:r w:rsidR="00D5140D" w:rsidRPr="00D5140D">
        <w:rPr>
          <w:rFonts w:ascii="Verdana" w:eastAsia="Malgun Gothic" w:hAnsi="Verdana" w:cs="Arial"/>
          <w:color w:val="2F5496" w:themeColor="accent1" w:themeShade="BF"/>
          <w:sz w:val="16"/>
          <w:szCs w:val="16"/>
          <w:lang w:val="el-GR"/>
        </w:rPr>
        <w:t xml:space="preserve">Αεροπορικές </w:t>
      </w:r>
      <w:r w:rsidR="00D5140D">
        <w:rPr>
          <w:rFonts w:ascii="Verdana" w:eastAsia="Malgun Gothic" w:hAnsi="Verdana" w:cs="Arial"/>
          <w:color w:val="2F5496" w:themeColor="accent1" w:themeShade="BF"/>
          <w:sz w:val="16"/>
          <w:szCs w:val="16"/>
          <w:lang w:val="el-GR"/>
        </w:rPr>
        <w:t>Μ</w:t>
      </w:r>
      <w:r w:rsidR="00D5140D" w:rsidRPr="00D5140D">
        <w:rPr>
          <w:rFonts w:ascii="Verdana" w:eastAsia="Malgun Gothic" w:hAnsi="Verdana" w:cs="Arial"/>
          <w:color w:val="2F5496" w:themeColor="accent1" w:themeShade="BF"/>
          <w:sz w:val="16"/>
          <w:szCs w:val="16"/>
          <w:lang w:val="el-GR"/>
        </w:rPr>
        <w:t>εταφορές</w:t>
      </w:r>
      <w:r w:rsidR="001F7AA8" w:rsidRPr="001F7AA8">
        <w:rPr>
          <w:rFonts w:ascii="Verdana" w:eastAsia="Malgun Gothic" w:hAnsi="Verdana" w:cs="Arial"/>
          <w:color w:val="2F5496" w:themeColor="accent1" w:themeShade="BF"/>
          <w:sz w:val="16"/>
          <w:szCs w:val="16"/>
          <w:lang w:val="el-GR"/>
        </w:rPr>
        <w:t>.</w:t>
      </w:r>
    </w:p>
    <w:p w14:paraId="2C7A8758" w14:textId="77777777" w:rsidR="00953C66" w:rsidRDefault="00953C66" w:rsidP="00F41892">
      <w:pPr>
        <w:ind w:left="-142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3308"/>
        <w:gridCol w:w="1275"/>
        <w:gridCol w:w="1276"/>
        <w:gridCol w:w="284"/>
        <w:gridCol w:w="1559"/>
        <w:gridCol w:w="1491"/>
      </w:tblGrid>
      <w:tr w:rsidR="00FF058B" w:rsidRPr="003D780B" w14:paraId="106C38A4" w14:textId="77777777" w:rsidTr="0099602A">
        <w:trPr>
          <w:trHeight w:val="170"/>
          <w:jc w:val="center"/>
        </w:trPr>
        <w:tc>
          <w:tcPr>
            <w:tcW w:w="10280" w:type="dxa"/>
            <w:gridSpan w:val="7"/>
            <w:tcBorders>
              <w:bottom w:val="single" w:sz="8" w:space="0" w:color="365F91"/>
            </w:tcBorders>
            <w:vAlign w:val="center"/>
          </w:tcPr>
          <w:p w14:paraId="33604CBA" w14:textId="77777777" w:rsidR="00FF058B" w:rsidRPr="003D780B" w:rsidRDefault="00FF058B" w:rsidP="0099602A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Πίνακας 1</w:t>
            </w:r>
          </w:p>
        </w:tc>
      </w:tr>
      <w:tr w:rsidR="00FF058B" w:rsidRPr="003D780B" w14:paraId="574AAA63" w14:textId="77777777" w:rsidTr="009C2A46">
        <w:trPr>
          <w:trHeight w:val="680"/>
          <w:jc w:val="center"/>
        </w:trPr>
        <w:tc>
          <w:tcPr>
            <w:tcW w:w="1087" w:type="dxa"/>
            <w:vMerge w:val="restart"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22C5A07B" w14:textId="77777777" w:rsidR="00FF058B" w:rsidRPr="003D780B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  <w:p w14:paraId="12AA4B4E" w14:textId="77777777" w:rsidR="00FF058B" w:rsidRPr="003D780B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3D780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Κώδικας NACE Αναθ. 2</w:t>
            </w:r>
          </w:p>
          <w:p w14:paraId="2A17A0CA" w14:textId="77777777" w:rsidR="00FF058B" w:rsidRPr="003D780B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308" w:type="dxa"/>
            <w:vMerge w:val="restart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67803AB9" w14:textId="4D40E32C" w:rsidR="00FF058B" w:rsidRPr="003D780B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Οικονομική Δραστηριότητα</w:t>
            </w:r>
          </w:p>
        </w:tc>
        <w:tc>
          <w:tcPr>
            <w:tcW w:w="2551" w:type="dxa"/>
            <w:gridSpan w:val="2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3D59C724" w14:textId="77777777" w:rsidR="00FF058B" w:rsidRPr="003D780B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Δείκτης Κύκλου Εργασιών</w:t>
            </w:r>
          </w:p>
          <w:p w14:paraId="38397430" w14:textId="77777777" w:rsidR="00FF058B" w:rsidRPr="003D780B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(2021=100)</w:t>
            </w:r>
          </w:p>
        </w:tc>
        <w:tc>
          <w:tcPr>
            <w:tcW w:w="284" w:type="dxa"/>
            <w:tcBorders>
              <w:top w:val="single" w:sz="8" w:space="0" w:color="365F91"/>
            </w:tcBorders>
            <w:vAlign w:val="center"/>
          </w:tcPr>
          <w:p w14:paraId="0F2B338D" w14:textId="77777777" w:rsidR="00FF058B" w:rsidRPr="003D780B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050" w:type="dxa"/>
            <w:gridSpan w:val="2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07656119" w14:textId="77777777" w:rsidR="00FF058B" w:rsidRPr="003D780B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3D780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FF058B" w:rsidRPr="003D780B" w14:paraId="20D0E54F" w14:textId="77777777" w:rsidTr="009C2A46">
        <w:trPr>
          <w:trHeight w:val="624"/>
          <w:jc w:val="center"/>
        </w:trPr>
        <w:tc>
          <w:tcPr>
            <w:tcW w:w="1087" w:type="dxa"/>
            <w:vMerge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66777B8B" w14:textId="77777777" w:rsidR="00FF058B" w:rsidRPr="003D780B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3308" w:type="dxa"/>
            <w:vMerge/>
            <w:tcBorders>
              <w:top w:val="single" w:sz="8" w:space="0" w:color="365F91"/>
              <w:bottom w:val="single" w:sz="8" w:space="0" w:color="365F91"/>
            </w:tcBorders>
            <w:vAlign w:val="center"/>
            <w:hideMark/>
          </w:tcPr>
          <w:p w14:paraId="10CB6CB3" w14:textId="77777777" w:rsidR="00FF058B" w:rsidRPr="003D780B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6715C366" w14:textId="3AAB9BF4" w:rsidR="00FF058B" w:rsidRPr="003D780B" w:rsidRDefault="0025212B" w:rsidP="0099602A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 w:rsidRPr="003D780B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Απρ-Ιουν</w:t>
            </w:r>
            <w:r w:rsidR="00FF058B" w:rsidRPr="003D780B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 2023</w:t>
            </w:r>
          </w:p>
        </w:tc>
        <w:tc>
          <w:tcPr>
            <w:tcW w:w="1276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48F61EFC" w14:textId="128D8589" w:rsidR="00FF058B" w:rsidRPr="003D780B" w:rsidRDefault="0025212B" w:rsidP="0099602A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 w:rsidRPr="003D780B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Απρ-Ιουν </w:t>
            </w:r>
            <w:r w:rsidR="00FF058B" w:rsidRPr="003D780B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84" w:type="dxa"/>
            <w:tcBorders>
              <w:bottom w:val="single" w:sz="8" w:space="0" w:color="365F91"/>
            </w:tcBorders>
            <w:vAlign w:val="center"/>
          </w:tcPr>
          <w:p w14:paraId="250F77D9" w14:textId="77777777" w:rsidR="00FF058B" w:rsidRPr="003D780B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5D75928D" w14:textId="2A814CCA" w:rsidR="00FF058B" w:rsidRPr="003D780B" w:rsidRDefault="0025212B" w:rsidP="0099602A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 w:rsidRPr="003D780B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Απρ-Ιουν </w:t>
            </w:r>
            <w:r w:rsidR="00FF058B" w:rsidRPr="003D780B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2024/2023</w:t>
            </w:r>
          </w:p>
        </w:tc>
        <w:tc>
          <w:tcPr>
            <w:tcW w:w="1491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02841972" w14:textId="4E9989CD" w:rsidR="00FF058B" w:rsidRPr="003D780B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 w:rsidRPr="003D780B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Ιαν-</w:t>
            </w:r>
            <w:r w:rsidR="00D929B9" w:rsidRPr="003D780B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Ιουν</w:t>
            </w:r>
            <w:r w:rsidRPr="003D780B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 202</w:t>
            </w:r>
            <w:r w:rsidR="00D929B9" w:rsidRPr="003D780B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4</w:t>
            </w:r>
            <w:r w:rsidRPr="003D780B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/202</w:t>
            </w:r>
            <w:r w:rsidR="00D929B9" w:rsidRPr="003D780B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3</w:t>
            </w:r>
          </w:p>
        </w:tc>
      </w:tr>
      <w:tr w:rsidR="004C627E" w:rsidRPr="003D780B" w14:paraId="4557F25A" w14:textId="77777777" w:rsidTr="00D929B9">
        <w:trPr>
          <w:trHeight w:val="829"/>
          <w:jc w:val="center"/>
        </w:trPr>
        <w:tc>
          <w:tcPr>
            <w:tcW w:w="1087" w:type="dxa"/>
            <w:tcBorders>
              <w:top w:val="single" w:sz="8" w:space="0" w:color="365F91"/>
            </w:tcBorders>
            <w:vAlign w:val="center"/>
          </w:tcPr>
          <w:p w14:paraId="778A4BB9" w14:textId="5E088722" w:rsidR="004C627E" w:rsidRPr="003D780B" w:rsidRDefault="004C627E" w:rsidP="004C627E">
            <w:pPr>
              <w:jc w:val="center"/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</w:pPr>
            <w:r w:rsidRPr="003D780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H</w:t>
            </w:r>
          </w:p>
        </w:tc>
        <w:tc>
          <w:tcPr>
            <w:tcW w:w="3308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0F87F172" w14:textId="08351E63" w:rsidR="004C627E" w:rsidRPr="003D780B" w:rsidRDefault="004C627E" w:rsidP="004C627E">
            <w:pPr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</w:pPr>
            <w:r w:rsidRPr="003D780B">
              <w:rPr>
                <w:rFonts w:ascii="Verdana" w:eastAsia="Times New Roman" w:hAnsi="Verdana" w:cs="Calibri"/>
                <w:b/>
                <w:bCs/>
                <w:color w:val="376092"/>
                <w:sz w:val="18"/>
                <w:szCs w:val="18"/>
                <w:lang w:val="en-CY" w:eastAsia="en-CY" w:bidi="he-IL"/>
              </w:rPr>
              <w:t>Μεταφορές και Αποθήκευση</w:t>
            </w:r>
          </w:p>
        </w:tc>
        <w:tc>
          <w:tcPr>
            <w:tcW w:w="1275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6D4651FE" w14:textId="60C4BB48" w:rsidR="004C627E" w:rsidRPr="003D780B" w:rsidRDefault="00D929B9" w:rsidP="004C627E">
            <w:pPr>
              <w:ind w:right="219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136,9</w:t>
            </w:r>
          </w:p>
        </w:tc>
        <w:tc>
          <w:tcPr>
            <w:tcW w:w="1276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3DC4643A" w14:textId="3803D836" w:rsidR="004C627E" w:rsidRPr="003D780B" w:rsidRDefault="00D929B9" w:rsidP="004C627E">
            <w:pPr>
              <w:ind w:right="219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139,</w:t>
            </w:r>
            <w:r w:rsidR="00060C5A" w:rsidRPr="003D780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284" w:type="dxa"/>
            <w:tcBorders>
              <w:top w:val="single" w:sz="8" w:space="0" w:color="365F91"/>
            </w:tcBorders>
          </w:tcPr>
          <w:p w14:paraId="3245CEBA" w14:textId="77777777" w:rsidR="004C627E" w:rsidRPr="003D780B" w:rsidRDefault="004C627E" w:rsidP="004C627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3B187E40" w14:textId="6005050E" w:rsidR="004C627E" w:rsidRPr="003D780B" w:rsidRDefault="00D929B9" w:rsidP="004C627E">
            <w:pPr>
              <w:ind w:right="576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1,</w:t>
            </w:r>
            <w:r w:rsidR="00060C5A" w:rsidRPr="003D780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8</w:t>
            </w:r>
          </w:p>
        </w:tc>
        <w:tc>
          <w:tcPr>
            <w:tcW w:w="1491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35B03E6F" w14:textId="199F787F" w:rsidR="004C627E" w:rsidRPr="003D780B" w:rsidRDefault="00932D28" w:rsidP="004C627E">
            <w:pPr>
              <w:ind w:right="576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3D780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1,</w:t>
            </w:r>
            <w:r w:rsidR="00B41C4D" w:rsidRPr="003D780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</w:t>
            </w:r>
          </w:p>
        </w:tc>
      </w:tr>
      <w:tr w:rsidR="004C627E" w:rsidRPr="003D780B" w14:paraId="1FF3ACF5" w14:textId="77777777" w:rsidTr="00D929B9">
        <w:trPr>
          <w:trHeight w:val="600"/>
          <w:jc w:val="center"/>
        </w:trPr>
        <w:tc>
          <w:tcPr>
            <w:tcW w:w="1087" w:type="dxa"/>
            <w:tcBorders>
              <w:top w:val="single" w:sz="8" w:space="0" w:color="365F91"/>
            </w:tcBorders>
            <w:vAlign w:val="center"/>
          </w:tcPr>
          <w:p w14:paraId="08F9D8B4" w14:textId="68EFAAA2" w:rsidR="004C627E" w:rsidRPr="003D780B" w:rsidRDefault="004C627E" w:rsidP="004C627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3D780B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49</w:t>
            </w:r>
          </w:p>
        </w:tc>
        <w:tc>
          <w:tcPr>
            <w:tcW w:w="3308" w:type="dxa"/>
            <w:tcBorders>
              <w:top w:val="single" w:sz="8" w:space="0" w:color="365F91"/>
            </w:tcBorders>
            <w:shd w:val="clear" w:color="auto" w:fill="auto"/>
            <w:vAlign w:val="center"/>
            <w:hideMark/>
          </w:tcPr>
          <w:p w14:paraId="73FB2311" w14:textId="2CC30536" w:rsidR="004C627E" w:rsidRPr="003D780B" w:rsidRDefault="004C627E" w:rsidP="004C627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Χερσαίες μεταφορές και μεταφορές μέσω αγωγών</w:t>
            </w:r>
          </w:p>
        </w:tc>
        <w:tc>
          <w:tcPr>
            <w:tcW w:w="1275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047D2D6E" w14:textId="5BDF040C" w:rsidR="004C627E" w:rsidRPr="003D780B" w:rsidRDefault="00D929B9" w:rsidP="004C627E">
            <w:pPr>
              <w:ind w:right="219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146,5</w:t>
            </w:r>
          </w:p>
        </w:tc>
        <w:tc>
          <w:tcPr>
            <w:tcW w:w="1276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514477F4" w14:textId="4C4FE917" w:rsidR="004C627E" w:rsidRPr="003D780B" w:rsidRDefault="00D929B9" w:rsidP="004C627E">
            <w:pPr>
              <w:ind w:right="219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156,3</w:t>
            </w:r>
          </w:p>
        </w:tc>
        <w:tc>
          <w:tcPr>
            <w:tcW w:w="284" w:type="dxa"/>
            <w:tcBorders>
              <w:top w:val="single" w:sz="8" w:space="0" w:color="365F91"/>
            </w:tcBorders>
          </w:tcPr>
          <w:p w14:paraId="4ABA9ED0" w14:textId="77777777" w:rsidR="004C627E" w:rsidRPr="003D780B" w:rsidRDefault="004C627E" w:rsidP="004C627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746B5CDD" w14:textId="48BFC87F" w:rsidR="004C627E" w:rsidRPr="003D780B" w:rsidRDefault="00D929B9" w:rsidP="004C627E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6,7</w:t>
            </w:r>
          </w:p>
        </w:tc>
        <w:tc>
          <w:tcPr>
            <w:tcW w:w="1491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55D6792E" w14:textId="1D8FB3D8" w:rsidR="004C627E" w:rsidRPr="003D780B" w:rsidRDefault="00B41C4D" w:rsidP="004C627E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</w:rPr>
              <w:t>6,2</w:t>
            </w:r>
          </w:p>
        </w:tc>
      </w:tr>
      <w:tr w:rsidR="004C627E" w:rsidRPr="003D780B" w14:paraId="21707DAD" w14:textId="77777777" w:rsidTr="00D929B9">
        <w:trPr>
          <w:trHeight w:val="514"/>
          <w:jc w:val="center"/>
        </w:trPr>
        <w:tc>
          <w:tcPr>
            <w:tcW w:w="1087" w:type="dxa"/>
            <w:vAlign w:val="center"/>
          </w:tcPr>
          <w:p w14:paraId="623F0546" w14:textId="27080B5F" w:rsidR="004C627E" w:rsidRPr="003D780B" w:rsidRDefault="004C627E" w:rsidP="004C627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3D780B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50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26BA3934" w14:textId="6658CACE" w:rsidR="004C627E" w:rsidRPr="003D780B" w:rsidRDefault="004C627E" w:rsidP="004C627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3D780B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Πλωτές μεταφορές</w:t>
            </w:r>
            <w:r w:rsidRPr="003D780B">
              <w:rPr>
                <w:rFonts w:ascii="Verdana" w:eastAsia="Times New Roman" w:hAnsi="Verdana" w:cs="Calibri"/>
                <w:color w:val="376092"/>
                <w:sz w:val="18"/>
                <w:szCs w:val="18"/>
                <w:lang w:val="el-GR" w:eastAsia="en-CY" w:bidi="he-IL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315383" w14:textId="5E756F97" w:rsidR="004C627E" w:rsidRPr="003D780B" w:rsidRDefault="00D929B9" w:rsidP="004C627E">
            <w:pPr>
              <w:ind w:right="219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159,</w:t>
            </w:r>
            <w:r w:rsidR="00F8478F" w:rsidRPr="003D780B"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D9756" w14:textId="6497E997" w:rsidR="004C627E" w:rsidRPr="003D780B" w:rsidRDefault="00060C5A" w:rsidP="004C627E">
            <w:pPr>
              <w:ind w:right="219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169,5</w:t>
            </w:r>
          </w:p>
        </w:tc>
        <w:tc>
          <w:tcPr>
            <w:tcW w:w="284" w:type="dxa"/>
          </w:tcPr>
          <w:p w14:paraId="5D83BAC6" w14:textId="77777777" w:rsidR="004C627E" w:rsidRPr="003D780B" w:rsidRDefault="004C627E" w:rsidP="004C627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A11393" w14:textId="0737D065" w:rsidR="004C627E" w:rsidRPr="003D780B" w:rsidRDefault="00060C5A" w:rsidP="004C627E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6,4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B78B97B" w14:textId="07B44F33" w:rsidR="004C627E" w:rsidRPr="003D780B" w:rsidRDefault="00B41C4D" w:rsidP="004C627E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</w:rPr>
              <w:t>7</w:t>
            </w:r>
            <w:r w:rsidR="00060C5A"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,2</w:t>
            </w:r>
          </w:p>
        </w:tc>
      </w:tr>
      <w:tr w:rsidR="004C627E" w:rsidRPr="003D780B" w14:paraId="3668D433" w14:textId="77777777" w:rsidTr="00D929B9">
        <w:trPr>
          <w:trHeight w:val="794"/>
          <w:jc w:val="center"/>
        </w:trPr>
        <w:tc>
          <w:tcPr>
            <w:tcW w:w="1087" w:type="dxa"/>
            <w:vAlign w:val="center"/>
          </w:tcPr>
          <w:p w14:paraId="73920F17" w14:textId="3EC5677F" w:rsidR="004C627E" w:rsidRPr="003D780B" w:rsidRDefault="004C627E" w:rsidP="004C627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3D780B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51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4559DCDE" w14:textId="1AB79C67" w:rsidR="004C627E" w:rsidRPr="003D780B" w:rsidRDefault="004C627E" w:rsidP="004C627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Αεροπορικές μεταφορές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7AFFB3" w14:textId="0BB72FA9" w:rsidR="004C627E" w:rsidRPr="003D780B" w:rsidRDefault="00D929B9" w:rsidP="004C627E">
            <w:pPr>
              <w:ind w:right="219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806,8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041B5" w14:textId="034515AD" w:rsidR="004C627E" w:rsidRPr="003D780B" w:rsidRDefault="00D929B9" w:rsidP="004C627E">
            <w:pPr>
              <w:ind w:right="219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824,8</w:t>
            </w:r>
          </w:p>
        </w:tc>
        <w:tc>
          <w:tcPr>
            <w:tcW w:w="284" w:type="dxa"/>
          </w:tcPr>
          <w:p w14:paraId="44D581C3" w14:textId="77777777" w:rsidR="004C627E" w:rsidRPr="003D780B" w:rsidRDefault="004C627E" w:rsidP="004C627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DFFAD8" w14:textId="27BC74FC" w:rsidR="004C627E" w:rsidRPr="003D780B" w:rsidRDefault="00D929B9" w:rsidP="004C627E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2,2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24A7049D" w14:textId="5D17300E" w:rsidR="004C627E" w:rsidRPr="003D780B" w:rsidRDefault="00D929B9" w:rsidP="004C627E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</w:t>
            </w:r>
            <w:r w:rsidR="00B41C4D" w:rsidRPr="003D780B"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  <w:r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="00B41C4D" w:rsidRPr="003D780B"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</w:p>
        </w:tc>
      </w:tr>
      <w:tr w:rsidR="004C627E" w:rsidRPr="003D780B" w14:paraId="60319131" w14:textId="77777777" w:rsidTr="00D929B9">
        <w:trPr>
          <w:trHeight w:val="794"/>
          <w:jc w:val="center"/>
        </w:trPr>
        <w:tc>
          <w:tcPr>
            <w:tcW w:w="1087" w:type="dxa"/>
            <w:vAlign w:val="center"/>
          </w:tcPr>
          <w:p w14:paraId="6EA18835" w14:textId="0DF6FE5C" w:rsidR="004C627E" w:rsidRPr="003D780B" w:rsidRDefault="004C627E" w:rsidP="004C627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3D780B">
              <w:rPr>
                <w:rFonts w:ascii="Verdana" w:eastAsia="Times New Roman" w:hAnsi="Verdana" w:cs="Calibri"/>
                <w:color w:val="376092"/>
                <w:sz w:val="18"/>
                <w:szCs w:val="18"/>
                <w:lang w:val="el-GR" w:eastAsia="en-CY" w:bidi="he-IL"/>
              </w:rPr>
              <w:t>52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45F357BC" w14:textId="11CE0A91" w:rsidR="004C627E" w:rsidRPr="003D780B" w:rsidRDefault="004C627E" w:rsidP="004C627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eastAsia="Times New Roman" w:hAnsi="Verdana" w:cs="Calibri"/>
                <w:color w:val="376092"/>
                <w:sz w:val="18"/>
                <w:szCs w:val="18"/>
                <w:lang w:val="el-GR" w:eastAsia="en-CY" w:bidi="he-IL"/>
              </w:rPr>
              <w:t>Αποθήκευση και υποστηρικτικές δραστηριότητες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799227" w14:textId="214DBD32" w:rsidR="004C627E" w:rsidRPr="003D780B" w:rsidRDefault="00D929B9" w:rsidP="004C627E">
            <w:pPr>
              <w:ind w:right="219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132,</w:t>
            </w:r>
            <w:r w:rsidR="00C70F61"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E8A741" w14:textId="711BF2CA" w:rsidR="004C627E" w:rsidRPr="003D780B" w:rsidRDefault="00D929B9" w:rsidP="004C627E">
            <w:pPr>
              <w:ind w:right="219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133,8</w:t>
            </w:r>
          </w:p>
        </w:tc>
        <w:tc>
          <w:tcPr>
            <w:tcW w:w="284" w:type="dxa"/>
          </w:tcPr>
          <w:p w14:paraId="3D652E39" w14:textId="77777777" w:rsidR="004C627E" w:rsidRPr="003D780B" w:rsidRDefault="004C627E" w:rsidP="004C627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AB10BA" w14:textId="4F4D5F5D" w:rsidR="004C627E" w:rsidRPr="003D780B" w:rsidRDefault="00D929B9" w:rsidP="004C627E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1,1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6ADAF79" w14:textId="75BF39DA" w:rsidR="004C627E" w:rsidRPr="003D780B" w:rsidRDefault="00932D28" w:rsidP="004C627E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0,6</w:t>
            </w:r>
          </w:p>
        </w:tc>
      </w:tr>
      <w:tr w:rsidR="004C627E" w:rsidRPr="003D780B" w14:paraId="223A6C41" w14:textId="77777777" w:rsidTr="00D929B9">
        <w:trPr>
          <w:trHeight w:val="794"/>
          <w:jc w:val="center"/>
        </w:trPr>
        <w:tc>
          <w:tcPr>
            <w:tcW w:w="1087" w:type="dxa"/>
            <w:tcBorders>
              <w:bottom w:val="single" w:sz="8" w:space="0" w:color="365F91"/>
            </w:tcBorders>
            <w:vAlign w:val="center"/>
          </w:tcPr>
          <w:p w14:paraId="689BF5A4" w14:textId="376163EE" w:rsidR="004C627E" w:rsidRPr="003D780B" w:rsidRDefault="004C627E" w:rsidP="004C627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3D780B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l-GR"/>
              </w:rPr>
              <w:t>53</w:t>
            </w:r>
          </w:p>
        </w:tc>
        <w:tc>
          <w:tcPr>
            <w:tcW w:w="3308" w:type="dxa"/>
            <w:tcBorders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422B838C" w14:textId="241E56AA" w:rsidR="004C627E" w:rsidRPr="003D780B" w:rsidRDefault="004C627E" w:rsidP="004C627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3D780B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Ταχυδρομικές και ταχυμεταφορικές δραστηριότητες</w:t>
            </w:r>
          </w:p>
        </w:tc>
        <w:tc>
          <w:tcPr>
            <w:tcW w:w="1275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1A626C13" w14:textId="43C6BCA1" w:rsidR="004C627E" w:rsidRPr="003D780B" w:rsidRDefault="00D929B9" w:rsidP="004C627E">
            <w:pPr>
              <w:ind w:right="219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111,1</w:t>
            </w:r>
          </w:p>
        </w:tc>
        <w:tc>
          <w:tcPr>
            <w:tcW w:w="1276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4CD8E30D" w14:textId="6366F750" w:rsidR="004C627E" w:rsidRPr="003D780B" w:rsidRDefault="00D929B9" w:rsidP="004C627E">
            <w:pPr>
              <w:ind w:right="219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115,2</w:t>
            </w:r>
          </w:p>
        </w:tc>
        <w:tc>
          <w:tcPr>
            <w:tcW w:w="284" w:type="dxa"/>
            <w:tcBorders>
              <w:bottom w:val="single" w:sz="8" w:space="0" w:color="365F91"/>
            </w:tcBorders>
          </w:tcPr>
          <w:p w14:paraId="378B54DF" w14:textId="77777777" w:rsidR="004C627E" w:rsidRPr="003D780B" w:rsidRDefault="004C627E" w:rsidP="004C627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7743BF1B" w14:textId="495913D5" w:rsidR="004C627E" w:rsidRPr="003D780B" w:rsidRDefault="00D929B9" w:rsidP="004C627E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3,7</w:t>
            </w:r>
          </w:p>
        </w:tc>
        <w:tc>
          <w:tcPr>
            <w:tcW w:w="1491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7D0775AD" w14:textId="30FA840F" w:rsidR="004C627E" w:rsidRPr="003D780B" w:rsidRDefault="00932D28" w:rsidP="004C627E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3D780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6,</w:t>
            </w:r>
            <w:r w:rsidR="00B41C4D" w:rsidRPr="003D780B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</w:p>
        </w:tc>
      </w:tr>
    </w:tbl>
    <w:p w14:paraId="5F149FC1" w14:textId="77777777" w:rsidR="00A24540" w:rsidRDefault="00A24540" w:rsidP="00F33E5D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2EFB39C" w14:textId="77777777" w:rsidR="00A24540" w:rsidRDefault="00A24540" w:rsidP="00F33E5D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A80E23" w14:textId="77777777" w:rsidR="00A24540" w:rsidRDefault="00A24540" w:rsidP="00F33E5D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6B7C51" w14:textId="77777777" w:rsidR="00A24540" w:rsidRDefault="00A24540" w:rsidP="00F33E5D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67A6FE6" w14:textId="77777777" w:rsidR="00A24540" w:rsidRDefault="00A24540" w:rsidP="00F33E5D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619F0EA" w14:textId="77777777" w:rsidR="00A24540" w:rsidRDefault="00A24540" w:rsidP="00F33E5D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FF3BE32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F52BEA0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F77E685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C03DB94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B663E8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3C3683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33CF6F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246A6AE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40C681B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53708C1" w14:textId="77777777" w:rsidR="00EE676C" w:rsidRPr="00B23D3C" w:rsidRDefault="00EE676C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92D0FB0" w14:textId="77777777" w:rsidR="00EE676C" w:rsidRPr="00B23D3C" w:rsidRDefault="00EE676C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72E3F1D" w14:textId="77777777" w:rsidR="00EE676C" w:rsidRPr="00B23D3C" w:rsidRDefault="00EE676C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AA3B275" w14:textId="77777777" w:rsidR="00EE676C" w:rsidRPr="00B23D3C" w:rsidRDefault="00EE676C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D0F560A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271FC52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2BA639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F2A21A2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1E23B6B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039C921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88FB2E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913D1CA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E1F3BF2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AED8F4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CD94280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594033A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507DC5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5B42858" w14:textId="77777777" w:rsidR="00A24540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6DB0F00" w14:textId="77777777" w:rsidR="006F3F70" w:rsidRDefault="006F3F7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6F4052F" w14:textId="77777777" w:rsidR="006F3F70" w:rsidRPr="00B23D3C" w:rsidRDefault="006F3F7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FA8A0C9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1BB3D24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52BC94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41C2DCF" w14:textId="77777777" w:rsidR="00A24540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B8ED845" w14:textId="77777777" w:rsidR="003A62E5" w:rsidRDefault="003A62E5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80480E" w14:textId="77777777" w:rsidR="008063F6" w:rsidRPr="00A12E81" w:rsidRDefault="008063F6" w:rsidP="008063F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15591981" w14:textId="77777777" w:rsidR="008063F6" w:rsidRPr="00A12E81" w:rsidRDefault="008063F6" w:rsidP="008063F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2973AB" w14:textId="77777777" w:rsidR="0044389C" w:rsidRPr="00B23D3C" w:rsidRDefault="0044389C" w:rsidP="008063F6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</w:p>
    <w:p w14:paraId="16342A3B" w14:textId="753AC1CB" w:rsidR="008063F6" w:rsidRPr="00A12E81" w:rsidRDefault="008063F6" w:rsidP="008063F6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12E81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Σκοπός</w:t>
      </w:r>
      <w:r w:rsidRPr="00743789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 </w:t>
      </w:r>
      <w:r w:rsidRPr="00A12E81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και </w:t>
      </w:r>
      <w: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12E81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6A44CE08" w14:textId="77777777" w:rsidR="008063F6" w:rsidRPr="00A12E81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</w:p>
    <w:p w14:paraId="6CA0F660" w14:textId="5775D874" w:rsidR="008063F6" w:rsidRPr="00812A29" w:rsidRDefault="009C2A46" w:rsidP="008063F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</w:rPr>
        <w:t>O</w:t>
      </w:r>
      <w:r w:rsidRPr="009C2A46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Δείκτης</w:t>
      </w:r>
      <w:r w:rsidR="008063F6">
        <w:rPr>
          <w:rFonts w:ascii="Verdana" w:hAnsi="Verdana"/>
          <w:sz w:val="18"/>
          <w:szCs w:val="18"/>
          <w:lang w:val="el-GR"/>
        </w:rPr>
        <w:t xml:space="preserve"> </w:t>
      </w:r>
      <w:r w:rsidR="00B23D3C">
        <w:rPr>
          <w:rFonts w:ascii="Verdana" w:hAnsi="Verdana"/>
          <w:sz w:val="18"/>
          <w:szCs w:val="18"/>
          <w:lang w:val="el-GR"/>
        </w:rPr>
        <w:t xml:space="preserve">Αξίας </w:t>
      </w:r>
      <w:r w:rsidR="008063F6" w:rsidRPr="00A12E81">
        <w:rPr>
          <w:rFonts w:ascii="Verdana" w:hAnsi="Verdana"/>
          <w:sz w:val="18"/>
          <w:szCs w:val="18"/>
          <w:shd w:val="clear" w:color="auto" w:fill="FFFFFF"/>
          <w:lang w:val="el-GR"/>
        </w:rPr>
        <w:t>Κύκ</w:t>
      </w:r>
      <w:r w:rsidR="008063F6">
        <w:rPr>
          <w:rFonts w:ascii="Verdana" w:hAnsi="Verdana"/>
          <w:sz w:val="18"/>
          <w:szCs w:val="18"/>
          <w:shd w:val="clear" w:color="auto" w:fill="FFFFFF"/>
          <w:lang w:val="el-GR"/>
        </w:rPr>
        <w:t>λου Εργασιών</w:t>
      </w:r>
      <w:r w:rsidR="008063F6" w:rsidRPr="00812A29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στις Μεταφορές και Αποθήκευση παρακολουθεί</w:t>
      </w:r>
      <w:r w:rsidR="008063F6" w:rsidRPr="00812A29">
        <w:rPr>
          <w:rFonts w:ascii="Verdana" w:hAnsi="Verdana"/>
          <w:sz w:val="18"/>
          <w:szCs w:val="18"/>
          <w:lang w:val="el-GR"/>
        </w:rPr>
        <w:t xml:space="preserve"> τ</w:t>
      </w:r>
      <w:r>
        <w:rPr>
          <w:rFonts w:ascii="Verdana" w:hAnsi="Verdana"/>
          <w:sz w:val="18"/>
          <w:szCs w:val="18"/>
          <w:lang w:val="el-GR"/>
        </w:rPr>
        <w:t>ις</w:t>
      </w:r>
      <w:r w:rsidR="008063F6" w:rsidRPr="00812A29">
        <w:rPr>
          <w:rFonts w:ascii="Verdana" w:hAnsi="Verdana"/>
          <w:sz w:val="18"/>
          <w:szCs w:val="18"/>
          <w:lang w:val="el-GR"/>
        </w:rPr>
        <w:t xml:space="preserve"> βραχυπρόθεσμ</w:t>
      </w:r>
      <w:r>
        <w:rPr>
          <w:rFonts w:ascii="Verdana" w:hAnsi="Verdana"/>
          <w:sz w:val="18"/>
          <w:szCs w:val="18"/>
          <w:lang w:val="el-GR"/>
        </w:rPr>
        <w:t>ες</w:t>
      </w:r>
      <w:r w:rsidR="008063F6" w:rsidRPr="00812A29">
        <w:rPr>
          <w:rFonts w:ascii="Verdana" w:hAnsi="Verdana"/>
          <w:sz w:val="18"/>
          <w:szCs w:val="18"/>
          <w:lang w:val="el-GR"/>
        </w:rPr>
        <w:t xml:space="preserve"> εξελίξε</w:t>
      </w:r>
      <w:r>
        <w:rPr>
          <w:rFonts w:ascii="Verdana" w:hAnsi="Verdana"/>
          <w:sz w:val="18"/>
          <w:szCs w:val="18"/>
          <w:lang w:val="el-GR"/>
        </w:rPr>
        <w:t>ις</w:t>
      </w:r>
      <w:r w:rsidR="008063F6" w:rsidRPr="00812A29">
        <w:rPr>
          <w:rFonts w:ascii="Verdana" w:hAnsi="Verdana"/>
          <w:sz w:val="18"/>
          <w:szCs w:val="18"/>
          <w:lang w:val="el-GR"/>
        </w:rPr>
        <w:t xml:space="preserve"> των δραστηριοτήτων που εμπίπτουν στο</w:t>
      </w:r>
      <w:r w:rsidR="008063F6">
        <w:rPr>
          <w:rFonts w:ascii="Verdana" w:hAnsi="Verdana"/>
          <w:sz w:val="18"/>
          <w:szCs w:val="18"/>
          <w:lang w:val="el-GR"/>
        </w:rPr>
        <w:t>υς</w:t>
      </w:r>
      <w:r w:rsidR="008063F6" w:rsidRPr="00812A29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κ</w:t>
      </w:r>
      <w:r w:rsidR="008063F6" w:rsidRPr="00812A29">
        <w:rPr>
          <w:rFonts w:ascii="Verdana" w:hAnsi="Verdana"/>
          <w:sz w:val="18"/>
          <w:szCs w:val="18"/>
          <w:lang w:val="el-GR"/>
        </w:rPr>
        <w:t>λάδο</w:t>
      </w:r>
      <w:r w:rsidR="008063F6">
        <w:rPr>
          <w:rFonts w:ascii="Verdana" w:hAnsi="Verdana"/>
          <w:sz w:val="18"/>
          <w:szCs w:val="18"/>
          <w:lang w:val="el-GR"/>
        </w:rPr>
        <w:t>υς</w:t>
      </w:r>
      <w:r w:rsidR="008063F6" w:rsidRPr="00812A29">
        <w:rPr>
          <w:rFonts w:ascii="Verdana" w:hAnsi="Verdana"/>
          <w:sz w:val="18"/>
          <w:szCs w:val="18"/>
          <w:lang w:val="el-GR"/>
        </w:rPr>
        <w:t xml:space="preserve"> </w:t>
      </w:r>
      <w:r w:rsidR="008063F6">
        <w:rPr>
          <w:rFonts w:ascii="Verdana" w:hAnsi="Verdana"/>
          <w:sz w:val="18"/>
          <w:szCs w:val="18"/>
          <w:lang w:val="el-GR"/>
        </w:rPr>
        <w:t>49 (</w:t>
      </w:r>
      <w:r>
        <w:rPr>
          <w:rFonts w:ascii="Verdana" w:hAnsi="Verdana"/>
          <w:sz w:val="18"/>
          <w:szCs w:val="18"/>
          <w:lang w:val="el-GR"/>
        </w:rPr>
        <w:t>χ</w:t>
      </w:r>
      <w:r w:rsidR="008063F6" w:rsidRPr="008063F6">
        <w:rPr>
          <w:rFonts w:ascii="Verdana" w:hAnsi="Verdana"/>
          <w:sz w:val="18"/>
          <w:szCs w:val="18"/>
          <w:lang w:val="el-GR"/>
        </w:rPr>
        <w:t>ερσαίες μεταφορές και μεταφορές μέσω αγωγών</w:t>
      </w:r>
      <w:r w:rsidR="008063F6">
        <w:rPr>
          <w:rFonts w:ascii="Verdana" w:hAnsi="Verdana"/>
          <w:sz w:val="18"/>
          <w:szCs w:val="18"/>
          <w:shd w:val="clear" w:color="auto" w:fill="FFFFFF"/>
          <w:lang w:val="el-GR"/>
        </w:rPr>
        <w:t>)</w:t>
      </w:r>
      <w:r w:rsidR="008063F6">
        <w:rPr>
          <w:rFonts w:ascii="Verdana" w:hAnsi="Verdana"/>
          <w:sz w:val="18"/>
          <w:szCs w:val="18"/>
          <w:lang w:val="el-GR"/>
        </w:rPr>
        <w:t>, 50</w:t>
      </w:r>
      <w:r w:rsidR="008063F6" w:rsidRPr="00812A29">
        <w:rPr>
          <w:rFonts w:ascii="Verdana" w:hAnsi="Verdana"/>
          <w:sz w:val="18"/>
          <w:szCs w:val="18"/>
          <w:lang w:val="el-GR"/>
        </w:rPr>
        <w:t xml:space="preserve"> </w:t>
      </w:r>
      <w:r w:rsidR="008063F6">
        <w:rPr>
          <w:rFonts w:ascii="Verdana" w:hAnsi="Verdana"/>
          <w:sz w:val="18"/>
          <w:szCs w:val="18"/>
          <w:lang w:val="el-GR"/>
        </w:rPr>
        <w:t>(</w:t>
      </w:r>
      <w:r>
        <w:rPr>
          <w:rFonts w:ascii="Verdana" w:hAnsi="Verdana"/>
          <w:sz w:val="18"/>
          <w:szCs w:val="18"/>
          <w:lang w:val="el-GR"/>
        </w:rPr>
        <w:t>π</w:t>
      </w:r>
      <w:r w:rsidR="008063F6" w:rsidRPr="008063F6">
        <w:rPr>
          <w:rFonts w:ascii="Verdana" w:hAnsi="Verdana"/>
          <w:sz w:val="18"/>
          <w:szCs w:val="18"/>
          <w:lang w:val="el-GR"/>
        </w:rPr>
        <w:t>λωτές μεταφορές</w:t>
      </w:r>
      <w:r w:rsidR="008063F6">
        <w:rPr>
          <w:rFonts w:ascii="Verdana" w:hAnsi="Verdana"/>
          <w:sz w:val="18"/>
          <w:szCs w:val="18"/>
          <w:lang w:val="el-GR"/>
        </w:rPr>
        <w:t>), 51 (</w:t>
      </w:r>
      <w:r>
        <w:rPr>
          <w:rFonts w:ascii="Verdana" w:hAnsi="Verdana"/>
          <w:sz w:val="18"/>
          <w:szCs w:val="18"/>
          <w:lang w:val="el-GR"/>
        </w:rPr>
        <w:t>α</w:t>
      </w:r>
      <w:r w:rsidR="008063F6" w:rsidRPr="008063F6">
        <w:rPr>
          <w:rFonts w:ascii="Verdana" w:hAnsi="Verdana"/>
          <w:sz w:val="18"/>
          <w:szCs w:val="18"/>
          <w:lang w:val="el-GR"/>
        </w:rPr>
        <w:t>εροπορικές μεταφορές</w:t>
      </w:r>
      <w:r w:rsidR="008063F6">
        <w:rPr>
          <w:rFonts w:ascii="Verdana" w:hAnsi="Verdana"/>
          <w:sz w:val="18"/>
          <w:szCs w:val="18"/>
          <w:lang w:val="el-GR"/>
        </w:rPr>
        <w:t>), 52 (</w:t>
      </w:r>
      <w:r>
        <w:rPr>
          <w:rFonts w:ascii="Verdana" w:hAnsi="Verdana"/>
          <w:sz w:val="18"/>
          <w:szCs w:val="18"/>
          <w:lang w:val="el-GR"/>
        </w:rPr>
        <w:t>α</w:t>
      </w:r>
      <w:r w:rsidR="008063F6" w:rsidRPr="008063F6">
        <w:rPr>
          <w:rFonts w:ascii="Verdana" w:hAnsi="Verdana"/>
          <w:sz w:val="18"/>
          <w:szCs w:val="18"/>
          <w:lang w:val="el-GR"/>
        </w:rPr>
        <w:t>ποθήκευση και υποστηρικτικές δραστηριότητες</w:t>
      </w:r>
      <w:r w:rsidR="00315D93">
        <w:rPr>
          <w:rFonts w:ascii="Verdana" w:hAnsi="Verdana"/>
          <w:sz w:val="18"/>
          <w:szCs w:val="18"/>
          <w:lang w:val="el-GR"/>
        </w:rPr>
        <w:t xml:space="preserve">, </w:t>
      </w:r>
      <w:r w:rsidR="009D0E2E" w:rsidRPr="00353CC2">
        <w:rPr>
          <w:rFonts w:ascii="Verdana" w:eastAsia="Malgun Gothic" w:hAnsi="Verdana" w:cs="Arial"/>
          <w:sz w:val="18"/>
          <w:szCs w:val="18"/>
          <w:lang w:val="el-GR"/>
        </w:rPr>
        <w:t>περιλαμβ</w:t>
      </w:r>
      <w:r w:rsidR="00315D93">
        <w:rPr>
          <w:rFonts w:ascii="Verdana" w:eastAsia="Malgun Gothic" w:hAnsi="Verdana" w:cs="Arial"/>
          <w:sz w:val="18"/>
          <w:szCs w:val="18"/>
          <w:lang w:val="el-GR"/>
        </w:rPr>
        <w:t>ανομέ</w:t>
      </w:r>
      <w:r w:rsidR="00D2697E">
        <w:rPr>
          <w:rFonts w:ascii="Verdana" w:eastAsia="Malgun Gothic" w:hAnsi="Verdana" w:cs="Arial"/>
          <w:sz w:val="18"/>
          <w:szCs w:val="18"/>
          <w:lang w:val="el-GR"/>
        </w:rPr>
        <w:t>νου</w:t>
      </w:r>
      <w:r w:rsidR="00315D93">
        <w:rPr>
          <w:rFonts w:ascii="Verdana" w:eastAsia="Malgun Gothic" w:hAnsi="Verdana" w:cs="Arial"/>
          <w:sz w:val="18"/>
          <w:szCs w:val="18"/>
          <w:lang w:val="el-GR"/>
        </w:rPr>
        <w:t xml:space="preserve"> των</w:t>
      </w:r>
      <w:r w:rsidR="009D0E2E" w:rsidRPr="00353CC2">
        <w:rPr>
          <w:rFonts w:ascii="Verdana" w:eastAsia="Malgun Gothic" w:hAnsi="Verdana" w:cs="Arial"/>
          <w:sz w:val="18"/>
          <w:szCs w:val="18"/>
          <w:lang w:val="el-GR"/>
        </w:rPr>
        <w:t xml:space="preserve"> δραστηρι</w:t>
      </w:r>
      <w:r w:rsidR="00315D93">
        <w:rPr>
          <w:rFonts w:ascii="Verdana" w:eastAsia="Malgun Gothic" w:hAnsi="Verdana" w:cs="Arial"/>
          <w:sz w:val="18"/>
          <w:szCs w:val="18"/>
          <w:lang w:val="el-GR"/>
        </w:rPr>
        <w:t>οτήτων</w:t>
      </w:r>
      <w:r w:rsidR="009D0E2E" w:rsidRPr="00353CC2">
        <w:rPr>
          <w:rFonts w:ascii="Verdana" w:eastAsia="Malgun Gothic" w:hAnsi="Verdana" w:cs="Arial"/>
          <w:sz w:val="18"/>
          <w:szCs w:val="18"/>
          <w:lang w:val="el-GR"/>
        </w:rPr>
        <w:t xml:space="preserve"> των πλοιοκτητριών εταιρειών οι οποίες έχουν φυσική παρουσία στην Κύπρο</w:t>
      </w:r>
      <w:r w:rsidR="008063F6">
        <w:rPr>
          <w:rFonts w:ascii="Verdana" w:hAnsi="Verdana"/>
          <w:sz w:val="18"/>
          <w:szCs w:val="18"/>
          <w:lang w:val="el-GR"/>
        </w:rPr>
        <w:t>)</w:t>
      </w:r>
      <w:r w:rsidR="0044389C" w:rsidRPr="0044389C">
        <w:rPr>
          <w:rFonts w:ascii="Verdana" w:hAnsi="Verdana"/>
          <w:sz w:val="18"/>
          <w:szCs w:val="18"/>
          <w:lang w:val="el-GR"/>
        </w:rPr>
        <w:t xml:space="preserve"> </w:t>
      </w:r>
      <w:r w:rsidR="0044389C">
        <w:rPr>
          <w:rFonts w:ascii="Verdana" w:hAnsi="Verdana"/>
          <w:sz w:val="18"/>
          <w:szCs w:val="18"/>
          <w:lang w:val="el-GR"/>
        </w:rPr>
        <w:t>και</w:t>
      </w:r>
      <w:r w:rsidR="008063F6">
        <w:rPr>
          <w:rFonts w:ascii="Verdana" w:hAnsi="Verdana"/>
          <w:sz w:val="18"/>
          <w:szCs w:val="18"/>
          <w:lang w:val="el-GR"/>
        </w:rPr>
        <w:t xml:space="preserve"> 53 (</w:t>
      </w:r>
      <w:r>
        <w:rPr>
          <w:rFonts w:ascii="Verdana" w:hAnsi="Verdana"/>
          <w:sz w:val="18"/>
          <w:szCs w:val="18"/>
          <w:lang w:val="el-GR"/>
        </w:rPr>
        <w:t>τ</w:t>
      </w:r>
      <w:r w:rsidR="008063F6" w:rsidRPr="008063F6">
        <w:rPr>
          <w:rFonts w:ascii="Verdana" w:hAnsi="Verdana"/>
          <w:sz w:val="18"/>
          <w:szCs w:val="18"/>
          <w:lang w:val="el-GR"/>
        </w:rPr>
        <w:t>αχυδρομικές και ταχυμεταφορικές δραστηριότητες</w:t>
      </w:r>
      <w:r w:rsidR="008063F6">
        <w:rPr>
          <w:rFonts w:ascii="Verdana" w:hAnsi="Verdana"/>
          <w:sz w:val="18"/>
          <w:szCs w:val="18"/>
          <w:lang w:val="el-GR"/>
        </w:rPr>
        <w:t xml:space="preserve">) </w:t>
      </w:r>
      <w:r w:rsidR="008063F6" w:rsidRPr="00812A29">
        <w:rPr>
          <w:rFonts w:ascii="Verdana" w:hAnsi="Verdana"/>
          <w:sz w:val="18"/>
          <w:szCs w:val="18"/>
          <w:lang w:val="el-GR"/>
        </w:rPr>
        <w:t>της στατιστικής ταξινόμησης οικονομικών δραστηριοτήτων NACE Αναθ.</w:t>
      </w:r>
      <w:r w:rsidR="005478D3">
        <w:rPr>
          <w:rFonts w:ascii="Verdana" w:hAnsi="Verdana"/>
          <w:sz w:val="18"/>
          <w:szCs w:val="18"/>
          <w:lang w:val="el-GR"/>
        </w:rPr>
        <w:t xml:space="preserve"> </w:t>
      </w:r>
      <w:r w:rsidR="008063F6" w:rsidRPr="00812A29">
        <w:rPr>
          <w:rFonts w:ascii="Verdana" w:hAnsi="Verdana"/>
          <w:sz w:val="18"/>
          <w:szCs w:val="18"/>
          <w:lang w:val="el-GR"/>
        </w:rPr>
        <w:t xml:space="preserve">2 της Ευρωπαϊκής Ένωσης. </w:t>
      </w:r>
    </w:p>
    <w:p w14:paraId="7618A92C" w14:textId="77777777" w:rsidR="008063F6" w:rsidRPr="00812A29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1EF732" w14:textId="77777777" w:rsidR="008063F6" w:rsidRPr="00812A29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</w:p>
    <w:p w14:paraId="5DFDF687" w14:textId="77777777" w:rsidR="008063F6" w:rsidRPr="00812A29" w:rsidRDefault="008063F6" w:rsidP="008063F6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812A29">
        <w:rPr>
          <w:rFonts w:ascii="Verdana" w:hAnsi="Verdana"/>
          <w:b/>
          <w:bCs/>
          <w:sz w:val="18"/>
          <w:szCs w:val="18"/>
          <w:u w:val="single"/>
          <w:lang w:val="el-GR"/>
        </w:rPr>
        <w:t xml:space="preserve">Συλλογή </w:t>
      </w: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Σ</w:t>
      </w:r>
      <w:r w:rsidRPr="00812A29">
        <w:rPr>
          <w:rFonts w:ascii="Verdana" w:hAnsi="Verdana"/>
          <w:b/>
          <w:bCs/>
          <w:sz w:val="18"/>
          <w:szCs w:val="18"/>
          <w:u w:val="single"/>
          <w:lang w:val="el-GR"/>
        </w:rPr>
        <w:t>τοιχείων</w:t>
      </w:r>
    </w:p>
    <w:p w14:paraId="72E7902D" w14:textId="77777777" w:rsidR="008063F6" w:rsidRPr="00812A29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</w:p>
    <w:p w14:paraId="7B8855A4" w14:textId="293DFF20" w:rsidR="008063F6" w:rsidRPr="00EE676C" w:rsidRDefault="008063F6" w:rsidP="00260573">
      <w:pPr>
        <w:jc w:val="both"/>
        <w:rPr>
          <w:rFonts w:ascii="Verdana" w:hAnsi="Verdana"/>
          <w:sz w:val="18"/>
          <w:szCs w:val="18"/>
          <w:lang w:val="el-GR"/>
        </w:rPr>
      </w:pPr>
      <w:r w:rsidRPr="00812A29">
        <w:rPr>
          <w:rFonts w:ascii="Verdana" w:hAnsi="Verdana"/>
          <w:sz w:val="18"/>
          <w:szCs w:val="18"/>
          <w:lang w:val="el-GR"/>
        </w:rPr>
        <w:t>Η συλλογή των δεδομένων γίνεται μηνιαία από τη Στατιστική Υπηρεσία, είτε με τηλεφωνικές συνεντεύξεις  είτε μέσω του ηλεκτρονικού ταχυδρομείου</w:t>
      </w:r>
      <w:r w:rsidR="009C2A46">
        <w:rPr>
          <w:rFonts w:ascii="Verdana" w:hAnsi="Verdana"/>
          <w:sz w:val="18"/>
          <w:szCs w:val="18"/>
          <w:lang w:val="el-GR"/>
        </w:rPr>
        <w:t xml:space="preserve">, από </w:t>
      </w:r>
      <w:r w:rsidR="00315D93">
        <w:rPr>
          <w:rFonts w:ascii="Verdana" w:hAnsi="Verdana"/>
          <w:sz w:val="18"/>
          <w:szCs w:val="18"/>
          <w:lang w:val="el-GR"/>
        </w:rPr>
        <w:t xml:space="preserve">δείγμα </w:t>
      </w:r>
      <w:r w:rsidR="009C2A46">
        <w:rPr>
          <w:rFonts w:ascii="Verdana" w:hAnsi="Verdana"/>
          <w:sz w:val="18"/>
          <w:szCs w:val="18"/>
          <w:lang w:val="el-GR"/>
        </w:rPr>
        <w:t>επιχειρήσ</w:t>
      </w:r>
      <w:r w:rsidR="00315D93">
        <w:rPr>
          <w:rFonts w:ascii="Verdana" w:hAnsi="Verdana"/>
          <w:sz w:val="18"/>
          <w:szCs w:val="18"/>
          <w:lang w:val="el-GR"/>
        </w:rPr>
        <w:t>εων</w:t>
      </w:r>
      <w:r w:rsidR="009C2A46">
        <w:rPr>
          <w:rFonts w:ascii="Verdana" w:hAnsi="Verdana"/>
          <w:sz w:val="18"/>
          <w:szCs w:val="18"/>
          <w:lang w:val="el-GR"/>
        </w:rPr>
        <w:t xml:space="preserve"> που δραστηριοποιούνται στο</w:t>
      </w:r>
      <w:r w:rsidR="005478D3">
        <w:rPr>
          <w:rFonts w:ascii="Verdana" w:hAnsi="Verdana"/>
          <w:sz w:val="18"/>
          <w:szCs w:val="18"/>
          <w:lang w:val="el-GR"/>
        </w:rPr>
        <w:t>ν</w:t>
      </w:r>
      <w:r w:rsidR="009C2A46">
        <w:rPr>
          <w:rFonts w:ascii="Verdana" w:hAnsi="Verdana"/>
          <w:sz w:val="18"/>
          <w:szCs w:val="18"/>
          <w:lang w:val="el-GR"/>
        </w:rPr>
        <w:t xml:space="preserve"> </w:t>
      </w:r>
      <w:r w:rsidR="005478D3">
        <w:rPr>
          <w:rFonts w:ascii="Verdana" w:hAnsi="Verdana"/>
          <w:sz w:val="18"/>
          <w:szCs w:val="18"/>
          <w:lang w:val="el-GR"/>
        </w:rPr>
        <w:t>τομέα</w:t>
      </w:r>
      <w:r w:rsidR="009C2A46">
        <w:rPr>
          <w:rFonts w:ascii="Verdana" w:hAnsi="Verdana"/>
          <w:sz w:val="18"/>
          <w:szCs w:val="18"/>
          <w:lang w:val="el-GR"/>
        </w:rPr>
        <w:t xml:space="preserve"> </w:t>
      </w:r>
      <w:r w:rsidR="00315D93">
        <w:rPr>
          <w:rFonts w:ascii="Verdana" w:hAnsi="Verdana"/>
          <w:sz w:val="18"/>
          <w:szCs w:val="18"/>
          <w:lang w:val="el-GR"/>
        </w:rPr>
        <w:t>των μεταφορών και αποθήκευσης</w:t>
      </w:r>
      <w:r w:rsidRPr="00812A29">
        <w:rPr>
          <w:rFonts w:ascii="Verdana" w:hAnsi="Verdana"/>
          <w:sz w:val="18"/>
          <w:szCs w:val="18"/>
          <w:lang w:val="el-GR"/>
        </w:rPr>
        <w:t xml:space="preserve">. </w:t>
      </w:r>
    </w:p>
    <w:p w14:paraId="08B4225D" w14:textId="77777777" w:rsidR="00260573" w:rsidRPr="00EE676C" w:rsidRDefault="00260573" w:rsidP="002605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18AD8A02" w14:textId="77777777" w:rsidR="00A24540" w:rsidRPr="00EE676C" w:rsidRDefault="00A24540" w:rsidP="008063F6">
      <w:pPr>
        <w:jc w:val="both"/>
        <w:rPr>
          <w:rFonts w:ascii="Verdana" w:hAnsi="Verdana"/>
          <w:sz w:val="18"/>
          <w:szCs w:val="18"/>
          <w:lang w:val="el-GR"/>
        </w:rPr>
      </w:pPr>
    </w:p>
    <w:p w14:paraId="384A692B" w14:textId="77777777" w:rsidR="008063F6" w:rsidRPr="00812A29" w:rsidRDefault="008063F6" w:rsidP="008063F6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812A29">
        <w:rPr>
          <w:rFonts w:ascii="Verdana" w:hAnsi="Verdana"/>
          <w:b/>
          <w:bCs/>
          <w:sz w:val="18"/>
          <w:szCs w:val="18"/>
          <w:u w:val="single"/>
          <w:lang w:val="el-GR"/>
        </w:rPr>
        <w:t xml:space="preserve">Μέθοδος </w:t>
      </w: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Υ</w:t>
      </w:r>
      <w:r w:rsidRPr="00812A29">
        <w:rPr>
          <w:rFonts w:ascii="Verdana" w:hAnsi="Verdana"/>
          <w:b/>
          <w:bCs/>
          <w:sz w:val="18"/>
          <w:szCs w:val="18"/>
          <w:u w:val="single"/>
          <w:lang w:val="el-GR"/>
        </w:rPr>
        <w:t xml:space="preserve">πολογισμού και </w:t>
      </w: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</w:t>
      </w:r>
      <w:r w:rsidRPr="00812A29">
        <w:rPr>
          <w:rFonts w:ascii="Verdana" w:hAnsi="Verdana"/>
          <w:b/>
          <w:bCs/>
          <w:sz w:val="18"/>
          <w:szCs w:val="18"/>
          <w:u w:val="single"/>
          <w:lang w:val="el-GR"/>
        </w:rPr>
        <w:t xml:space="preserve">ρακτικές </w:t>
      </w: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Δ</w:t>
      </w:r>
      <w:r w:rsidRPr="00812A29">
        <w:rPr>
          <w:rFonts w:ascii="Verdana" w:hAnsi="Verdana"/>
          <w:b/>
          <w:bCs/>
          <w:sz w:val="18"/>
          <w:szCs w:val="18"/>
          <w:u w:val="single"/>
          <w:lang w:val="el-GR"/>
        </w:rPr>
        <w:t>ημοσίευσης</w:t>
      </w:r>
    </w:p>
    <w:p w14:paraId="19B16260" w14:textId="77777777" w:rsidR="008063F6" w:rsidRPr="00812A29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</w:p>
    <w:p w14:paraId="4517C8DA" w14:textId="31ED8BC3" w:rsidR="008063F6" w:rsidRPr="00812A29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  <w:r w:rsidRPr="00812A29">
        <w:rPr>
          <w:rFonts w:ascii="Verdana" w:hAnsi="Verdana"/>
          <w:sz w:val="18"/>
          <w:szCs w:val="18"/>
          <w:lang w:val="el-GR"/>
        </w:rPr>
        <w:t>Ο</w:t>
      </w:r>
      <w:r w:rsidR="009C2A46">
        <w:rPr>
          <w:rFonts w:ascii="Verdana" w:hAnsi="Verdana"/>
          <w:sz w:val="18"/>
          <w:szCs w:val="18"/>
          <w:lang w:val="el-GR"/>
        </w:rPr>
        <w:t xml:space="preserve"> </w:t>
      </w:r>
      <w:r w:rsidRPr="00812A29">
        <w:rPr>
          <w:rFonts w:ascii="Verdana" w:hAnsi="Verdana"/>
          <w:sz w:val="18"/>
          <w:szCs w:val="18"/>
          <w:lang w:val="el-GR"/>
        </w:rPr>
        <w:t>Δείκτ</w:t>
      </w:r>
      <w:r w:rsidR="009C2A46">
        <w:rPr>
          <w:rFonts w:ascii="Verdana" w:hAnsi="Verdana"/>
          <w:sz w:val="18"/>
          <w:szCs w:val="18"/>
          <w:lang w:val="el-GR"/>
        </w:rPr>
        <w:t>ης</w:t>
      </w:r>
      <w:r w:rsidRPr="00812A29">
        <w:rPr>
          <w:rFonts w:ascii="Verdana" w:hAnsi="Verdana"/>
          <w:sz w:val="18"/>
          <w:szCs w:val="18"/>
          <w:lang w:val="el-GR"/>
        </w:rPr>
        <w:t xml:space="preserve"> έχ</w:t>
      </w:r>
      <w:r w:rsidR="009C2A46"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ως έτος βάσης το 20</w:t>
      </w:r>
      <w:r w:rsidRPr="003E65F7"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, δείχν</w:t>
      </w:r>
      <w:r w:rsidR="009C2A46"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δηλαδή την τριμηνιαία μεταβολή στον κύκλο εργασιών σε σχέση με τον μέσο όρο </w:t>
      </w:r>
      <w:r w:rsidR="009C2A46" w:rsidRPr="00812A29">
        <w:rPr>
          <w:rFonts w:ascii="Verdana" w:hAnsi="Verdana"/>
          <w:sz w:val="18"/>
          <w:szCs w:val="18"/>
          <w:lang w:val="el-GR"/>
        </w:rPr>
        <w:t xml:space="preserve">του κύκλου εργασιών </w:t>
      </w:r>
      <w:r w:rsidRPr="00812A29">
        <w:rPr>
          <w:rFonts w:ascii="Verdana" w:hAnsi="Verdana"/>
          <w:sz w:val="18"/>
          <w:szCs w:val="18"/>
          <w:lang w:val="el-GR"/>
        </w:rPr>
        <w:t>των τεσσάρων τριμήνων το</w:t>
      </w:r>
      <w:r w:rsidR="009C2A46">
        <w:rPr>
          <w:rFonts w:ascii="Verdana" w:hAnsi="Verdana"/>
          <w:sz w:val="18"/>
          <w:szCs w:val="18"/>
          <w:lang w:val="el-GR"/>
        </w:rPr>
        <w:t>υ</w:t>
      </w:r>
      <w:r w:rsidRPr="00812A29">
        <w:rPr>
          <w:rFonts w:ascii="Verdana" w:hAnsi="Verdana"/>
          <w:sz w:val="18"/>
          <w:szCs w:val="18"/>
          <w:lang w:val="el-GR"/>
        </w:rPr>
        <w:t xml:space="preserve"> 20</w:t>
      </w:r>
      <w:r w:rsidRPr="003E65F7"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. Κατά το έτος βάσης, ο μέσος όρος τ</w:t>
      </w:r>
      <w:r w:rsidR="009C2A46">
        <w:rPr>
          <w:rFonts w:ascii="Verdana" w:hAnsi="Verdana"/>
          <w:sz w:val="18"/>
          <w:szCs w:val="18"/>
          <w:lang w:val="el-GR"/>
        </w:rPr>
        <w:t>ου</w:t>
      </w:r>
      <w:r w:rsidRPr="00812A29">
        <w:rPr>
          <w:rFonts w:ascii="Verdana" w:hAnsi="Verdana"/>
          <w:sz w:val="18"/>
          <w:szCs w:val="18"/>
          <w:lang w:val="el-GR"/>
        </w:rPr>
        <w:t xml:space="preserve"> Δ</w:t>
      </w:r>
      <w:r w:rsidR="009C2A46">
        <w:rPr>
          <w:rFonts w:ascii="Verdana" w:hAnsi="Verdana"/>
          <w:sz w:val="18"/>
          <w:szCs w:val="18"/>
          <w:lang w:val="el-GR"/>
        </w:rPr>
        <w:t>είκτη</w:t>
      </w:r>
      <w:r w:rsidRPr="00812A29">
        <w:rPr>
          <w:rFonts w:ascii="Verdana" w:hAnsi="Verdana"/>
          <w:sz w:val="18"/>
          <w:szCs w:val="18"/>
          <w:lang w:val="el-GR"/>
        </w:rPr>
        <w:t xml:space="preserve"> Κύκλου Εργασιών για τα τέσσερα τρίμηνα είναι 100,0. Για παράδειγμα, αν ο Δείκτης για κάποιο τρίμηνο είναι 105,3 αυτό σημαίνει ότι ο κύκλος εργασιών για το συγκεκριμένο τρίμηνο αυξήθηκε κατά 5,3% σε σχέση με τον μέσο όρο των τριμήνων του 20</w:t>
      </w:r>
      <w:r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. Ο Δείκτ</w:t>
      </w:r>
      <w:r w:rsidR="009C2A46">
        <w:rPr>
          <w:rFonts w:ascii="Verdana" w:hAnsi="Verdana"/>
          <w:sz w:val="18"/>
          <w:szCs w:val="18"/>
          <w:lang w:val="el-GR"/>
        </w:rPr>
        <w:t>η</w:t>
      </w:r>
      <w:r>
        <w:rPr>
          <w:rFonts w:ascii="Verdana" w:hAnsi="Verdana"/>
          <w:sz w:val="18"/>
          <w:szCs w:val="18"/>
          <w:lang w:val="el-GR"/>
        </w:rPr>
        <w:t>ς</w:t>
      </w:r>
      <w:r w:rsidRPr="00812A29">
        <w:rPr>
          <w:rFonts w:ascii="Verdana" w:hAnsi="Verdana"/>
          <w:sz w:val="18"/>
          <w:szCs w:val="18"/>
          <w:lang w:val="el-GR"/>
        </w:rPr>
        <w:t xml:space="preserve"> αναφέρ</w:t>
      </w:r>
      <w:r w:rsidR="009C2A46">
        <w:rPr>
          <w:rFonts w:ascii="Verdana" w:hAnsi="Verdana"/>
          <w:sz w:val="18"/>
          <w:szCs w:val="18"/>
          <w:lang w:val="el-GR"/>
        </w:rPr>
        <w:t>ε</w:t>
      </w:r>
      <w:r w:rsidRPr="00812A29">
        <w:rPr>
          <w:rFonts w:ascii="Verdana" w:hAnsi="Verdana"/>
          <w:sz w:val="18"/>
          <w:szCs w:val="18"/>
          <w:lang w:val="el-GR"/>
        </w:rPr>
        <w:t>ται σε τρέχουσες τιμές</w:t>
      </w:r>
      <w:r w:rsidR="009C2A46">
        <w:rPr>
          <w:rFonts w:ascii="Verdana" w:hAnsi="Verdana"/>
          <w:sz w:val="18"/>
          <w:szCs w:val="18"/>
          <w:lang w:val="el-GR"/>
        </w:rPr>
        <w:t>.</w:t>
      </w:r>
    </w:p>
    <w:p w14:paraId="3C813414" w14:textId="77777777" w:rsidR="008063F6" w:rsidRPr="00812A29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</w:p>
    <w:p w14:paraId="43B7B7C9" w14:textId="4A713642" w:rsidR="008063F6" w:rsidRPr="007C583D" w:rsidRDefault="006F3F70" w:rsidP="008063F6">
      <w:pPr>
        <w:jc w:val="both"/>
        <w:rPr>
          <w:rFonts w:ascii="Verdana" w:hAnsi="Verdana"/>
          <w:sz w:val="18"/>
          <w:szCs w:val="18"/>
          <w:lang w:val="el-GR"/>
        </w:rPr>
      </w:pPr>
      <w:r w:rsidRPr="00DE5D35">
        <w:rPr>
          <w:rFonts w:ascii="Verdana" w:eastAsia="Malgun Gothic" w:hAnsi="Verdana" w:cs="Arial"/>
          <w:sz w:val="18"/>
          <w:szCs w:val="18"/>
          <w:lang w:val="el-GR"/>
        </w:rPr>
        <w:t>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Δείκ</w:t>
      </w:r>
      <w:r w:rsidR="009C2A46">
        <w:rPr>
          <w:rFonts w:ascii="Verdana" w:eastAsia="Malgun Gothic" w:hAnsi="Verdana" w:cs="Arial"/>
          <w:sz w:val="18"/>
          <w:szCs w:val="18"/>
          <w:lang w:val="el-GR"/>
        </w:rPr>
        <w:t>της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 παράγ</w:t>
      </w:r>
      <w:r w:rsidR="009C2A46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ται για τους διάφορους κλάδους του Συστήματος Ταξινόμησης Οικονομικών Δραστηριοτήτων (NACE Αναθ. 2) που αποτελούν το</w:t>
      </w:r>
      <w:r w:rsidR="009C2A46">
        <w:rPr>
          <w:rFonts w:ascii="Verdana" w:eastAsia="Malgun Gothic" w:hAnsi="Verdana" w:cs="Arial"/>
          <w:sz w:val="18"/>
          <w:szCs w:val="18"/>
          <w:lang w:val="el-GR"/>
        </w:rPr>
        <w:t>ν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 τομ</w:t>
      </w:r>
      <w:r w:rsidR="009C2A46">
        <w:rPr>
          <w:rFonts w:ascii="Verdana" w:eastAsia="Malgun Gothic" w:hAnsi="Verdana" w:cs="Arial"/>
          <w:sz w:val="18"/>
          <w:szCs w:val="18"/>
          <w:lang w:val="el-GR"/>
        </w:rPr>
        <w:t xml:space="preserve">έα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των </w:t>
      </w:r>
      <w:r>
        <w:rPr>
          <w:rFonts w:ascii="Verdana" w:eastAsia="Malgun Gothic" w:hAnsi="Verdana" w:cs="Arial"/>
          <w:sz w:val="18"/>
          <w:szCs w:val="18"/>
          <w:lang w:val="el-GR"/>
        </w:rPr>
        <w:t>Μεταφορών και Αποθήκευσης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8063F6" w:rsidRPr="003A17F5">
        <w:rPr>
          <w:rFonts w:ascii="Verdana" w:hAnsi="Verdana"/>
          <w:sz w:val="18"/>
          <w:szCs w:val="18"/>
          <w:lang w:val="el-GR"/>
        </w:rPr>
        <w:t xml:space="preserve">Για τον καταρτισμό του </w:t>
      </w:r>
      <w:r w:rsidR="008063F6">
        <w:rPr>
          <w:rFonts w:ascii="Verdana" w:hAnsi="Verdana"/>
          <w:sz w:val="18"/>
          <w:szCs w:val="18"/>
          <w:lang w:val="el-GR"/>
        </w:rPr>
        <w:t>Δ</w:t>
      </w:r>
      <w:r w:rsidR="008063F6" w:rsidRPr="003A17F5">
        <w:rPr>
          <w:rFonts w:ascii="Verdana" w:hAnsi="Verdana"/>
          <w:sz w:val="18"/>
          <w:szCs w:val="18"/>
          <w:lang w:val="el-GR"/>
        </w:rPr>
        <w:t>είκτη</w:t>
      </w:r>
      <w:r w:rsidR="008063F6">
        <w:rPr>
          <w:rFonts w:ascii="Verdana" w:hAnsi="Verdana"/>
          <w:sz w:val="18"/>
          <w:szCs w:val="18"/>
          <w:lang w:val="el-GR"/>
        </w:rPr>
        <w:t xml:space="preserve"> σε επίπεδο </w:t>
      </w:r>
      <w:r w:rsidR="005478D3">
        <w:rPr>
          <w:rFonts w:ascii="Verdana" w:hAnsi="Verdana"/>
          <w:sz w:val="18"/>
          <w:szCs w:val="18"/>
          <w:lang w:val="el-GR"/>
        </w:rPr>
        <w:t>τομέα</w:t>
      </w:r>
      <w:r w:rsidR="008063F6">
        <w:rPr>
          <w:rFonts w:ascii="Verdana" w:hAnsi="Verdana"/>
          <w:sz w:val="18"/>
          <w:szCs w:val="18"/>
          <w:lang w:val="el-GR"/>
        </w:rPr>
        <w:t>,</w:t>
      </w:r>
      <w:r w:rsidR="008063F6" w:rsidRPr="003A17F5">
        <w:rPr>
          <w:rFonts w:ascii="Verdana" w:hAnsi="Verdana"/>
          <w:sz w:val="18"/>
          <w:szCs w:val="18"/>
          <w:lang w:val="el-GR"/>
        </w:rPr>
        <w:t xml:space="preserve"> υπολογίζεται ο σταθμισμένος μέσος όρος των επιμέρους δεικτών για τ</w:t>
      </w:r>
      <w:r w:rsidR="005478D3">
        <w:rPr>
          <w:rFonts w:ascii="Verdana" w:hAnsi="Verdana"/>
          <w:sz w:val="18"/>
          <w:szCs w:val="18"/>
          <w:lang w:val="el-GR"/>
        </w:rPr>
        <w:t>ους</w:t>
      </w:r>
      <w:r w:rsidR="008063F6" w:rsidRPr="003A17F5">
        <w:rPr>
          <w:rFonts w:ascii="Verdana" w:hAnsi="Verdana"/>
          <w:sz w:val="18"/>
          <w:szCs w:val="18"/>
          <w:lang w:val="el-GR"/>
        </w:rPr>
        <w:t xml:space="preserve"> διάφορ</w:t>
      </w:r>
      <w:r w:rsidR="005478D3">
        <w:rPr>
          <w:rFonts w:ascii="Verdana" w:hAnsi="Verdana"/>
          <w:sz w:val="18"/>
          <w:szCs w:val="18"/>
          <w:lang w:val="el-GR"/>
        </w:rPr>
        <w:t xml:space="preserve">ους κλάδους, </w:t>
      </w:r>
      <w:r w:rsidR="008063F6" w:rsidRPr="003A17F5">
        <w:rPr>
          <w:rFonts w:ascii="Verdana" w:hAnsi="Verdana"/>
          <w:sz w:val="18"/>
          <w:szCs w:val="18"/>
          <w:lang w:val="el-GR"/>
        </w:rPr>
        <w:t>όπως αυτ</w:t>
      </w:r>
      <w:r w:rsidR="005478D3">
        <w:rPr>
          <w:rFonts w:ascii="Verdana" w:hAnsi="Verdana"/>
          <w:sz w:val="18"/>
          <w:szCs w:val="18"/>
          <w:lang w:val="el-GR"/>
        </w:rPr>
        <w:t xml:space="preserve">οί </w:t>
      </w:r>
      <w:r w:rsidR="008063F6" w:rsidRPr="003A17F5">
        <w:rPr>
          <w:rFonts w:ascii="Verdana" w:hAnsi="Verdana"/>
          <w:sz w:val="18"/>
          <w:szCs w:val="18"/>
          <w:lang w:val="el-GR"/>
        </w:rPr>
        <w:t xml:space="preserve">ορίζονται στην ταξινόμηση NACE Αναθ. 2. Οι συντελεστές που χρησιμοποιούνται για τη στάθμιση προέρχονται από τα αποτελέσματα της ετήσιας Έρευνας </w:t>
      </w:r>
      <w:r w:rsidR="005478D3">
        <w:rPr>
          <w:rFonts w:ascii="Verdana" w:hAnsi="Verdana"/>
          <w:sz w:val="18"/>
          <w:szCs w:val="18"/>
          <w:lang w:val="el-GR"/>
        </w:rPr>
        <w:t xml:space="preserve">Υπηρεσιών και Μεταφορών </w:t>
      </w:r>
      <w:r w:rsidR="008063F6" w:rsidRPr="003A17F5">
        <w:rPr>
          <w:rFonts w:ascii="Verdana" w:hAnsi="Verdana"/>
          <w:sz w:val="18"/>
          <w:szCs w:val="18"/>
          <w:lang w:val="el-GR"/>
        </w:rPr>
        <w:t>κατά το έτος βάσης (20</w:t>
      </w:r>
      <w:r w:rsidR="008063F6" w:rsidRPr="003E65F7">
        <w:rPr>
          <w:rFonts w:ascii="Verdana" w:hAnsi="Verdana"/>
          <w:sz w:val="18"/>
          <w:szCs w:val="18"/>
          <w:lang w:val="el-GR"/>
        </w:rPr>
        <w:t>21</w:t>
      </w:r>
      <w:r w:rsidR="008063F6" w:rsidRPr="003A17F5">
        <w:rPr>
          <w:rFonts w:ascii="Verdana" w:hAnsi="Verdana"/>
          <w:sz w:val="18"/>
          <w:szCs w:val="18"/>
          <w:lang w:val="el-GR"/>
        </w:rPr>
        <w:t>) και αντικατοπτρίζουν το μερίδιο του κύκλου εργασιών κάθε</w:t>
      </w:r>
      <w:r w:rsidR="005478D3">
        <w:rPr>
          <w:rFonts w:ascii="Verdana" w:hAnsi="Verdana"/>
          <w:sz w:val="18"/>
          <w:szCs w:val="18"/>
          <w:lang w:val="el-GR"/>
        </w:rPr>
        <w:t xml:space="preserve"> κλάδου</w:t>
      </w:r>
      <w:r w:rsidR="008063F6" w:rsidRPr="003A17F5">
        <w:rPr>
          <w:rFonts w:ascii="Verdana" w:hAnsi="Verdana"/>
          <w:sz w:val="18"/>
          <w:szCs w:val="18"/>
          <w:lang w:val="el-GR"/>
        </w:rPr>
        <w:t xml:space="preserve"> σε σχέση με το σύνολο του κύκλου εργασιών του </w:t>
      </w:r>
      <w:r w:rsidR="005478D3">
        <w:rPr>
          <w:rFonts w:ascii="Verdana" w:hAnsi="Verdana"/>
          <w:sz w:val="18"/>
          <w:szCs w:val="18"/>
          <w:lang w:val="el-GR"/>
        </w:rPr>
        <w:t>τομέα</w:t>
      </w:r>
      <w:r w:rsidR="008063F6" w:rsidRPr="00427638">
        <w:rPr>
          <w:rFonts w:ascii="Verdana" w:hAnsi="Verdana"/>
          <w:sz w:val="18"/>
          <w:szCs w:val="18"/>
          <w:lang w:val="el-GR"/>
        </w:rPr>
        <w:t>.</w:t>
      </w:r>
    </w:p>
    <w:p w14:paraId="7A126FA9" w14:textId="77777777" w:rsidR="008063F6" w:rsidRPr="00812A29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</w:p>
    <w:p w14:paraId="305297D6" w14:textId="131049DF" w:rsidR="008063F6" w:rsidRPr="00A12E81" w:rsidRDefault="008063F6" w:rsidP="008063F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3B0F4B">
        <w:rPr>
          <w:rFonts w:ascii="Verdana" w:hAnsi="Verdana"/>
          <w:sz w:val="18"/>
          <w:szCs w:val="18"/>
          <w:lang w:val="el-GR"/>
        </w:rPr>
        <w:t>Ο καταρτισμός τ</w:t>
      </w:r>
      <w:r w:rsidR="005478D3">
        <w:rPr>
          <w:rFonts w:ascii="Verdana" w:hAnsi="Verdana"/>
          <w:sz w:val="18"/>
          <w:szCs w:val="18"/>
          <w:lang w:val="el-GR"/>
        </w:rPr>
        <w:t>ου</w:t>
      </w:r>
      <w:r w:rsidRPr="003B0F4B">
        <w:rPr>
          <w:rFonts w:ascii="Verdana" w:hAnsi="Verdana"/>
          <w:sz w:val="18"/>
          <w:szCs w:val="18"/>
          <w:lang w:val="el-GR"/>
        </w:rPr>
        <w:t xml:space="preserve"> Δε</w:t>
      </w:r>
      <w:r w:rsidR="005478D3">
        <w:rPr>
          <w:rFonts w:ascii="Verdana" w:hAnsi="Verdana"/>
          <w:sz w:val="18"/>
          <w:szCs w:val="18"/>
          <w:lang w:val="el-GR"/>
        </w:rPr>
        <w:t>ίκτη</w:t>
      </w:r>
      <w:r w:rsidRPr="003B0F4B">
        <w:rPr>
          <w:rFonts w:ascii="Verdana" w:hAnsi="Verdana"/>
          <w:sz w:val="18"/>
          <w:szCs w:val="18"/>
          <w:lang w:val="el-GR"/>
        </w:rPr>
        <w:t xml:space="preserve"> γίνεται στο πλαίσιο εφαρμογής του Κανονισμού (ΕΕ) 2019/2152 </w:t>
      </w:r>
      <w:r w:rsidRPr="00812A29">
        <w:rPr>
          <w:rFonts w:ascii="Verdana" w:hAnsi="Verdana"/>
          <w:sz w:val="18"/>
          <w:szCs w:val="18"/>
          <w:lang w:val="el-GR"/>
        </w:rPr>
        <w:t xml:space="preserve">σχετικά με  τις ευρωπαϊκές στατιστικές για τις επιχειρήσεις. </w:t>
      </w:r>
      <w:r w:rsidRPr="000A38DA">
        <w:rPr>
          <w:rFonts w:ascii="Verdana" w:hAnsi="Verdana"/>
          <w:sz w:val="18"/>
          <w:szCs w:val="18"/>
          <w:lang w:val="el-GR"/>
        </w:rPr>
        <w:t>Ο Δε</w:t>
      </w:r>
      <w:r w:rsidR="005478D3">
        <w:rPr>
          <w:rFonts w:ascii="Verdana" w:hAnsi="Verdana"/>
          <w:sz w:val="18"/>
          <w:szCs w:val="18"/>
          <w:lang w:val="el-GR"/>
        </w:rPr>
        <w:t>ίκτη</w:t>
      </w:r>
      <w:r w:rsidRPr="000A38DA">
        <w:rPr>
          <w:rFonts w:ascii="Verdana" w:hAnsi="Verdana"/>
          <w:sz w:val="18"/>
          <w:szCs w:val="18"/>
          <w:lang w:val="el-GR"/>
        </w:rPr>
        <w:t>ς</w:t>
      </w:r>
      <w:r w:rsidRPr="001A064C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που </w:t>
      </w:r>
      <w:r w:rsidRPr="000A38DA">
        <w:rPr>
          <w:rFonts w:ascii="Verdana" w:hAnsi="Verdana"/>
          <w:sz w:val="18"/>
          <w:szCs w:val="18"/>
          <w:lang w:val="el-GR"/>
        </w:rPr>
        <w:t>αποστέλλ</w:t>
      </w:r>
      <w:r w:rsidR="005478D3">
        <w:rPr>
          <w:rFonts w:ascii="Verdana" w:hAnsi="Verdana"/>
          <w:sz w:val="18"/>
          <w:szCs w:val="18"/>
          <w:lang w:val="el-GR"/>
        </w:rPr>
        <w:t>ε</w:t>
      </w:r>
      <w:r w:rsidRPr="000A38DA">
        <w:rPr>
          <w:rFonts w:ascii="Verdana" w:hAnsi="Verdana"/>
          <w:sz w:val="18"/>
          <w:szCs w:val="18"/>
          <w:lang w:val="el-GR"/>
        </w:rPr>
        <w:t>ται</w:t>
      </w:r>
      <w:r w:rsidRPr="001A064C">
        <w:rPr>
          <w:rFonts w:ascii="Verdana" w:hAnsi="Verdana"/>
          <w:sz w:val="18"/>
          <w:szCs w:val="18"/>
          <w:lang w:val="el-GR"/>
        </w:rPr>
        <w:t xml:space="preserve"> </w:t>
      </w:r>
      <w:r w:rsidRPr="000A38DA">
        <w:rPr>
          <w:rFonts w:ascii="Verdana" w:hAnsi="Verdana"/>
          <w:sz w:val="18"/>
          <w:szCs w:val="18"/>
          <w:lang w:val="el-GR"/>
        </w:rPr>
        <w:t xml:space="preserve">στη Στατιστική </w:t>
      </w:r>
      <w:r w:rsidRPr="00812A29">
        <w:rPr>
          <w:rFonts w:ascii="Verdana" w:hAnsi="Verdana"/>
          <w:sz w:val="18"/>
          <w:szCs w:val="18"/>
          <w:lang w:val="el-GR"/>
        </w:rPr>
        <w:t>Υπηρεσία της Ευρωπαϊκής Ένωσης (Eurostat) περιλαμβάν</w:t>
      </w:r>
      <w:r w:rsidR="005478D3"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και τις διορθωμένες του μορφές (εποχική και ημερολογιακή διόρθωση). </w:t>
      </w:r>
      <w:r w:rsidR="005478D3">
        <w:rPr>
          <w:rFonts w:ascii="Verdana" w:hAnsi="Verdana"/>
          <w:sz w:val="18"/>
          <w:szCs w:val="18"/>
          <w:lang w:val="el-GR"/>
        </w:rPr>
        <w:t xml:space="preserve">Ο Δείκτης </w:t>
      </w:r>
      <w:r w:rsidRPr="00812A29">
        <w:rPr>
          <w:rFonts w:ascii="Verdana" w:hAnsi="Verdana"/>
          <w:sz w:val="18"/>
          <w:szCs w:val="18"/>
          <w:lang w:val="el-GR"/>
        </w:rPr>
        <w:t xml:space="preserve">δημοσιεύεται </w:t>
      </w:r>
      <w:r>
        <w:rPr>
          <w:rFonts w:ascii="Verdana" w:hAnsi="Verdana"/>
          <w:sz w:val="18"/>
          <w:szCs w:val="18"/>
          <w:lang w:val="el-GR"/>
        </w:rPr>
        <w:t xml:space="preserve">μόνο </w:t>
      </w:r>
      <w:r w:rsidR="005478D3">
        <w:rPr>
          <w:rFonts w:ascii="Verdana" w:hAnsi="Verdana"/>
          <w:sz w:val="18"/>
          <w:szCs w:val="18"/>
          <w:lang w:val="el-GR"/>
        </w:rPr>
        <w:t>στ</w:t>
      </w:r>
      <w:r w:rsidRPr="00812A29">
        <w:rPr>
          <w:rFonts w:ascii="Verdana" w:hAnsi="Verdana"/>
          <w:sz w:val="18"/>
          <w:szCs w:val="18"/>
          <w:lang w:val="el-GR"/>
        </w:rPr>
        <w:t>η μη διορθωμένη μορφή.</w:t>
      </w:r>
    </w:p>
    <w:p w14:paraId="6B97C6E1" w14:textId="77777777" w:rsidR="008063F6" w:rsidRPr="00A12E81" w:rsidRDefault="008063F6" w:rsidP="008063F6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8B59349" w14:textId="77777777" w:rsidR="008063F6" w:rsidRPr="00A12E81" w:rsidRDefault="008063F6" w:rsidP="008063F6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92231A7" w14:textId="77777777" w:rsidR="008063F6" w:rsidRPr="00FA1295" w:rsidRDefault="008063F6" w:rsidP="008063F6">
      <w:pPr>
        <w:rPr>
          <w:rFonts w:ascii="Verdana" w:hAnsi="Verdana"/>
          <w:i/>
          <w:sz w:val="18"/>
          <w:szCs w:val="18"/>
          <w:lang w:val="el-GR"/>
        </w:rPr>
      </w:pPr>
      <w:r w:rsidRPr="00FA1295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</w:p>
    <w:p w14:paraId="6FD7A0EB" w14:textId="77777777" w:rsidR="008063F6" w:rsidRPr="00FA1295" w:rsidRDefault="008063F6" w:rsidP="008063F6">
      <w:pPr>
        <w:rPr>
          <w:rFonts w:ascii="Verdana" w:hAnsi="Verdana"/>
          <w:sz w:val="18"/>
          <w:szCs w:val="18"/>
          <w:lang w:val="el-GR"/>
        </w:rPr>
      </w:pPr>
      <w:r w:rsidRPr="00FA1295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FA1295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3E453BA0" w14:textId="77777777" w:rsidR="008063F6" w:rsidRPr="00C778DC" w:rsidRDefault="00000000" w:rsidP="008063F6">
      <w:pPr>
        <w:rPr>
          <w:rStyle w:val="Hyperlink"/>
          <w:rFonts w:ascii="Verdana" w:hAnsi="Verdana"/>
          <w:sz w:val="18"/>
          <w:szCs w:val="18"/>
          <w:lang w:val="el-GR"/>
        </w:rPr>
      </w:pPr>
      <w:hyperlink r:id="rId10" w:history="1">
        <w:r w:rsidR="008063F6" w:rsidRPr="00C778DC">
          <w:rPr>
            <w:rStyle w:val="Hyperlink"/>
            <w:rFonts w:ascii="Verdana" w:hAnsi="Verdana"/>
            <w:sz w:val="18"/>
            <w:szCs w:val="18"/>
            <w:lang w:val="el-GR"/>
          </w:rPr>
          <w:t>Ενημέρωση για την Αλλαγή Έτους Βάσης</w:t>
        </w:r>
      </w:hyperlink>
    </w:p>
    <w:p w14:paraId="010D4477" w14:textId="77777777" w:rsidR="008063F6" w:rsidRPr="00AC2590" w:rsidRDefault="00000000" w:rsidP="008063F6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8063F6"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="008063F6"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063F6"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063F6"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5084CD0" w14:textId="77777777" w:rsidR="008063F6" w:rsidRDefault="00000000" w:rsidP="008063F6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8063F6" w:rsidRPr="00FA1295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063F6" w:rsidRPr="00FA1295">
        <w:rPr>
          <w:rFonts w:ascii="Verdana" w:hAnsi="Verdana"/>
          <w:sz w:val="18"/>
          <w:szCs w:val="18"/>
          <w:lang w:val="el-GR"/>
        </w:rPr>
        <w:t xml:space="preserve"> (</w:t>
      </w:r>
      <w:r w:rsidR="008063F6" w:rsidRPr="00040F97">
        <w:rPr>
          <w:rFonts w:ascii="Verdana" w:hAnsi="Verdana"/>
          <w:sz w:val="18"/>
          <w:szCs w:val="18"/>
        </w:rPr>
        <w:t>Excel</w:t>
      </w:r>
      <w:r w:rsidR="008063F6" w:rsidRPr="00FA1295">
        <w:rPr>
          <w:rFonts w:ascii="Verdana" w:hAnsi="Verdana"/>
          <w:sz w:val="18"/>
          <w:szCs w:val="18"/>
          <w:lang w:val="el-GR"/>
        </w:rPr>
        <w:t>)</w:t>
      </w:r>
    </w:p>
    <w:p w14:paraId="297D99C2" w14:textId="27A5C905" w:rsidR="00D16AC4" w:rsidRPr="00B46675" w:rsidRDefault="00000000" w:rsidP="00D16AC4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  <w:hyperlink r:id="rId13" w:tooltip="Μεθοδολογικές Πληροφορίες" w:history="1">
        <w:r w:rsidR="00D16AC4" w:rsidRPr="00B46675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Μεθοδολογικές Πληροφορίες</w:t>
        </w:r>
      </w:hyperlink>
    </w:p>
    <w:p w14:paraId="7E18A088" w14:textId="77777777" w:rsidR="0044389C" w:rsidRDefault="0044389C" w:rsidP="008063F6">
      <w:pPr>
        <w:jc w:val="both"/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</w:pPr>
    </w:p>
    <w:p w14:paraId="1FD84F2E" w14:textId="3F0D58E8" w:rsidR="008063F6" w:rsidRPr="002C7BCF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Τα στοιχεία για το έτος βάσης 2021=100 είναι διαθέσιμα μόνο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CYSTAT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>-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DB</w:t>
      </w:r>
      <w:r w:rsidRPr="002C7BCF">
        <w:rPr>
          <w:rStyle w:val="markedcontent"/>
          <w:rFonts w:ascii="Verdana" w:hAnsi="Verdana" w:cs="Arial"/>
          <w:sz w:val="18"/>
          <w:szCs w:val="18"/>
          <w:lang w:val="el-GR"/>
        </w:rPr>
        <w:t>.</w:t>
      </w:r>
    </w:p>
    <w:p w14:paraId="48625C92" w14:textId="77777777" w:rsidR="008063F6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</w:p>
    <w:p w14:paraId="47ADD4E2" w14:textId="77777777" w:rsidR="008063F6" w:rsidRPr="00D67EF5" w:rsidRDefault="008063F6" w:rsidP="008063F6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67EF5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2CCCD52" w14:textId="77777777" w:rsidR="008063F6" w:rsidRDefault="008063F6" w:rsidP="008063F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D67EF5">
        <w:rPr>
          <w:rFonts w:ascii="Verdana" w:eastAsia="Malgun Gothic" w:hAnsi="Verdana" w:cs="Arial"/>
          <w:sz w:val="18"/>
          <w:szCs w:val="18"/>
          <w:lang w:val="el-GR"/>
        </w:rPr>
        <w:t>Άντρη Μηλιδώνη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r w:rsidRPr="00D67EF5">
        <w:rPr>
          <w:rFonts w:ascii="Verdana" w:eastAsia="Malgun Gothic" w:hAnsi="Verdana" w:cs="Arial"/>
          <w:sz w:val="18"/>
          <w:szCs w:val="18"/>
          <w:lang w:val="el-GR"/>
        </w:rPr>
        <w:t>Τηλ:+357 22 602240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Pr="00D67EF5">
        <w:rPr>
          <w:rFonts w:ascii="Verdana" w:eastAsia="Malgun Gothic" w:hAnsi="Verdana" w:cs="Arial"/>
          <w:sz w:val="18"/>
          <w:szCs w:val="18"/>
          <w:lang w:val="el-GR"/>
        </w:rPr>
        <w:t xml:space="preserve">Ηλ. </w:t>
      </w:r>
      <w:r>
        <w:rPr>
          <w:rFonts w:ascii="Verdana" w:eastAsia="Malgun Gothic" w:hAnsi="Verdana" w:cs="Arial"/>
          <w:sz w:val="18"/>
          <w:szCs w:val="18"/>
          <w:lang w:val="el-GR"/>
        </w:rPr>
        <w:t>Ταχ.</w:t>
      </w:r>
      <w:r w:rsidRPr="00D67EF5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4" w:history="1">
        <w:r w:rsidRPr="00C006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amilidoni@cystat.mof.gov.cy</w:t>
        </w:r>
      </w:hyperlink>
    </w:p>
    <w:p w14:paraId="596A4EAE" w14:textId="5E594C0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6D12487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730765" w14:textId="64EFAB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9E7F8F" w14:textId="3090719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ED8DD2" w14:textId="77777777" w:rsidR="00957297" w:rsidRDefault="00957297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957297" w:rsidSect="00713A6F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9650C" w14:textId="77777777" w:rsidR="00C840CF" w:rsidRDefault="00C840CF" w:rsidP="00FB398F">
      <w:r>
        <w:separator/>
      </w:r>
    </w:p>
  </w:endnote>
  <w:endnote w:type="continuationSeparator" w:id="0">
    <w:p w14:paraId="440305C3" w14:textId="77777777" w:rsidR="00C840CF" w:rsidRDefault="00C840C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701EBEC3" w14:textId="421BF5B9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r w:rsidRPr="00B41C4D">
      <w:rPr>
        <w:rFonts w:ascii="Arial" w:hAnsi="Arial" w:cs="Arial"/>
        <w:i/>
        <w:iCs/>
        <w:sz w:val="16"/>
        <w:szCs w:val="16"/>
        <w:lang w:val="pt-PT"/>
      </w:rPr>
      <w:t xml:space="preserve">.: </w:t>
    </w:r>
    <w:r w:rsidR="009C2A46" w:rsidRPr="00B41C4D">
      <w:rPr>
        <w:rFonts w:ascii="Arial" w:hAnsi="Arial" w:cs="Arial"/>
        <w:i/>
        <w:iCs/>
        <w:sz w:val="16"/>
        <w:szCs w:val="16"/>
        <w:lang w:val="pt-PT"/>
      </w:rPr>
      <w:t xml:space="preserve"> </w:t>
    </w:r>
    <w:r w:rsidRPr="00B41C4D">
      <w:rPr>
        <w:rFonts w:ascii="Arial" w:hAnsi="Arial" w:cs="Arial"/>
        <w:i/>
        <w:iCs/>
        <w:sz w:val="16"/>
        <w:szCs w:val="16"/>
        <w:lang w:val="pt-PT"/>
      </w:rPr>
      <w:t>22 602129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39B29" w14:textId="77777777" w:rsidR="00C840CF" w:rsidRDefault="00C840CF" w:rsidP="00FB398F">
      <w:r>
        <w:separator/>
      </w:r>
    </w:p>
  </w:footnote>
  <w:footnote w:type="continuationSeparator" w:id="0">
    <w:p w14:paraId="0FFC86F4" w14:textId="77777777" w:rsidR="00C840CF" w:rsidRDefault="00C840C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71F82444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4"/>
  </w:num>
  <w:num w:numId="2" w16cid:durableId="894270092">
    <w:abstractNumId w:val="1"/>
  </w:num>
  <w:num w:numId="3" w16cid:durableId="593363562">
    <w:abstractNumId w:val="2"/>
  </w:num>
  <w:num w:numId="4" w16cid:durableId="1130973206">
    <w:abstractNumId w:val="3"/>
  </w:num>
  <w:num w:numId="5" w16cid:durableId="994458099">
    <w:abstractNumId w:val="0"/>
  </w:num>
  <w:num w:numId="6" w16cid:durableId="1395081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0618"/>
    <w:rsid w:val="00013E40"/>
    <w:rsid w:val="00014628"/>
    <w:rsid w:val="00014B22"/>
    <w:rsid w:val="000161B1"/>
    <w:rsid w:val="000167EF"/>
    <w:rsid w:val="00025A39"/>
    <w:rsid w:val="00027853"/>
    <w:rsid w:val="00030E18"/>
    <w:rsid w:val="00031D32"/>
    <w:rsid w:val="0003603D"/>
    <w:rsid w:val="00041CEC"/>
    <w:rsid w:val="00045088"/>
    <w:rsid w:val="00045A06"/>
    <w:rsid w:val="00050391"/>
    <w:rsid w:val="00050D80"/>
    <w:rsid w:val="00050FC1"/>
    <w:rsid w:val="00055291"/>
    <w:rsid w:val="000557AA"/>
    <w:rsid w:val="000563D3"/>
    <w:rsid w:val="00057E44"/>
    <w:rsid w:val="00060C5A"/>
    <w:rsid w:val="00061299"/>
    <w:rsid w:val="00070576"/>
    <w:rsid w:val="00074510"/>
    <w:rsid w:val="000752BB"/>
    <w:rsid w:val="00081ADF"/>
    <w:rsid w:val="000848DB"/>
    <w:rsid w:val="00084A02"/>
    <w:rsid w:val="00084BF7"/>
    <w:rsid w:val="00084EBD"/>
    <w:rsid w:val="000870E9"/>
    <w:rsid w:val="000932CF"/>
    <w:rsid w:val="00094C19"/>
    <w:rsid w:val="00096ED8"/>
    <w:rsid w:val="000A1A88"/>
    <w:rsid w:val="000A2B5C"/>
    <w:rsid w:val="000A3601"/>
    <w:rsid w:val="000A6FA8"/>
    <w:rsid w:val="000C1070"/>
    <w:rsid w:val="000C1863"/>
    <w:rsid w:val="000C4E72"/>
    <w:rsid w:val="000D1E7A"/>
    <w:rsid w:val="000D3CA7"/>
    <w:rsid w:val="000D49F3"/>
    <w:rsid w:val="000D6B0F"/>
    <w:rsid w:val="000E24B1"/>
    <w:rsid w:val="000E2735"/>
    <w:rsid w:val="000E32D6"/>
    <w:rsid w:val="000E3580"/>
    <w:rsid w:val="000E4BAC"/>
    <w:rsid w:val="000E4CB0"/>
    <w:rsid w:val="000E5194"/>
    <w:rsid w:val="000E57F2"/>
    <w:rsid w:val="000E72A7"/>
    <w:rsid w:val="000F1162"/>
    <w:rsid w:val="000F3467"/>
    <w:rsid w:val="000F38DE"/>
    <w:rsid w:val="000F532A"/>
    <w:rsid w:val="000F5D6C"/>
    <w:rsid w:val="000F715E"/>
    <w:rsid w:val="00106852"/>
    <w:rsid w:val="00110F9D"/>
    <w:rsid w:val="00114A67"/>
    <w:rsid w:val="00114DF7"/>
    <w:rsid w:val="00122F4E"/>
    <w:rsid w:val="001240CC"/>
    <w:rsid w:val="001253B6"/>
    <w:rsid w:val="001262C3"/>
    <w:rsid w:val="00127320"/>
    <w:rsid w:val="00127456"/>
    <w:rsid w:val="001312D8"/>
    <w:rsid w:val="0013137B"/>
    <w:rsid w:val="00141725"/>
    <w:rsid w:val="00145542"/>
    <w:rsid w:val="0015118B"/>
    <w:rsid w:val="001512B5"/>
    <w:rsid w:val="001519CE"/>
    <w:rsid w:val="0015342A"/>
    <w:rsid w:val="00161CF3"/>
    <w:rsid w:val="00162C00"/>
    <w:rsid w:val="001639EF"/>
    <w:rsid w:val="0016589F"/>
    <w:rsid w:val="001712CF"/>
    <w:rsid w:val="0017769A"/>
    <w:rsid w:val="00183DFC"/>
    <w:rsid w:val="00184384"/>
    <w:rsid w:val="00186717"/>
    <w:rsid w:val="00187FFC"/>
    <w:rsid w:val="0019391C"/>
    <w:rsid w:val="00194268"/>
    <w:rsid w:val="001A2018"/>
    <w:rsid w:val="001B074A"/>
    <w:rsid w:val="001B08A1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1F08C4"/>
    <w:rsid w:val="001F7AA8"/>
    <w:rsid w:val="002003A2"/>
    <w:rsid w:val="0020309E"/>
    <w:rsid w:val="00210B58"/>
    <w:rsid w:val="002138E1"/>
    <w:rsid w:val="0021395E"/>
    <w:rsid w:val="00222423"/>
    <w:rsid w:val="00225B28"/>
    <w:rsid w:val="00226891"/>
    <w:rsid w:val="00230D9B"/>
    <w:rsid w:val="002313AC"/>
    <w:rsid w:val="00233879"/>
    <w:rsid w:val="00235FB2"/>
    <w:rsid w:val="00237BC1"/>
    <w:rsid w:val="002430B4"/>
    <w:rsid w:val="002447D0"/>
    <w:rsid w:val="002454C5"/>
    <w:rsid w:val="00245E19"/>
    <w:rsid w:val="00246AEB"/>
    <w:rsid w:val="00250005"/>
    <w:rsid w:val="00251A3F"/>
    <w:rsid w:val="0025212B"/>
    <w:rsid w:val="0025254F"/>
    <w:rsid w:val="0025566D"/>
    <w:rsid w:val="0025595C"/>
    <w:rsid w:val="00257149"/>
    <w:rsid w:val="002576E7"/>
    <w:rsid w:val="00260357"/>
    <w:rsid w:val="00260573"/>
    <w:rsid w:val="002637D1"/>
    <w:rsid w:val="002643EA"/>
    <w:rsid w:val="00264F04"/>
    <w:rsid w:val="00267554"/>
    <w:rsid w:val="00282C19"/>
    <w:rsid w:val="0028338F"/>
    <w:rsid w:val="002915C4"/>
    <w:rsid w:val="00297E6B"/>
    <w:rsid w:val="002A1D1C"/>
    <w:rsid w:val="002A278D"/>
    <w:rsid w:val="002A4D64"/>
    <w:rsid w:val="002B4969"/>
    <w:rsid w:val="002B6554"/>
    <w:rsid w:val="002C4AEE"/>
    <w:rsid w:val="002D05F0"/>
    <w:rsid w:val="002D2829"/>
    <w:rsid w:val="002D35C1"/>
    <w:rsid w:val="002D7D4A"/>
    <w:rsid w:val="002E3846"/>
    <w:rsid w:val="002E3F78"/>
    <w:rsid w:val="002E7EDB"/>
    <w:rsid w:val="002F400C"/>
    <w:rsid w:val="002F4D76"/>
    <w:rsid w:val="002F6D26"/>
    <w:rsid w:val="0030231E"/>
    <w:rsid w:val="003042C4"/>
    <w:rsid w:val="00304CB4"/>
    <w:rsid w:val="00313F37"/>
    <w:rsid w:val="003141D0"/>
    <w:rsid w:val="00315D93"/>
    <w:rsid w:val="003168C1"/>
    <w:rsid w:val="003175CA"/>
    <w:rsid w:val="00322FBE"/>
    <w:rsid w:val="00325632"/>
    <w:rsid w:val="00327549"/>
    <w:rsid w:val="003342A5"/>
    <w:rsid w:val="00334616"/>
    <w:rsid w:val="00336C36"/>
    <w:rsid w:val="00343815"/>
    <w:rsid w:val="003522BB"/>
    <w:rsid w:val="00352F6C"/>
    <w:rsid w:val="00353CC2"/>
    <w:rsid w:val="003556EA"/>
    <w:rsid w:val="00374AA4"/>
    <w:rsid w:val="0038154A"/>
    <w:rsid w:val="00386FC7"/>
    <w:rsid w:val="00390A32"/>
    <w:rsid w:val="00390F91"/>
    <w:rsid w:val="003A094F"/>
    <w:rsid w:val="003A1E91"/>
    <w:rsid w:val="003A3693"/>
    <w:rsid w:val="003A3B23"/>
    <w:rsid w:val="003A40F2"/>
    <w:rsid w:val="003A50D1"/>
    <w:rsid w:val="003A62E5"/>
    <w:rsid w:val="003B196D"/>
    <w:rsid w:val="003B2710"/>
    <w:rsid w:val="003B341F"/>
    <w:rsid w:val="003B37F8"/>
    <w:rsid w:val="003B4608"/>
    <w:rsid w:val="003B53F7"/>
    <w:rsid w:val="003B6A5E"/>
    <w:rsid w:val="003C2392"/>
    <w:rsid w:val="003C3649"/>
    <w:rsid w:val="003C4C7B"/>
    <w:rsid w:val="003C5174"/>
    <w:rsid w:val="003C5240"/>
    <w:rsid w:val="003C66C6"/>
    <w:rsid w:val="003C6702"/>
    <w:rsid w:val="003C76E6"/>
    <w:rsid w:val="003C7C72"/>
    <w:rsid w:val="003D09B6"/>
    <w:rsid w:val="003D14E0"/>
    <w:rsid w:val="003D1EA5"/>
    <w:rsid w:val="003D3348"/>
    <w:rsid w:val="003D4E63"/>
    <w:rsid w:val="003D5FF9"/>
    <w:rsid w:val="003D6822"/>
    <w:rsid w:val="003D724C"/>
    <w:rsid w:val="003D780B"/>
    <w:rsid w:val="003E0CE2"/>
    <w:rsid w:val="003F0B1A"/>
    <w:rsid w:val="003F49E4"/>
    <w:rsid w:val="003F4D2F"/>
    <w:rsid w:val="003F5875"/>
    <w:rsid w:val="003F5E32"/>
    <w:rsid w:val="003F75F6"/>
    <w:rsid w:val="00404670"/>
    <w:rsid w:val="0040758C"/>
    <w:rsid w:val="00414CA0"/>
    <w:rsid w:val="00422F54"/>
    <w:rsid w:val="00426C3A"/>
    <w:rsid w:val="00431516"/>
    <w:rsid w:val="00434BA2"/>
    <w:rsid w:val="0043570D"/>
    <w:rsid w:val="004361B3"/>
    <w:rsid w:val="004419FA"/>
    <w:rsid w:val="0044249D"/>
    <w:rsid w:val="0044379F"/>
    <w:rsid w:val="0044389C"/>
    <w:rsid w:val="00444FCC"/>
    <w:rsid w:val="00446FB1"/>
    <w:rsid w:val="00452753"/>
    <w:rsid w:val="0046078F"/>
    <w:rsid w:val="00460E94"/>
    <w:rsid w:val="00463214"/>
    <w:rsid w:val="0046434D"/>
    <w:rsid w:val="004656FA"/>
    <w:rsid w:val="00471D77"/>
    <w:rsid w:val="00475587"/>
    <w:rsid w:val="00480BC2"/>
    <w:rsid w:val="004845C3"/>
    <w:rsid w:val="004929C2"/>
    <w:rsid w:val="00493FDD"/>
    <w:rsid w:val="0049586B"/>
    <w:rsid w:val="004967FB"/>
    <w:rsid w:val="004A3E44"/>
    <w:rsid w:val="004B2018"/>
    <w:rsid w:val="004B2896"/>
    <w:rsid w:val="004B38E9"/>
    <w:rsid w:val="004B3FBA"/>
    <w:rsid w:val="004B6599"/>
    <w:rsid w:val="004C2768"/>
    <w:rsid w:val="004C627E"/>
    <w:rsid w:val="004C6CA7"/>
    <w:rsid w:val="004C6CFF"/>
    <w:rsid w:val="004D4357"/>
    <w:rsid w:val="004D4950"/>
    <w:rsid w:val="004D56DC"/>
    <w:rsid w:val="004E2393"/>
    <w:rsid w:val="004E3745"/>
    <w:rsid w:val="004E42BE"/>
    <w:rsid w:val="004E4F42"/>
    <w:rsid w:val="004E618E"/>
    <w:rsid w:val="004E63D5"/>
    <w:rsid w:val="004F02BF"/>
    <w:rsid w:val="004F03FD"/>
    <w:rsid w:val="004F52F0"/>
    <w:rsid w:val="004F6250"/>
    <w:rsid w:val="004F677C"/>
    <w:rsid w:val="004F6D8F"/>
    <w:rsid w:val="00505503"/>
    <w:rsid w:val="0051107B"/>
    <w:rsid w:val="00511E41"/>
    <w:rsid w:val="00512F9C"/>
    <w:rsid w:val="00527CDB"/>
    <w:rsid w:val="005341C9"/>
    <w:rsid w:val="005369CA"/>
    <w:rsid w:val="00536DE9"/>
    <w:rsid w:val="00541E08"/>
    <w:rsid w:val="00546297"/>
    <w:rsid w:val="005478D3"/>
    <w:rsid w:val="0055181E"/>
    <w:rsid w:val="00553703"/>
    <w:rsid w:val="00553F9C"/>
    <w:rsid w:val="00554FE0"/>
    <w:rsid w:val="0055789A"/>
    <w:rsid w:val="00560952"/>
    <w:rsid w:val="005652D1"/>
    <w:rsid w:val="005660A0"/>
    <w:rsid w:val="00566A4F"/>
    <w:rsid w:val="005677FB"/>
    <w:rsid w:val="00567D64"/>
    <w:rsid w:val="0057257D"/>
    <w:rsid w:val="005978D4"/>
    <w:rsid w:val="005A23FA"/>
    <w:rsid w:val="005B09D4"/>
    <w:rsid w:val="005B2A67"/>
    <w:rsid w:val="005B2B73"/>
    <w:rsid w:val="005B2D3A"/>
    <w:rsid w:val="005B3DCD"/>
    <w:rsid w:val="005B3E88"/>
    <w:rsid w:val="005B4AD4"/>
    <w:rsid w:val="005C2798"/>
    <w:rsid w:val="005C36C3"/>
    <w:rsid w:val="005C56EE"/>
    <w:rsid w:val="005D1714"/>
    <w:rsid w:val="005D7638"/>
    <w:rsid w:val="005F115E"/>
    <w:rsid w:val="005F12F5"/>
    <w:rsid w:val="005F7C7D"/>
    <w:rsid w:val="00600492"/>
    <w:rsid w:val="006042B0"/>
    <w:rsid w:val="006044B7"/>
    <w:rsid w:val="006071CE"/>
    <w:rsid w:val="006075B5"/>
    <w:rsid w:val="0061018C"/>
    <w:rsid w:val="0061094E"/>
    <w:rsid w:val="00613440"/>
    <w:rsid w:val="00613BE3"/>
    <w:rsid w:val="00616497"/>
    <w:rsid w:val="00621E65"/>
    <w:rsid w:val="0062327B"/>
    <w:rsid w:val="00632777"/>
    <w:rsid w:val="00633750"/>
    <w:rsid w:val="00634491"/>
    <w:rsid w:val="0063679C"/>
    <w:rsid w:val="00637055"/>
    <w:rsid w:val="00641D59"/>
    <w:rsid w:val="006420D0"/>
    <w:rsid w:val="00644507"/>
    <w:rsid w:val="00646880"/>
    <w:rsid w:val="00647D2A"/>
    <w:rsid w:val="00650ED8"/>
    <w:rsid w:val="0065228B"/>
    <w:rsid w:val="006537BB"/>
    <w:rsid w:val="0065643E"/>
    <w:rsid w:val="00667E07"/>
    <w:rsid w:val="00671785"/>
    <w:rsid w:val="00672BA9"/>
    <w:rsid w:val="00673005"/>
    <w:rsid w:val="006804BE"/>
    <w:rsid w:val="00682030"/>
    <w:rsid w:val="0068434A"/>
    <w:rsid w:val="0069008E"/>
    <w:rsid w:val="0069087E"/>
    <w:rsid w:val="006925C4"/>
    <w:rsid w:val="00693D2B"/>
    <w:rsid w:val="00696588"/>
    <w:rsid w:val="006A02B7"/>
    <w:rsid w:val="006A7019"/>
    <w:rsid w:val="006B196E"/>
    <w:rsid w:val="006B46D5"/>
    <w:rsid w:val="006B46F4"/>
    <w:rsid w:val="006B76E0"/>
    <w:rsid w:val="006C7AF3"/>
    <w:rsid w:val="006D0B9D"/>
    <w:rsid w:val="006D6548"/>
    <w:rsid w:val="006E0E20"/>
    <w:rsid w:val="006E4256"/>
    <w:rsid w:val="006E4BBA"/>
    <w:rsid w:val="006E5F43"/>
    <w:rsid w:val="006E60A6"/>
    <w:rsid w:val="006F0357"/>
    <w:rsid w:val="006F0F69"/>
    <w:rsid w:val="006F116B"/>
    <w:rsid w:val="006F117F"/>
    <w:rsid w:val="006F13DF"/>
    <w:rsid w:val="006F1DCC"/>
    <w:rsid w:val="006F2780"/>
    <w:rsid w:val="006F3F70"/>
    <w:rsid w:val="00702F26"/>
    <w:rsid w:val="0070313E"/>
    <w:rsid w:val="00703799"/>
    <w:rsid w:val="00705C5C"/>
    <w:rsid w:val="00711475"/>
    <w:rsid w:val="00713A6F"/>
    <w:rsid w:val="0072548A"/>
    <w:rsid w:val="007277A6"/>
    <w:rsid w:val="00732906"/>
    <w:rsid w:val="00734E59"/>
    <w:rsid w:val="007437AB"/>
    <w:rsid w:val="00745425"/>
    <w:rsid w:val="00746A7C"/>
    <w:rsid w:val="007534F8"/>
    <w:rsid w:val="007545AD"/>
    <w:rsid w:val="00763722"/>
    <w:rsid w:val="00764AF9"/>
    <w:rsid w:val="00764BC1"/>
    <w:rsid w:val="00770869"/>
    <w:rsid w:val="0077282F"/>
    <w:rsid w:val="007738AA"/>
    <w:rsid w:val="00780A62"/>
    <w:rsid w:val="00783241"/>
    <w:rsid w:val="00784BDC"/>
    <w:rsid w:val="0078790F"/>
    <w:rsid w:val="00792F28"/>
    <w:rsid w:val="007935CA"/>
    <w:rsid w:val="0079543F"/>
    <w:rsid w:val="00795880"/>
    <w:rsid w:val="007A4367"/>
    <w:rsid w:val="007A79F8"/>
    <w:rsid w:val="007B0867"/>
    <w:rsid w:val="007B1AC1"/>
    <w:rsid w:val="007B5A08"/>
    <w:rsid w:val="007B693D"/>
    <w:rsid w:val="007C24B4"/>
    <w:rsid w:val="007C4CDC"/>
    <w:rsid w:val="007C5291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3F6"/>
    <w:rsid w:val="00806EA2"/>
    <w:rsid w:val="008071CE"/>
    <w:rsid w:val="00810F9B"/>
    <w:rsid w:val="00812A2B"/>
    <w:rsid w:val="00814A4C"/>
    <w:rsid w:val="00831AAB"/>
    <w:rsid w:val="00833BCD"/>
    <w:rsid w:val="00834B82"/>
    <w:rsid w:val="0083544D"/>
    <w:rsid w:val="0083574E"/>
    <w:rsid w:val="0083640C"/>
    <w:rsid w:val="008374E3"/>
    <w:rsid w:val="00840DF5"/>
    <w:rsid w:val="0084157B"/>
    <w:rsid w:val="00842BFB"/>
    <w:rsid w:val="00846B85"/>
    <w:rsid w:val="00847DC3"/>
    <w:rsid w:val="00847F49"/>
    <w:rsid w:val="008535C5"/>
    <w:rsid w:val="00853765"/>
    <w:rsid w:val="0085516F"/>
    <w:rsid w:val="00866626"/>
    <w:rsid w:val="00867186"/>
    <w:rsid w:val="00870AF6"/>
    <w:rsid w:val="00877452"/>
    <w:rsid w:val="00881268"/>
    <w:rsid w:val="0088283E"/>
    <w:rsid w:val="0088394A"/>
    <w:rsid w:val="008860BD"/>
    <w:rsid w:val="00887399"/>
    <w:rsid w:val="0088779E"/>
    <w:rsid w:val="008912AF"/>
    <w:rsid w:val="00892114"/>
    <w:rsid w:val="00892CB9"/>
    <w:rsid w:val="008935CB"/>
    <w:rsid w:val="0089360C"/>
    <w:rsid w:val="008A5770"/>
    <w:rsid w:val="008B0E7E"/>
    <w:rsid w:val="008B65BD"/>
    <w:rsid w:val="008B7900"/>
    <w:rsid w:val="008C63A0"/>
    <w:rsid w:val="008C71BF"/>
    <w:rsid w:val="008C7FE0"/>
    <w:rsid w:val="008D5717"/>
    <w:rsid w:val="008E327B"/>
    <w:rsid w:val="008E44A9"/>
    <w:rsid w:val="008E50C9"/>
    <w:rsid w:val="008E6656"/>
    <w:rsid w:val="008E6B4D"/>
    <w:rsid w:val="008E6BFF"/>
    <w:rsid w:val="008F21AF"/>
    <w:rsid w:val="008F2400"/>
    <w:rsid w:val="008F5B47"/>
    <w:rsid w:val="008F61BA"/>
    <w:rsid w:val="008F6E3C"/>
    <w:rsid w:val="008F7C55"/>
    <w:rsid w:val="00912615"/>
    <w:rsid w:val="00914A23"/>
    <w:rsid w:val="00916B16"/>
    <w:rsid w:val="009173F5"/>
    <w:rsid w:val="00930754"/>
    <w:rsid w:val="00932D28"/>
    <w:rsid w:val="00934F68"/>
    <w:rsid w:val="009355AC"/>
    <w:rsid w:val="00935F38"/>
    <w:rsid w:val="00937586"/>
    <w:rsid w:val="00944347"/>
    <w:rsid w:val="00947889"/>
    <w:rsid w:val="009478BD"/>
    <w:rsid w:val="00951A5E"/>
    <w:rsid w:val="00953C66"/>
    <w:rsid w:val="00957297"/>
    <w:rsid w:val="009576DE"/>
    <w:rsid w:val="00960E98"/>
    <w:rsid w:val="00963A82"/>
    <w:rsid w:val="00972912"/>
    <w:rsid w:val="00976D1F"/>
    <w:rsid w:val="00981C81"/>
    <w:rsid w:val="00990C83"/>
    <w:rsid w:val="009A2D24"/>
    <w:rsid w:val="009A456C"/>
    <w:rsid w:val="009B00E0"/>
    <w:rsid w:val="009B292A"/>
    <w:rsid w:val="009B6DC4"/>
    <w:rsid w:val="009B76D5"/>
    <w:rsid w:val="009C165D"/>
    <w:rsid w:val="009C2A46"/>
    <w:rsid w:val="009C3CEA"/>
    <w:rsid w:val="009C583D"/>
    <w:rsid w:val="009D0E2E"/>
    <w:rsid w:val="009D2611"/>
    <w:rsid w:val="009D79D2"/>
    <w:rsid w:val="009E247C"/>
    <w:rsid w:val="009E31BA"/>
    <w:rsid w:val="009E324F"/>
    <w:rsid w:val="009F0528"/>
    <w:rsid w:val="009F0806"/>
    <w:rsid w:val="009F233B"/>
    <w:rsid w:val="009F407C"/>
    <w:rsid w:val="00A05D16"/>
    <w:rsid w:val="00A0659F"/>
    <w:rsid w:val="00A079BA"/>
    <w:rsid w:val="00A14E8C"/>
    <w:rsid w:val="00A20C70"/>
    <w:rsid w:val="00A24540"/>
    <w:rsid w:val="00A2685D"/>
    <w:rsid w:val="00A3322A"/>
    <w:rsid w:val="00A33875"/>
    <w:rsid w:val="00A360A1"/>
    <w:rsid w:val="00A402B3"/>
    <w:rsid w:val="00A42A64"/>
    <w:rsid w:val="00A46A4A"/>
    <w:rsid w:val="00A544B7"/>
    <w:rsid w:val="00A618CF"/>
    <w:rsid w:val="00A62172"/>
    <w:rsid w:val="00A62770"/>
    <w:rsid w:val="00A62EEB"/>
    <w:rsid w:val="00A660FF"/>
    <w:rsid w:val="00A73395"/>
    <w:rsid w:val="00A771E3"/>
    <w:rsid w:val="00A8063A"/>
    <w:rsid w:val="00A82B4C"/>
    <w:rsid w:val="00A93A4C"/>
    <w:rsid w:val="00A940B2"/>
    <w:rsid w:val="00A94D5D"/>
    <w:rsid w:val="00AA1D9B"/>
    <w:rsid w:val="00AA2543"/>
    <w:rsid w:val="00AA3804"/>
    <w:rsid w:val="00AA55C2"/>
    <w:rsid w:val="00AB0ACA"/>
    <w:rsid w:val="00AB1D41"/>
    <w:rsid w:val="00AB31A2"/>
    <w:rsid w:val="00AC1D4E"/>
    <w:rsid w:val="00AC3185"/>
    <w:rsid w:val="00AC5E9A"/>
    <w:rsid w:val="00AC704B"/>
    <w:rsid w:val="00AD553E"/>
    <w:rsid w:val="00AD5848"/>
    <w:rsid w:val="00AE5652"/>
    <w:rsid w:val="00AE5ADA"/>
    <w:rsid w:val="00AE71F7"/>
    <w:rsid w:val="00AF3F73"/>
    <w:rsid w:val="00AF6145"/>
    <w:rsid w:val="00B01386"/>
    <w:rsid w:val="00B01915"/>
    <w:rsid w:val="00B01BB5"/>
    <w:rsid w:val="00B026C3"/>
    <w:rsid w:val="00B026CC"/>
    <w:rsid w:val="00B04AF4"/>
    <w:rsid w:val="00B05214"/>
    <w:rsid w:val="00B10A0A"/>
    <w:rsid w:val="00B10EA5"/>
    <w:rsid w:val="00B23D3C"/>
    <w:rsid w:val="00B30D97"/>
    <w:rsid w:val="00B31074"/>
    <w:rsid w:val="00B3181A"/>
    <w:rsid w:val="00B35A7C"/>
    <w:rsid w:val="00B41C4D"/>
    <w:rsid w:val="00B44ECD"/>
    <w:rsid w:val="00B450D1"/>
    <w:rsid w:val="00B524EB"/>
    <w:rsid w:val="00B53D47"/>
    <w:rsid w:val="00B54A25"/>
    <w:rsid w:val="00B618C3"/>
    <w:rsid w:val="00B63652"/>
    <w:rsid w:val="00B63B76"/>
    <w:rsid w:val="00B668B0"/>
    <w:rsid w:val="00B66990"/>
    <w:rsid w:val="00B70F5C"/>
    <w:rsid w:val="00B71873"/>
    <w:rsid w:val="00B75AE5"/>
    <w:rsid w:val="00B800C0"/>
    <w:rsid w:val="00B8132B"/>
    <w:rsid w:val="00B84C5A"/>
    <w:rsid w:val="00B858F5"/>
    <w:rsid w:val="00B906C0"/>
    <w:rsid w:val="00B93668"/>
    <w:rsid w:val="00BA063F"/>
    <w:rsid w:val="00BA68C6"/>
    <w:rsid w:val="00BB07A7"/>
    <w:rsid w:val="00BB12F1"/>
    <w:rsid w:val="00BB276E"/>
    <w:rsid w:val="00BB3FEE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134C"/>
    <w:rsid w:val="00BF1E91"/>
    <w:rsid w:val="00BF23BB"/>
    <w:rsid w:val="00BF33DD"/>
    <w:rsid w:val="00BF5755"/>
    <w:rsid w:val="00BF684B"/>
    <w:rsid w:val="00C016F3"/>
    <w:rsid w:val="00C12A20"/>
    <w:rsid w:val="00C12D63"/>
    <w:rsid w:val="00C130DF"/>
    <w:rsid w:val="00C15193"/>
    <w:rsid w:val="00C15402"/>
    <w:rsid w:val="00C15609"/>
    <w:rsid w:val="00C15F6A"/>
    <w:rsid w:val="00C23EA7"/>
    <w:rsid w:val="00C24A4F"/>
    <w:rsid w:val="00C256F3"/>
    <w:rsid w:val="00C270A2"/>
    <w:rsid w:val="00C274DB"/>
    <w:rsid w:val="00C315B5"/>
    <w:rsid w:val="00C34275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5641"/>
    <w:rsid w:val="00C66F2E"/>
    <w:rsid w:val="00C6785C"/>
    <w:rsid w:val="00C70F61"/>
    <w:rsid w:val="00C70FD1"/>
    <w:rsid w:val="00C72B76"/>
    <w:rsid w:val="00C72BB2"/>
    <w:rsid w:val="00C733AA"/>
    <w:rsid w:val="00C80E86"/>
    <w:rsid w:val="00C83027"/>
    <w:rsid w:val="00C840CF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1709"/>
    <w:rsid w:val="00CB6BC1"/>
    <w:rsid w:val="00CB7021"/>
    <w:rsid w:val="00CD1F5C"/>
    <w:rsid w:val="00CD3294"/>
    <w:rsid w:val="00CD3942"/>
    <w:rsid w:val="00CD4524"/>
    <w:rsid w:val="00CD784D"/>
    <w:rsid w:val="00CE2D2A"/>
    <w:rsid w:val="00CF2D41"/>
    <w:rsid w:val="00CF3A1C"/>
    <w:rsid w:val="00CF40F8"/>
    <w:rsid w:val="00D008DA"/>
    <w:rsid w:val="00D0263F"/>
    <w:rsid w:val="00D02A83"/>
    <w:rsid w:val="00D0416F"/>
    <w:rsid w:val="00D05851"/>
    <w:rsid w:val="00D10FED"/>
    <w:rsid w:val="00D11736"/>
    <w:rsid w:val="00D12EE8"/>
    <w:rsid w:val="00D14CDF"/>
    <w:rsid w:val="00D15FF1"/>
    <w:rsid w:val="00D167F4"/>
    <w:rsid w:val="00D16AC4"/>
    <w:rsid w:val="00D2092A"/>
    <w:rsid w:val="00D2216D"/>
    <w:rsid w:val="00D2455E"/>
    <w:rsid w:val="00D24581"/>
    <w:rsid w:val="00D25C91"/>
    <w:rsid w:val="00D2697E"/>
    <w:rsid w:val="00D31A6F"/>
    <w:rsid w:val="00D31F3F"/>
    <w:rsid w:val="00D31FD2"/>
    <w:rsid w:val="00D353D1"/>
    <w:rsid w:val="00D367DB"/>
    <w:rsid w:val="00D36E05"/>
    <w:rsid w:val="00D44F27"/>
    <w:rsid w:val="00D45304"/>
    <w:rsid w:val="00D46165"/>
    <w:rsid w:val="00D461C7"/>
    <w:rsid w:val="00D50424"/>
    <w:rsid w:val="00D5140D"/>
    <w:rsid w:val="00D525C9"/>
    <w:rsid w:val="00D56718"/>
    <w:rsid w:val="00D57D3E"/>
    <w:rsid w:val="00D7059B"/>
    <w:rsid w:val="00D7061D"/>
    <w:rsid w:val="00D74ABF"/>
    <w:rsid w:val="00D76249"/>
    <w:rsid w:val="00D929B9"/>
    <w:rsid w:val="00DA7D12"/>
    <w:rsid w:val="00DB655C"/>
    <w:rsid w:val="00DC23CF"/>
    <w:rsid w:val="00DC6562"/>
    <w:rsid w:val="00DE130D"/>
    <w:rsid w:val="00DE24CF"/>
    <w:rsid w:val="00DE407C"/>
    <w:rsid w:val="00DE7A24"/>
    <w:rsid w:val="00DE7C7D"/>
    <w:rsid w:val="00DF2992"/>
    <w:rsid w:val="00DF2D0C"/>
    <w:rsid w:val="00DF737F"/>
    <w:rsid w:val="00DF7477"/>
    <w:rsid w:val="00E00058"/>
    <w:rsid w:val="00E01B9D"/>
    <w:rsid w:val="00E0468F"/>
    <w:rsid w:val="00E04F5E"/>
    <w:rsid w:val="00E0522E"/>
    <w:rsid w:val="00E06DAF"/>
    <w:rsid w:val="00E120F4"/>
    <w:rsid w:val="00E133D7"/>
    <w:rsid w:val="00E17172"/>
    <w:rsid w:val="00E2149D"/>
    <w:rsid w:val="00E24591"/>
    <w:rsid w:val="00E26BD7"/>
    <w:rsid w:val="00E272EC"/>
    <w:rsid w:val="00E274D7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15A4"/>
    <w:rsid w:val="00E52CF9"/>
    <w:rsid w:val="00E63F34"/>
    <w:rsid w:val="00E63FEA"/>
    <w:rsid w:val="00E6715A"/>
    <w:rsid w:val="00E70300"/>
    <w:rsid w:val="00E75DC9"/>
    <w:rsid w:val="00E81610"/>
    <w:rsid w:val="00E84910"/>
    <w:rsid w:val="00E85B28"/>
    <w:rsid w:val="00E911A5"/>
    <w:rsid w:val="00E91976"/>
    <w:rsid w:val="00E92689"/>
    <w:rsid w:val="00E947A6"/>
    <w:rsid w:val="00E97FC7"/>
    <w:rsid w:val="00EA0690"/>
    <w:rsid w:val="00EA3956"/>
    <w:rsid w:val="00EA6B96"/>
    <w:rsid w:val="00EA7136"/>
    <w:rsid w:val="00EB29B5"/>
    <w:rsid w:val="00EB325A"/>
    <w:rsid w:val="00EB54DD"/>
    <w:rsid w:val="00EB5D49"/>
    <w:rsid w:val="00EC02A5"/>
    <w:rsid w:val="00EC0A27"/>
    <w:rsid w:val="00EC176B"/>
    <w:rsid w:val="00EC33CD"/>
    <w:rsid w:val="00EC5BE5"/>
    <w:rsid w:val="00ED2650"/>
    <w:rsid w:val="00ED2C38"/>
    <w:rsid w:val="00ED2E0D"/>
    <w:rsid w:val="00ED721A"/>
    <w:rsid w:val="00EE393D"/>
    <w:rsid w:val="00EE39D3"/>
    <w:rsid w:val="00EE676C"/>
    <w:rsid w:val="00EF019A"/>
    <w:rsid w:val="00EF01CF"/>
    <w:rsid w:val="00EF6A47"/>
    <w:rsid w:val="00EF7AF9"/>
    <w:rsid w:val="00F00952"/>
    <w:rsid w:val="00F01495"/>
    <w:rsid w:val="00F0764D"/>
    <w:rsid w:val="00F10138"/>
    <w:rsid w:val="00F13F92"/>
    <w:rsid w:val="00F22ECA"/>
    <w:rsid w:val="00F240E8"/>
    <w:rsid w:val="00F244FA"/>
    <w:rsid w:val="00F33E5D"/>
    <w:rsid w:val="00F366A2"/>
    <w:rsid w:val="00F41892"/>
    <w:rsid w:val="00F44F43"/>
    <w:rsid w:val="00F450E1"/>
    <w:rsid w:val="00F468BE"/>
    <w:rsid w:val="00F50DF4"/>
    <w:rsid w:val="00F51A0A"/>
    <w:rsid w:val="00F57AFE"/>
    <w:rsid w:val="00F6278E"/>
    <w:rsid w:val="00F63C41"/>
    <w:rsid w:val="00F63E96"/>
    <w:rsid w:val="00F701E3"/>
    <w:rsid w:val="00F71008"/>
    <w:rsid w:val="00F71F8C"/>
    <w:rsid w:val="00F76247"/>
    <w:rsid w:val="00F81F1F"/>
    <w:rsid w:val="00F8478F"/>
    <w:rsid w:val="00F86AD4"/>
    <w:rsid w:val="00FA0113"/>
    <w:rsid w:val="00FA12B2"/>
    <w:rsid w:val="00FA7435"/>
    <w:rsid w:val="00FA7610"/>
    <w:rsid w:val="00FB02BD"/>
    <w:rsid w:val="00FB398F"/>
    <w:rsid w:val="00FB4EF8"/>
    <w:rsid w:val="00FB54AE"/>
    <w:rsid w:val="00FB709A"/>
    <w:rsid w:val="00FB78DD"/>
    <w:rsid w:val="00FC35A9"/>
    <w:rsid w:val="00FC3EF3"/>
    <w:rsid w:val="00FC5D35"/>
    <w:rsid w:val="00FC72D8"/>
    <w:rsid w:val="00FD2049"/>
    <w:rsid w:val="00FD2140"/>
    <w:rsid w:val="00FD28E9"/>
    <w:rsid w:val="00FD5B5F"/>
    <w:rsid w:val="00FD5BDE"/>
    <w:rsid w:val="00FD68EC"/>
    <w:rsid w:val="00FE24A5"/>
    <w:rsid w:val="00FE31E5"/>
    <w:rsid w:val="00FF058B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AB31A2"/>
    <w:rPr>
      <w:color w:val="954F72" w:themeColor="followedHyperlink"/>
      <w:u w:val="single"/>
    </w:rPr>
  </w:style>
  <w:style w:type="character" w:customStyle="1" w:styleId="markedcontent">
    <w:name w:val="markedcontent"/>
    <w:basedOn w:val="DefaultParagraphFont"/>
    <w:rsid w:val="008063F6"/>
  </w:style>
  <w:style w:type="character" w:customStyle="1" w:styleId="rynqvb">
    <w:name w:val="rynqvb"/>
    <w:basedOn w:val="DefaultParagraphFont"/>
    <w:rsid w:val="008E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ystat.gov.cy/el/MethodologicalDetails?m=231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KeyFiguresList?s=5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statdb.cystat.gov.cy/pxweb/el/8.CYSTAT-DB/8.CYSTAT-DB__Services_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l/PressRelease?id=7094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hyperlink" Target="mailto:amilidoni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4775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3</cp:revision>
  <cp:lastPrinted>2024-09-03T10:11:00Z</cp:lastPrinted>
  <dcterms:created xsi:type="dcterms:W3CDTF">2024-09-03T10:12:00Z</dcterms:created>
  <dcterms:modified xsi:type="dcterms:W3CDTF">2024-09-04T08:29:00Z</dcterms:modified>
</cp:coreProperties>
</file>