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45EA" w14:textId="39299E60" w:rsidR="00780DD4" w:rsidRPr="00B66EE6" w:rsidRDefault="00AE300D" w:rsidP="00780DD4">
      <w:pPr>
        <w:ind w:left="284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F2766A">
        <w:rPr>
          <w:rFonts w:ascii="Verdana" w:hAnsi="Verdana" w:cs="Arial"/>
          <w:sz w:val="18"/>
          <w:szCs w:val="18"/>
        </w:rPr>
        <w:t xml:space="preserve"> </w:t>
      </w:r>
      <w:r w:rsidR="00F4763C">
        <w:rPr>
          <w:rFonts w:ascii="Verdana" w:hAnsi="Verdana" w:cs="Arial"/>
          <w:sz w:val="18"/>
          <w:szCs w:val="18"/>
        </w:rPr>
        <w:t>March</w:t>
      </w:r>
      <w:r w:rsidR="00B66EE6">
        <w:rPr>
          <w:rFonts w:ascii="Verdana" w:hAnsi="Verdana" w:cs="Arial"/>
          <w:sz w:val="18"/>
          <w:szCs w:val="18"/>
        </w:rPr>
        <w:t>, 202</w:t>
      </w:r>
      <w:r w:rsidR="00F4763C">
        <w:rPr>
          <w:rFonts w:ascii="Verdana" w:hAnsi="Verdana" w:cs="Arial"/>
          <w:sz w:val="18"/>
          <w:szCs w:val="18"/>
        </w:rPr>
        <w:t>5</w:t>
      </w:r>
    </w:p>
    <w:p w14:paraId="4F25F33B" w14:textId="77777777" w:rsidR="00780DD4" w:rsidRPr="005376F8" w:rsidRDefault="00780DD4" w:rsidP="005376F8">
      <w:pPr>
        <w:rPr>
          <w:rFonts w:ascii="Verdana" w:eastAsia="Malgun Gothic" w:hAnsi="Verdana" w:cs="Arial"/>
          <w:b/>
          <w:sz w:val="18"/>
          <w:szCs w:val="18"/>
        </w:rPr>
      </w:pPr>
    </w:p>
    <w:p w14:paraId="7DF0F45F" w14:textId="09C33DB8" w:rsidR="00780DD4" w:rsidRDefault="00780DD4" w:rsidP="00780DD4">
      <w:pPr>
        <w:ind w:left="284"/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</w:t>
      </w:r>
      <w:r w:rsidRPr="00E74744">
        <w:rPr>
          <w:rFonts w:ascii="Verdana" w:eastAsia="Malgun Gothic" w:hAnsi="Verdana" w:cs="Arial"/>
          <w:b/>
          <w:sz w:val="24"/>
          <w:szCs w:val="24"/>
        </w:rPr>
        <w:t xml:space="preserve"> </w:t>
      </w:r>
      <w:r>
        <w:rPr>
          <w:rFonts w:ascii="Verdana" w:eastAsia="Malgun Gothic" w:hAnsi="Verdana" w:cs="Arial"/>
          <w:b/>
          <w:sz w:val="24"/>
          <w:szCs w:val="24"/>
        </w:rPr>
        <w:t>RELEASE</w:t>
      </w:r>
    </w:p>
    <w:p w14:paraId="60BF1331" w14:textId="77777777" w:rsidR="00780DD4" w:rsidRPr="005376F8" w:rsidRDefault="00780DD4" w:rsidP="00780DD4">
      <w:pPr>
        <w:ind w:left="284"/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533FA7AB" w14:textId="34CF85A4" w:rsidR="00780DD4" w:rsidRPr="000014C3" w:rsidRDefault="00780DD4" w:rsidP="00780DD4">
      <w:pPr>
        <w:rPr>
          <w:rFonts w:ascii="Verdana" w:hAnsi="Verdana"/>
          <w:bCs/>
          <w:u w:val="single"/>
          <w:shd w:val="clear" w:color="auto" w:fill="FFFFFF"/>
        </w:rPr>
      </w:pPr>
      <w:r>
        <w:rPr>
          <w:rFonts w:ascii="Verdana" w:hAnsi="Verdana"/>
          <w:bCs/>
          <w:u w:val="single"/>
          <w:shd w:val="clear" w:color="auto" w:fill="FFFFFF"/>
        </w:rPr>
        <w:t>TURNOVER VALUE INDEX OF TRANSPORT AND STORAGE</w:t>
      </w:r>
      <w:r w:rsidRPr="000014C3">
        <w:rPr>
          <w:rFonts w:ascii="Verdana" w:hAnsi="Verdana"/>
          <w:bCs/>
          <w:u w:val="single"/>
          <w:shd w:val="clear" w:color="auto" w:fill="FFFFFF"/>
        </w:rPr>
        <w:t xml:space="preserve">: </w:t>
      </w:r>
      <w:r w:rsidR="00F4763C">
        <w:rPr>
          <w:rFonts w:ascii="Verdana" w:hAnsi="Verdana"/>
          <w:b/>
          <w:bCs/>
          <w:u w:val="single"/>
          <w:shd w:val="clear" w:color="auto" w:fill="FFFFFF"/>
        </w:rPr>
        <w:t>4th</w:t>
      </w:r>
      <w:r w:rsidRPr="001D0BBD">
        <w:rPr>
          <w:rFonts w:ascii="Verdana" w:hAnsi="Verdana"/>
          <w:b/>
          <w:bCs/>
          <w:u w:val="single"/>
          <w:shd w:val="clear" w:color="auto" w:fill="FFFFFF"/>
        </w:rPr>
        <w:t xml:space="preserve"> </w:t>
      </w:r>
      <w:r>
        <w:rPr>
          <w:rFonts w:ascii="Verdana" w:hAnsi="Verdana"/>
          <w:b/>
          <w:bCs/>
          <w:u w:val="single"/>
          <w:shd w:val="clear" w:color="auto" w:fill="FFFFFF"/>
        </w:rPr>
        <w:t>QUARTER</w:t>
      </w:r>
      <w:r w:rsidRPr="000014C3">
        <w:rPr>
          <w:rFonts w:ascii="Verdana" w:hAnsi="Verdana"/>
          <w:b/>
          <w:bCs/>
          <w:u w:val="single"/>
          <w:shd w:val="clear" w:color="auto" w:fill="FFFFFF"/>
        </w:rPr>
        <w:t xml:space="preserve"> 202</w:t>
      </w:r>
      <w:r w:rsidR="00596082">
        <w:rPr>
          <w:rFonts w:ascii="Verdana" w:hAnsi="Verdana"/>
          <w:b/>
          <w:bCs/>
          <w:u w:val="single"/>
          <w:shd w:val="clear" w:color="auto" w:fill="FFFFFF"/>
        </w:rPr>
        <w:t>4</w:t>
      </w:r>
    </w:p>
    <w:p w14:paraId="4C103A2A" w14:textId="77777777" w:rsidR="00780DD4" w:rsidRPr="005376F8" w:rsidRDefault="00780DD4" w:rsidP="00780DD4">
      <w:pPr>
        <w:jc w:val="both"/>
        <w:rPr>
          <w:rFonts w:ascii="Verdana" w:hAnsi="Verdana" w:cs="Arial"/>
          <w:sz w:val="18"/>
          <w:szCs w:val="18"/>
        </w:rPr>
      </w:pPr>
    </w:p>
    <w:p w14:paraId="25943E71" w14:textId="30262C67" w:rsidR="00780DD4" w:rsidRDefault="00780DD4" w:rsidP="00780DD4">
      <w:pPr>
        <w:ind w:left="284"/>
        <w:jc w:val="center"/>
        <w:rPr>
          <w:rFonts w:ascii="Verdana" w:hAnsi="Verdana" w:cs="Arial"/>
        </w:rPr>
      </w:pPr>
      <w:r>
        <w:rPr>
          <w:rFonts w:ascii="Verdana" w:eastAsia="Malgun Gothic" w:hAnsi="Verdana" w:cs="Arial"/>
          <w:b/>
        </w:rPr>
        <w:t>Annual</w:t>
      </w:r>
      <w:r w:rsidRPr="008D5F44">
        <w:rPr>
          <w:rFonts w:ascii="Verdana" w:eastAsia="Malgun Gothic" w:hAnsi="Verdana" w:cs="Arial"/>
          <w:b/>
        </w:rPr>
        <w:t xml:space="preserve"> </w:t>
      </w:r>
      <w:r>
        <w:rPr>
          <w:rFonts w:ascii="Verdana" w:eastAsia="Malgun Gothic" w:hAnsi="Verdana" w:cs="Arial"/>
          <w:b/>
        </w:rPr>
        <w:t>Change</w:t>
      </w:r>
      <w:r w:rsidRPr="008D5F44">
        <w:rPr>
          <w:rFonts w:ascii="Verdana" w:eastAsia="Malgun Gothic" w:hAnsi="Verdana" w:cs="Arial"/>
          <w:b/>
        </w:rPr>
        <w:t xml:space="preserve"> </w:t>
      </w:r>
      <w:r w:rsidR="00F2766A">
        <w:rPr>
          <w:rFonts w:ascii="Verdana" w:eastAsia="Malgun Gothic" w:hAnsi="Verdana" w:cs="Arial"/>
          <w:b/>
        </w:rPr>
        <w:t>+</w:t>
      </w:r>
      <w:r w:rsidR="008B6D27">
        <w:rPr>
          <w:rFonts w:ascii="Verdana" w:eastAsia="Malgun Gothic" w:hAnsi="Verdana" w:cs="Arial"/>
          <w:b/>
        </w:rPr>
        <w:t>2,</w:t>
      </w:r>
      <w:r w:rsidR="00F4763C">
        <w:rPr>
          <w:rFonts w:ascii="Verdana" w:eastAsia="Malgun Gothic" w:hAnsi="Verdana" w:cs="Arial"/>
          <w:b/>
        </w:rPr>
        <w:t>2</w:t>
      </w:r>
      <w:r w:rsidRPr="008D5F44">
        <w:rPr>
          <w:rFonts w:ascii="Verdana" w:eastAsia="Malgun Gothic" w:hAnsi="Verdana" w:cs="Arial"/>
          <w:b/>
        </w:rPr>
        <w:t>%</w:t>
      </w:r>
    </w:p>
    <w:p w14:paraId="7A8D9704" w14:textId="77777777" w:rsidR="00596082" w:rsidRPr="00A62CAB" w:rsidRDefault="00596082" w:rsidP="0059608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2BB68EC" w14:textId="71A8DA9F" w:rsidR="00E77E77" w:rsidRDefault="00596082" w:rsidP="00596082">
      <w:pPr>
        <w:jc w:val="both"/>
        <w:rPr>
          <w:rFonts w:ascii="Verdana" w:hAnsi="Verdana"/>
          <w:sz w:val="18"/>
          <w:szCs w:val="18"/>
          <w:shd w:val="clear" w:color="auto" w:fill="FFFFFF"/>
          <w:lang w:val="en-GB"/>
        </w:rPr>
      </w:pPr>
      <w:r w:rsidRPr="00FC3D6D">
        <w:rPr>
          <w:rFonts w:ascii="Verdana" w:hAnsi="Verdana"/>
          <w:sz w:val="18"/>
          <w:szCs w:val="18"/>
          <w:shd w:val="clear" w:color="auto" w:fill="FFFFFF"/>
        </w:rPr>
        <w:t xml:space="preserve">The Turnover Value Index of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Transport and Storage 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 xml:space="preserve">during the </w:t>
      </w:r>
      <w:r w:rsidR="00F4763C">
        <w:rPr>
          <w:rFonts w:ascii="Verdana" w:hAnsi="Verdana"/>
          <w:sz w:val="18"/>
          <w:szCs w:val="18"/>
          <w:shd w:val="clear" w:color="auto" w:fill="FFFFFF"/>
        </w:rPr>
        <w:t>fourth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 xml:space="preserve"> quarter of 2024</w:t>
      </w:r>
      <w:r w:rsidR="0008669B">
        <w:rPr>
          <w:rFonts w:ascii="Verdana" w:hAnsi="Verdana"/>
          <w:sz w:val="18"/>
          <w:szCs w:val="18"/>
          <w:shd w:val="clear" w:color="auto" w:fill="FFFFFF"/>
        </w:rPr>
        <w:t xml:space="preserve"> reached </w:t>
      </w:r>
      <w:r w:rsidR="00F4763C">
        <w:rPr>
          <w:rFonts w:ascii="Verdana" w:hAnsi="Verdana"/>
          <w:sz w:val="18"/>
          <w:szCs w:val="18"/>
          <w:shd w:val="clear" w:color="auto" w:fill="FFFFFF"/>
        </w:rPr>
        <w:t>142,4</w:t>
      </w:r>
      <w:r w:rsidR="0008669B">
        <w:rPr>
          <w:rFonts w:ascii="Verdana" w:hAnsi="Verdana"/>
          <w:sz w:val="18"/>
          <w:szCs w:val="18"/>
          <w:shd w:val="clear" w:color="auto" w:fill="FFFFFF"/>
        </w:rPr>
        <w:t xml:space="preserve"> units </w:t>
      </w:r>
      <w:r w:rsidR="0008669B" w:rsidRPr="00E77E77">
        <w:rPr>
          <w:rFonts w:ascii="Verdana" w:hAnsi="Verdana"/>
          <w:sz w:val="18"/>
          <w:szCs w:val="18"/>
          <w:shd w:val="clear" w:color="auto" w:fill="FFFFFF"/>
        </w:rPr>
        <w:t>(base year 20</w:t>
      </w:r>
      <w:r w:rsidR="0008669B">
        <w:rPr>
          <w:rFonts w:ascii="Verdana" w:hAnsi="Verdana"/>
          <w:sz w:val="18"/>
          <w:szCs w:val="18"/>
          <w:shd w:val="clear" w:color="auto" w:fill="FFFFFF"/>
        </w:rPr>
        <w:t>21</w:t>
      </w:r>
      <w:r w:rsidR="0008669B" w:rsidRPr="00E77E77">
        <w:rPr>
          <w:rFonts w:ascii="Verdana" w:hAnsi="Verdana"/>
          <w:sz w:val="18"/>
          <w:szCs w:val="18"/>
          <w:shd w:val="clear" w:color="auto" w:fill="FFFFFF"/>
        </w:rPr>
        <w:t xml:space="preserve">=100), 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>record</w:t>
      </w:r>
      <w:r w:rsidR="00132B6D">
        <w:rPr>
          <w:rFonts w:ascii="Verdana" w:hAnsi="Verdana"/>
          <w:sz w:val="18"/>
          <w:szCs w:val="18"/>
          <w:shd w:val="clear" w:color="auto" w:fill="FFFFFF"/>
        </w:rPr>
        <w:t>ing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08669B">
        <w:rPr>
          <w:rFonts w:ascii="Verdana" w:hAnsi="Verdana"/>
          <w:sz w:val="18"/>
          <w:szCs w:val="18"/>
          <w:shd w:val="clear" w:color="auto" w:fill="FFFFFF"/>
        </w:rPr>
        <w:t>a</w:t>
      </w:r>
      <w:r w:rsidR="00F2766A">
        <w:rPr>
          <w:rFonts w:ascii="Verdana" w:hAnsi="Verdana"/>
          <w:sz w:val="18"/>
          <w:szCs w:val="18"/>
          <w:shd w:val="clear" w:color="auto" w:fill="FFFFFF"/>
        </w:rPr>
        <w:t>n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F2766A">
        <w:rPr>
          <w:rFonts w:ascii="Verdana" w:hAnsi="Verdana"/>
          <w:sz w:val="18"/>
          <w:szCs w:val="18"/>
          <w:shd w:val="clear" w:color="auto" w:fill="FFFFFF"/>
        </w:rPr>
        <w:t>in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>crease</w:t>
      </w:r>
      <w:r w:rsidR="0063389E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 w:rsidR="008B6D27">
        <w:rPr>
          <w:rFonts w:ascii="Verdana" w:hAnsi="Verdana"/>
          <w:sz w:val="18"/>
          <w:szCs w:val="18"/>
          <w:shd w:val="clear" w:color="auto" w:fill="FFFFFF"/>
        </w:rPr>
        <w:t>2,</w:t>
      </w:r>
      <w:r w:rsidR="00F4763C">
        <w:rPr>
          <w:rFonts w:ascii="Verdana" w:hAnsi="Verdana"/>
          <w:sz w:val="18"/>
          <w:szCs w:val="18"/>
          <w:shd w:val="clear" w:color="auto" w:fill="FFFFFF"/>
        </w:rPr>
        <w:t>2</w:t>
      </w:r>
      <w:r w:rsidRPr="00FC3D6D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FC3D6D">
        <w:rPr>
          <w:rFonts w:ascii="Verdana" w:hAnsi="Verdana"/>
          <w:sz w:val="18"/>
          <w:szCs w:val="18"/>
          <w:shd w:val="clear" w:color="auto" w:fill="FFFFFF"/>
          <w:lang w:val="en-GB"/>
        </w:rPr>
        <w:t>previous year.</w:t>
      </w:r>
    </w:p>
    <w:p w14:paraId="377AC4C6" w14:textId="77777777" w:rsidR="00600088" w:rsidRDefault="00600088" w:rsidP="0059608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F257768" w14:textId="473540C2" w:rsidR="00940592" w:rsidRDefault="00940592" w:rsidP="003F542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C57FCA">
        <w:rPr>
          <w:rFonts w:ascii="Verdana" w:hAnsi="Verdana"/>
          <w:sz w:val="18"/>
          <w:szCs w:val="18"/>
          <w:shd w:val="clear" w:color="auto" w:fill="FFFFFF"/>
        </w:rPr>
        <w:t xml:space="preserve">By economic activity,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C57FCA">
        <w:rPr>
          <w:rFonts w:ascii="Verdana" w:hAnsi="Verdana"/>
          <w:sz w:val="18"/>
          <w:szCs w:val="18"/>
          <w:shd w:val="clear" w:color="auto" w:fill="FFFFFF"/>
        </w:rPr>
        <w:t xml:space="preserve">creases relative to the </w:t>
      </w:r>
      <w:r w:rsidR="00FF4896">
        <w:rPr>
          <w:rFonts w:ascii="Verdana" w:hAnsi="Verdana"/>
          <w:sz w:val="18"/>
          <w:szCs w:val="18"/>
          <w:shd w:val="clear" w:color="auto" w:fill="FFFFFF"/>
        </w:rPr>
        <w:t>fourth</w:t>
      </w:r>
      <w:r w:rsidRPr="00C57FCA">
        <w:rPr>
          <w:rFonts w:ascii="Verdana" w:hAnsi="Verdana"/>
          <w:sz w:val="18"/>
          <w:szCs w:val="18"/>
          <w:shd w:val="clear" w:color="auto" w:fill="FFFFFF"/>
        </w:rPr>
        <w:t xml:space="preserve"> quarter of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the previous year </w:t>
      </w:r>
      <w:r w:rsidRPr="00C57FCA">
        <w:rPr>
          <w:rFonts w:ascii="Verdana" w:hAnsi="Verdana"/>
          <w:sz w:val="18"/>
          <w:szCs w:val="18"/>
          <w:shd w:val="clear" w:color="auto" w:fill="FFFFFF"/>
        </w:rPr>
        <w:t>were observed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B6D27" w:rsidRPr="00C57FCA">
        <w:rPr>
          <w:rFonts w:ascii="Verdana" w:hAnsi="Verdana"/>
          <w:sz w:val="18"/>
          <w:szCs w:val="18"/>
          <w:shd w:val="clear" w:color="auto" w:fill="FFFFFF"/>
        </w:rPr>
        <w:t>in water transport</w:t>
      </w:r>
      <w:r w:rsidR="008B6D27">
        <w:rPr>
          <w:rFonts w:ascii="Verdana" w:hAnsi="Verdana"/>
          <w:sz w:val="18"/>
          <w:szCs w:val="18"/>
          <w:shd w:val="clear" w:color="auto" w:fill="FFFFFF"/>
        </w:rPr>
        <w:t xml:space="preserve"> (</w:t>
      </w:r>
      <w:r w:rsidR="00F4763C">
        <w:rPr>
          <w:rFonts w:ascii="Verdana" w:hAnsi="Verdana"/>
          <w:sz w:val="18"/>
          <w:szCs w:val="18"/>
          <w:shd w:val="clear" w:color="auto" w:fill="FFFFFF"/>
        </w:rPr>
        <w:t>38,6</w:t>
      </w:r>
      <w:r w:rsidR="008B6D27">
        <w:rPr>
          <w:rFonts w:ascii="Verdana" w:hAnsi="Verdana"/>
          <w:sz w:val="18"/>
          <w:szCs w:val="18"/>
          <w:shd w:val="clear" w:color="auto" w:fill="FFFFFF"/>
        </w:rPr>
        <w:t>%</w:t>
      </w:r>
      <w:r w:rsidR="008B6D27" w:rsidRPr="00A45102">
        <w:rPr>
          <w:rFonts w:ascii="Verdana" w:hAnsi="Verdana"/>
          <w:sz w:val="18"/>
          <w:szCs w:val="18"/>
          <w:shd w:val="clear" w:color="auto" w:fill="FFFFFF"/>
        </w:rPr>
        <w:t>)</w:t>
      </w:r>
      <w:r w:rsidR="008B6D27">
        <w:rPr>
          <w:rFonts w:ascii="Verdana" w:hAnsi="Verdana"/>
          <w:sz w:val="18"/>
          <w:szCs w:val="18"/>
          <w:shd w:val="clear" w:color="auto" w:fill="FFFFFF"/>
        </w:rPr>
        <w:t>,</w:t>
      </w:r>
      <w:r w:rsidR="00F4763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F4763C" w:rsidRPr="00C57FCA">
        <w:rPr>
          <w:rFonts w:ascii="Verdana" w:hAnsi="Verdana"/>
          <w:sz w:val="18"/>
          <w:szCs w:val="18"/>
          <w:shd w:val="clear" w:color="auto" w:fill="FFFFFF"/>
        </w:rPr>
        <w:t>in air transport</w:t>
      </w:r>
      <w:r w:rsidR="00F4763C">
        <w:rPr>
          <w:rFonts w:ascii="Verdana" w:hAnsi="Verdana"/>
          <w:sz w:val="18"/>
          <w:szCs w:val="18"/>
          <w:shd w:val="clear" w:color="auto" w:fill="FFFFFF"/>
        </w:rPr>
        <w:t xml:space="preserve"> (22,5</w:t>
      </w:r>
      <w:r w:rsidR="00F4763C" w:rsidRPr="00C57FCA">
        <w:rPr>
          <w:rFonts w:ascii="Verdana" w:hAnsi="Verdana"/>
          <w:sz w:val="18"/>
          <w:szCs w:val="18"/>
          <w:shd w:val="clear" w:color="auto" w:fill="FFFFFF"/>
        </w:rPr>
        <w:t>%</w:t>
      </w:r>
      <w:r w:rsidR="00F4763C" w:rsidRPr="00A45102">
        <w:rPr>
          <w:rFonts w:ascii="Verdana" w:hAnsi="Verdana"/>
          <w:sz w:val="18"/>
          <w:szCs w:val="18"/>
          <w:shd w:val="clear" w:color="auto" w:fill="FFFFFF"/>
        </w:rPr>
        <w:t>)</w:t>
      </w:r>
      <w:r w:rsidR="00F4763C">
        <w:rPr>
          <w:rFonts w:ascii="Verdana" w:hAnsi="Verdana"/>
          <w:sz w:val="18"/>
          <w:szCs w:val="18"/>
          <w:shd w:val="clear" w:color="auto" w:fill="FFFFFF"/>
        </w:rPr>
        <w:t>,</w:t>
      </w:r>
      <w:r w:rsidR="008B6D27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F4763C">
        <w:rPr>
          <w:rFonts w:ascii="Verdana" w:hAnsi="Verdana"/>
          <w:sz w:val="18"/>
          <w:szCs w:val="18"/>
          <w:shd w:val="clear" w:color="auto" w:fill="FFFFFF"/>
        </w:rPr>
        <w:t xml:space="preserve">in </w:t>
      </w:r>
      <w:r w:rsidR="00F4763C" w:rsidRPr="00C57FCA">
        <w:rPr>
          <w:rFonts w:ascii="Verdana" w:hAnsi="Verdana"/>
          <w:sz w:val="18"/>
          <w:szCs w:val="18"/>
          <w:shd w:val="clear" w:color="auto" w:fill="FFFFFF"/>
        </w:rPr>
        <w:t>postal and courier activities</w:t>
      </w:r>
      <w:r w:rsidR="00F4763C" w:rsidRPr="00791C88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F4763C">
        <w:rPr>
          <w:rFonts w:ascii="Verdana" w:hAnsi="Verdana"/>
          <w:sz w:val="18"/>
          <w:szCs w:val="18"/>
          <w:shd w:val="clear" w:color="auto" w:fill="FFFFFF"/>
        </w:rPr>
        <w:t>(10,8</w:t>
      </w:r>
      <w:r w:rsidR="00F4763C" w:rsidRPr="00C57FCA">
        <w:rPr>
          <w:rFonts w:ascii="Verdana" w:hAnsi="Verdana"/>
          <w:sz w:val="18"/>
          <w:szCs w:val="18"/>
          <w:shd w:val="clear" w:color="auto" w:fill="FFFFFF"/>
        </w:rPr>
        <w:t>%</w:t>
      </w:r>
      <w:r w:rsidR="00F4763C" w:rsidRPr="00A45102">
        <w:rPr>
          <w:rFonts w:ascii="Verdana" w:hAnsi="Verdana"/>
          <w:sz w:val="18"/>
          <w:szCs w:val="18"/>
          <w:shd w:val="clear" w:color="auto" w:fill="FFFFFF"/>
        </w:rPr>
        <w:t>)</w:t>
      </w:r>
      <w:r w:rsidR="00F4763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="003E4C89">
        <w:rPr>
          <w:rFonts w:ascii="Verdana" w:hAnsi="Verdana"/>
          <w:sz w:val="18"/>
          <w:szCs w:val="18"/>
          <w:shd w:val="clear" w:color="auto" w:fill="FFFFFF"/>
        </w:rPr>
        <w:t xml:space="preserve">in </w:t>
      </w:r>
      <w:r w:rsidR="003E4C89" w:rsidRPr="00C57FCA">
        <w:rPr>
          <w:rFonts w:ascii="Verdana" w:hAnsi="Verdana"/>
          <w:sz w:val="18"/>
          <w:szCs w:val="18"/>
          <w:shd w:val="clear" w:color="auto" w:fill="FFFFFF"/>
        </w:rPr>
        <w:t>land transport</w:t>
      </w:r>
      <w:r w:rsidR="003E4C89">
        <w:rPr>
          <w:rFonts w:ascii="Verdana" w:hAnsi="Verdana"/>
          <w:sz w:val="18"/>
          <w:szCs w:val="18"/>
          <w:shd w:val="clear" w:color="auto" w:fill="FFFFFF"/>
        </w:rPr>
        <w:t xml:space="preserve"> (</w:t>
      </w:r>
      <w:r w:rsidR="008B6D27">
        <w:rPr>
          <w:rFonts w:ascii="Verdana" w:hAnsi="Verdana"/>
          <w:sz w:val="18"/>
          <w:szCs w:val="18"/>
          <w:shd w:val="clear" w:color="auto" w:fill="FFFFFF"/>
        </w:rPr>
        <w:t>7,1</w:t>
      </w:r>
      <w:r w:rsidR="003E4C89">
        <w:rPr>
          <w:rFonts w:ascii="Verdana" w:hAnsi="Verdana"/>
          <w:sz w:val="18"/>
          <w:szCs w:val="18"/>
          <w:shd w:val="clear" w:color="auto" w:fill="FFFFFF"/>
        </w:rPr>
        <w:t>%</w:t>
      </w:r>
      <w:r w:rsidR="003E4C89" w:rsidRPr="00A45102">
        <w:rPr>
          <w:rFonts w:ascii="Verdana" w:hAnsi="Verdana"/>
          <w:sz w:val="18"/>
          <w:szCs w:val="18"/>
          <w:shd w:val="clear" w:color="auto" w:fill="FFFFFF"/>
        </w:rPr>
        <w:t>)</w:t>
      </w:r>
      <w:r w:rsidR="00C601B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3F5422">
        <w:rPr>
          <w:rFonts w:ascii="Verdana" w:hAnsi="Verdana"/>
          <w:sz w:val="18"/>
          <w:szCs w:val="18"/>
          <w:shd w:val="clear" w:color="auto" w:fill="FFFFFF"/>
        </w:rPr>
        <w:t>and</w:t>
      </w:r>
      <w:r w:rsidR="00F2766A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C57FCA">
        <w:rPr>
          <w:rFonts w:ascii="Verdana" w:hAnsi="Verdana"/>
          <w:sz w:val="18"/>
          <w:szCs w:val="18"/>
          <w:shd w:val="clear" w:color="auto" w:fill="FFFFFF"/>
        </w:rPr>
        <w:t>in warehousing and support activities for transportation</w:t>
      </w:r>
      <w:r w:rsidR="00791C88">
        <w:rPr>
          <w:rFonts w:ascii="Verdana" w:hAnsi="Verdana"/>
          <w:sz w:val="18"/>
          <w:szCs w:val="18"/>
          <w:shd w:val="clear" w:color="auto" w:fill="FFFFFF"/>
        </w:rPr>
        <w:t xml:space="preserve"> (</w:t>
      </w:r>
      <w:r w:rsidR="00C601BC">
        <w:rPr>
          <w:rFonts w:ascii="Verdana" w:hAnsi="Verdana"/>
          <w:sz w:val="18"/>
          <w:szCs w:val="18"/>
          <w:shd w:val="clear" w:color="auto" w:fill="FFFFFF"/>
        </w:rPr>
        <w:t>0</w:t>
      </w:r>
      <w:r w:rsidR="00F2766A">
        <w:rPr>
          <w:rFonts w:ascii="Verdana" w:hAnsi="Verdana"/>
          <w:sz w:val="18"/>
          <w:szCs w:val="18"/>
          <w:shd w:val="clear" w:color="auto" w:fill="FFFFFF"/>
        </w:rPr>
        <w:t>,</w:t>
      </w:r>
      <w:r w:rsidR="008D0304">
        <w:rPr>
          <w:rFonts w:ascii="Verdana" w:hAnsi="Verdana"/>
          <w:sz w:val="18"/>
          <w:szCs w:val="18"/>
          <w:shd w:val="clear" w:color="auto" w:fill="FFFFFF"/>
        </w:rPr>
        <w:t>4</w:t>
      </w:r>
      <w:r w:rsidRPr="00C57FCA">
        <w:rPr>
          <w:rFonts w:ascii="Verdana" w:hAnsi="Verdana"/>
          <w:sz w:val="18"/>
          <w:szCs w:val="18"/>
          <w:shd w:val="clear" w:color="auto" w:fill="FFFFFF"/>
        </w:rPr>
        <w:t>%</w:t>
      </w:r>
      <w:r w:rsidR="00A45102" w:rsidRPr="00A45102">
        <w:rPr>
          <w:rFonts w:ascii="Verdana" w:hAnsi="Verdana"/>
          <w:sz w:val="18"/>
          <w:szCs w:val="18"/>
          <w:shd w:val="clear" w:color="auto" w:fill="FFFFFF"/>
        </w:rPr>
        <w:t>)</w:t>
      </w:r>
      <w:r w:rsidR="003F5422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076CA4F2" w14:textId="77777777" w:rsidR="00F2766A" w:rsidRDefault="00F2766A" w:rsidP="003F542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7717BAC" w14:textId="60CBD74D" w:rsidR="00F2766A" w:rsidRPr="00596082" w:rsidRDefault="00F2766A" w:rsidP="00F2766A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F2766A">
        <w:rPr>
          <w:rFonts w:ascii="Verdana" w:hAnsi="Verdana"/>
          <w:sz w:val="18"/>
          <w:szCs w:val="18"/>
          <w:shd w:val="clear" w:color="auto" w:fill="FFFFFF"/>
        </w:rPr>
        <w:t>During the period January-</w:t>
      </w:r>
      <w:r w:rsidR="00C601BC">
        <w:rPr>
          <w:rFonts w:ascii="Verdana" w:hAnsi="Verdana"/>
          <w:sz w:val="18"/>
          <w:szCs w:val="18"/>
          <w:shd w:val="clear" w:color="auto" w:fill="FFFFFF"/>
        </w:rPr>
        <w:t>December</w:t>
      </w:r>
      <w:r w:rsidRPr="00F2766A">
        <w:rPr>
          <w:rFonts w:ascii="Verdana" w:hAnsi="Verdana"/>
          <w:sz w:val="18"/>
          <w:szCs w:val="18"/>
          <w:shd w:val="clear" w:color="auto" w:fill="FFFFFF"/>
        </w:rPr>
        <w:t xml:space="preserve"> 2024, </w:t>
      </w:r>
      <w:r>
        <w:rPr>
          <w:rFonts w:ascii="Verdana" w:hAnsi="Verdana"/>
          <w:sz w:val="18"/>
          <w:szCs w:val="18"/>
          <w:shd w:val="clear" w:color="auto" w:fill="FFFFFF"/>
        </w:rPr>
        <w:t>t</w:t>
      </w:r>
      <w:r w:rsidRPr="00E77E77">
        <w:rPr>
          <w:rFonts w:ascii="Verdana" w:hAnsi="Verdana"/>
          <w:sz w:val="18"/>
          <w:szCs w:val="18"/>
          <w:shd w:val="clear" w:color="auto" w:fill="FFFFFF"/>
        </w:rPr>
        <w:t>he Turnover Value Index of Transport and Storage recorded an increase of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1,</w:t>
      </w:r>
      <w:r w:rsidR="00FF4896">
        <w:rPr>
          <w:rFonts w:ascii="Verdana" w:hAnsi="Verdana"/>
          <w:sz w:val="18"/>
          <w:szCs w:val="18"/>
          <w:shd w:val="clear" w:color="auto" w:fill="FFFFFF"/>
        </w:rPr>
        <w:t>6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% </w:t>
      </w:r>
      <w:r w:rsidRPr="00F2766A">
        <w:rPr>
          <w:rFonts w:ascii="Verdana" w:hAnsi="Verdana"/>
          <w:sz w:val="18"/>
          <w:szCs w:val="18"/>
          <w:shd w:val="clear" w:color="auto" w:fill="FFFFFF"/>
        </w:rPr>
        <w:t>compared to the corresponding period of 2023.</w:t>
      </w:r>
    </w:p>
    <w:p w14:paraId="3AD631CE" w14:textId="77777777" w:rsidR="00791C88" w:rsidRDefault="00791C88" w:rsidP="0059608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1B2CB45" w14:textId="2E49A1E7" w:rsidR="00780DD4" w:rsidRPr="00644534" w:rsidRDefault="00AE300D" w:rsidP="008F1A81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28EABF21" wp14:editId="2C104CCB">
            <wp:extent cx="6124575" cy="4838700"/>
            <wp:effectExtent l="0" t="0" r="9525" b="0"/>
            <wp:docPr id="16456810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3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7B0D4" w14:textId="549A880E" w:rsidR="003F5422" w:rsidRPr="00C85230" w:rsidRDefault="003F5422" w:rsidP="003F5422">
      <w:pPr>
        <w:jc w:val="both"/>
        <w:rPr>
          <w:rFonts w:ascii="Verdana" w:hAnsi="Verdana"/>
          <w:color w:val="2F5496" w:themeColor="accent1" w:themeShade="BF"/>
          <w:sz w:val="16"/>
          <w:szCs w:val="16"/>
          <w:shd w:val="clear" w:color="auto" w:fill="FFFFFF"/>
        </w:rPr>
      </w:pPr>
      <w:r w:rsidRPr="008F1A81">
        <w:rPr>
          <w:rFonts w:ascii="Verdana" w:hAnsi="Verdana"/>
          <w:color w:val="2F5496" w:themeColor="accent1" w:themeShade="BF"/>
          <w:sz w:val="16"/>
          <w:szCs w:val="16"/>
          <w:shd w:val="clear" w:color="auto" w:fill="FFFFFF"/>
        </w:rPr>
        <w:t>Note: The graph does not include NACE division 51</w:t>
      </w:r>
      <w:r w:rsidR="005376F8" w:rsidRPr="005376F8">
        <w:rPr>
          <w:rFonts w:ascii="Verdana" w:eastAsia="Times New Roman" w:hAnsi="Verdana" w:cs="Calibri"/>
          <w:color w:val="365F91"/>
          <w:sz w:val="18"/>
          <w:szCs w:val="18"/>
          <w:lang w:val="en-CY" w:eastAsia="en-CY" w:bidi="he-IL"/>
        </w:rPr>
        <w:t xml:space="preserve"> </w:t>
      </w:r>
      <w:r w:rsidR="005376F8" w:rsidRPr="00C85230">
        <w:rPr>
          <w:rFonts w:ascii="Verdana" w:eastAsia="Times New Roman" w:hAnsi="Verdana" w:cs="Calibri"/>
          <w:color w:val="365F91"/>
          <w:sz w:val="16"/>
          <w:szCs w:val="16"/>
          <w:lang w:val="en-CY" w:eastAsia="en-CY" w:bidi="he-IL"/>
        </w:rPr>
        <w:t xml:space="preserve">Air </w:t>
      </w:r>
      <w:r w:rsidR="005376F8" w:rsidRPr="00C85230">
        <w:rPr>
          <w:rFonts w:ascii="Verdana" w:eastAsia="Times New Roman" w:hAnsi="Verdana" w:cs="Calibri"/>
          <w:color w:val="365F91"/>
          <w:sz w:val="16"/>
          <w:szCs w:val="16"/>
          <w:lang w:eastAsia="en-CY" w:bidi="he-IL"/>
        </w:rPr>
        <w:t>T</w:t>
      </w:r>
      <w:proofErr w:type="spellStart"/>
      <w:r w:rsidR="005376F8" w:rsidRPr="00C85230">
        <w:rPr>
          <w:rFonts w:ascii="Verdana" w:eastAsia="Times New Roman" w:hAnsi="Verdana" w:cs="Calibri"/>
          <w:color w:val="365F91"/>
          <w:sz w:val="16"/>
          <w:szCs w:val="16"/>
          <w:lang w:val="en-CY" w:eastAsia="en-CY" w:bidi="he-IL"/>
        </w:rPr>
        <w:t>ransport</w:t>
      </w:r>
      <w:proofErr w:type="spellEnd"/>
      <w:r w:rsidRPr="00C85230">
        <w:rPr>
          <w:rFonts w:ascii="Verdana" w:hAnsi="Verdana"/>
          <w:color w:val="2F5496" w:themeColor="accent1" w:themeShade="BF"/>
          <w:sz w:val="16"/>
          <w:szCs w:val="16"/>
          <w:shd w:val="clear" w:color="auto" w:fill="FFFFFF"/>
        </w:rPr>
        <w:t>.</w:t>
      </w:r>
    </w:p>
    <w:p w14:paraId="234D8349" w14:textId="77777777" w:rsidR="00C24544" w:rsidRDefault="00C24544" w:rsidP="00780DD4">
      <w:pPr>
        <w:jc w:val="both"/>
        <w:rPr>
          <w:rFonts w:ascii="Verdana" w:hAnsi="Verdana"/>
          <w:color w:val="0000FF"/>
          <w:sz w:val="18"/>
          <w:szCs w:val="18"/>
          <w:shd w:val="clear" w:color="auto" w:fill="FFFFFF"/>
        </w:rPr>
      </w:pPr>
    </w:p>
    <w:p w14:paraId="6CB5B975" w14:textId="77777777" w:rsidR="00780DD4" w:rsidRDefault="00780DD4" w:rsidP="00CF2BD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2924"/>
        <w:gridCol w:w="1208"/>
        <w:gridCol w:w="1208"/>
        <w:gridCol w:w="239"/>
        <w:gridCol w:w="1783"/>
        <w:gridCol w:w="1810"/>
      </w:tblGrid>
      <w:tr w:rsidR="00A45102" w14:paraId="795F859E" w14:textId="77777777" w:rsidTr="0099602A">
        <w:trPr>
          <w:trHeight w:val="170"/>
          <w:jc w:val="center"/>
        </w:trPr>
        <w:tc>
          <w:tcPr>
            <w:tcW w:w="1103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0C0F43A9" w14:textId="77777777" w:rsidR="00A45102" w:rsidRDefault="00A45102" w:rsidP="0099602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lastRenderedPageBreak/>
              <w:t>Table 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40A35315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54B7184E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0F2C53B6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32942BC2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A45102" w14:paraId="370755FF" w14:textId="77777777" w:rsidTr="0099602A">
        <w:trPr>
          <w:trHeight w:val="680"/>
          <w:jc w:val="center"/>
        </w:trPr>
        <w:tc>
          <w:tcPr>
            <w:tcW w:w="1103" w:type="dxa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</w:tcPr>
          <w:p w14:paraId="6095FDED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753B4CEE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Code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NACE 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Rev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7F032C82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7CF86B7" w14:textId="503E0131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Economic </w:t>
            </w:r>
            <w:proofErr w:type="spellStart"/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Activity</w:t>
            </w:r>
            <w:proofErr w:type="spellEnd"/>
          </w:p>
        </w:tc>
        <w:tc>
          <w:tcPr>
            <w:tcW w:w="2416" w:type="dxa"/>
            <w:gridSpan w:val="2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F6FEE54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Turnover Value Index</w:t>
            </w:r>
          </w:p>
          <w:p w14:paraId="7416C9CE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(2021=100)</w:t>
            </w:r>
          </w:p>
        </w:tc>
        <w:tc>
          <w:tcPr>
            <w:tcW w:w="239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2948D401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69FA010E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Percentage Change (%)</w:t>
            </w:r>
          </w:p>
        </w:tc>
      </w:tr>
      <w:tr w:rsidR="00A45102" w14:paraId="66DDB619" w14:textId="77777777" w:rsidTr="0099602A">
        <w:trPr>
          <w:trHeight w:val="624"/>
          <w:jc w:val="center"/>
        </w:trPr>
        <w:tc>
          <w:tcPr>
            <w:tcW w:w="1103" w:type="dxa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F7ADE4C" w14:textId="77777777" w:rsidR="00A45102" w:rsidRDefault="00A45102" w:rsidP="0099602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924" w:type="dxa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17AEC81A" w14:textId="77777777" w:rsidR="00A45102" w:rsidRDefault="00A45102" w:rsidP="0099602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73F53A8" w14:textId="1268BE5E" w:rsidR="00A45102" w:rsidRDefault="00F4763C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20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43790F13" w14:textId="5B5CE89F" w:rsidR="00A45102" w:rsidRDefault="00F4763C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16442AD7" w14:textId="77777777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502C32E7" w14:textId="423AB68D" w:rsidR="00A45102" w:rsidRDefault="00F4763C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/20</w:t>
            </w:r>
            <w:r w:rsidR="00A4510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  <w:tc>
          <w:tcPr>
            <w:tcW w:w="1810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4AA9959E" w14:textId="0FECD952" w:rsidR="00A45102" w:rsidRDefault="00A45102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Jan-</w:t>
            </w:r>
            <w:r w:rsidR="00F4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</w:t>
            </w:r>
            <w:r w:rsidR="00F2766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/20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</w:t>
            </w:r>
            <w:r w:rsidR="00F2766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</w:t>
            </w:r>
          </w:p>
        </w:tc>
      </w:tr>
      <w:tr w:rsidR="00FF4896" w14:paraId="03CFB9BF" w14:textId="77777777" w:rsidTr="00E97C5D">
        <w:trPr>
          <w:trHeight w:val="794"/>
          <w:jc w:val="center"/>
        </w:trPr>
        <w:tc>
          <w:tcPr>
            <w:tcW w:w="1103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4F69F20C" w14:textId="61541A77" w:rsidR="00FF4896" w:rsidRDefault="00FF4896" w:rsidP="00FF4896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H</w:t>
            </w:r>
          </w:p>
        </w:tc>
        <w:tc>
          <w:tcPr>
            <w:tcW w:w="2924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7288256A" w14:textId="77777777" w:rsidR="00FF4896" w:rsidRDefault="00FF4896" w:rsidP="00FF4896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  <w:p w14:paraId="6C1039B5" w14:textId="492E9BFB" w:rsidR="00FF4896" w:rsidRPr="00A45102" w:rsidRDefault="00FF4896" w:rsidP="00FF4896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F350CD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Transport and Storage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 xml:space="preserve"> </w:t>
            </w:r>
          </w:p>
          <w:p w14:paraId="2E779179" w14:textId="4582CBAA" w:rsidR="00FF4896" w:rsidRDefault="00FF4896" w:rsidP="00FF4896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3C14A400" w14:textId="378010E1" w:rsidR="00FF4896" w:rsidRPr="00132B6D" w:rsidRDefault="00FF4896" w:rsidP="00FF4896">
            <w:pPr>
              <w:ind w:right="144"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139,3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7EE4740E" w14:textId="703E86FC" w:rsidR="00FF4896" w:rsidRPr="009F4454" w:rsidRDefault="00FF4896" w:rsidP="00FF4896">
            <w:pPr>
              <w:ind w:right="144" w:firstLineChars="100" w:firstLine="181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142,4</w:t>
            </w:r>
          </w:p>
        </w:tc>
        <w:tc>
          <w:tcPr>
            <w:tcW w:w="239" w:type="dxa"/>
            <w:tcBorders>
              <w:top w:val="single" w:sz="8" w:space="0" w:color="365F91"/>
              <w:left w:val="nil"/>
              <w:bottom w:val="nil"/>
              <w:right w:val="nil"/>
            </w:tcBorders>
          </w:tcPr>
          <w:p w14:paraId="1D45380C" w14:textId="3F595D22" w:rsidR="00FF4896" w:rsidRPr="00E24425" w:rsidRDefault="00FF4896" w:rsidP="00FF4896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0383DAB0" w14:textId="45B7B0C8" w:rsidR="00FF4896" w:rsidRPr="009F4454" w:rsidRDefault="00FF4896" w:rsidP="00FF4896">
            <w:pPr>
              <w:ind w:right="576" w:firstLineChars="100" w:firstLine="181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10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7469397F" w14:textId="7E0EFECC" w:rsidR="00FF4896" w:rsidRPr="00E44D7A" w:rsidRDefault="00FF4896" w:rsidP="00FF4896">
            <w:pPr>
              <w:ind w:right="576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1,6</w:t>
            </w:r>
          </w:p>
        </w:tc>
      </w:tr>
      <w:tr w:rsidR="00FF4896" w14:paraId="0F028548" w14:textId="77777777" w:rsidTr="0099602A">
        <w:trPr>
          <w:trHeight w:val="794"/>
          <w:jc w:val="center"/>
        </w:trPr>
        <w:tc>
          <w:tcPr>
            <w:tcW w:w="1103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29FC5E8" w14:textId="4D52C37D" w:rsidR="00FF4896" w:rsidRDefault="00FF4896" w:rsidP="00FF4896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49</w:t>
            </w:r>
          </w:p>
        </w:tc>
        <w:tc>
          <w:tcPr>
            <w:tcW w:w="2924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4114AA5" w14:textId="77777777" w:rsidR="00FF4896" w:rsidRDefault="00FF4896" w:rsidP="00FF4896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  <w:p w14:paraId="06697E07" w14:textId="77777777" w:rsidR="00FF4896" w:rsidRDefault="00FF4896" w:rsidP="00FF4896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F350CD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Land transport and transport via pipelines</w:t>
            </w:r>
          </w:p>
          <w:p w14:paraId="2678338B" w14:textId="3A90E796" w:rsidR="00FF4896" w:rsidRDefault="00FF4896" w:rsidP="00FF4896">
            <w:pPr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6C5E224D" w14:textId="7F939ED8" w:rsidR="00FF4896" w:rsidRPr="00243E98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148,0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7256D6C3" w14:textId="3BE411AF" w:rsidR="00FF4896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158,5</w:t>
            </w:r>
          </w:p>
        </w:tc>
        <w:tc>
          <w:tcPr>
            <w:tcW w:w="239" w:type="dxa"/>
            <w:tcBorders>
              <w:top w:val="single" w:sz="8" w:space="0" w:color="365F91"/>
              <w:left w:val="nil"/>
              <w:bottom w:val="nil"/>
              <w:right w:val="nil"/>
            </w:tcBorders>
          </w:tcPr>
          <w:p w14:paraId="0879DB2C" w14:textId="77777777" w:rsidR="00FF4896" w:rsidRPr="00E24425" w:rsidRDefault="00FF4896" w:rsidP="00FF4896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45D9E2DA" w14:textId="5746BC24" w:rsidR="00FF4896" w:rsidRDefault="00FF4896" w:rsidP="00FF4896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810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52E0A40E" w14:textId="2A657F04" w:rsidR="00FF4896" w:rsidRPr="00E44D7A" w:rsidRDefault="00FF4896" w:rsidP="00FF4896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7,1</w:t>
            </w:r>
          </w:p>
        </w:tc>
      </w:tr>
      <w:tr w:rsidR="00FF4896" w14:paraId="4C491AD4" w14:textId="77777777" w:rsidTr="0099602A">
        <w:trPr>
          <w:trHeight w:val="514"/>
          <w:jc w:val="center"/>
        </w:trPr>
        <w:tc>
          <w:tcPr>
            <w:tcW w:w="1103" w:type="dxa"/>
            <w:vAlign w:val="center"/>
            <w:hideMark/>
          </w:tcPr>
          <w:p w14:paraId="6EBFC69D" w14:textId="7146B470" w:rsidR="00FF4896" w:rsidRDefault="00FF4896" w:rsidP="00FF4896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50</w:t>
            </w:r>
          </w:p>
        </w:tc>
        <w:tc>
          <w:tcPr>
            <w:tcW w:w="2924" w:type="dxa"/>
            <w:vAlign w:val="center"/>
            <w:hideMark/>
          </w:tcPr>
          <w:p w14:paraId="4E335C5C" w14:textId="65102EE0" w:rsidR="00FF4896" w:rsidRDefault="00FF4896" w:rsidP="00FF4896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F350CD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Water transport</w:t>
            </w:r>
          </w:p>
        </w:tc>
        <w:tc>
          <w:tcPr>
            <w:tcW w:w="1208" w:type="dxa"/>
            <w:vAlign w:val="center"/>
          </w:tcPr>
          <w:p w14:paraId="236B21D8" w14:textId="677DAD0C" w:rsidR="00FF4896" w:rsidRPr="000C4792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123,0</w:t>
            </w:r>
          </w:p>
        </w:tc>
        <w:tc>
          <w:tcPr>
            <w:tcW w:w="1208" w:type="dxa"/>
            <w:vAlign w:val="center"/>
          </w:tcPr>
          <w:p w14:paraId="5FFE2EF0" w14:textId="39FD72DD" w:rsidR="00FF4896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170,5</w:t>
            </w:r>
          </w:p>
        </w:tc>
        <w:tc>
          <w:tcPr>
            <w:tcW w:w="239" w:type="dxa"/>
          </w:tcPr>
          <w:p w14:paraId="355B945D" w14:textId="77777777" w:rsidR="00FF4896" w:rsidRDefault="00FF4896" w:rsidP="00FF4896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vAlign w:val="center"/>
          </w:tcPr>
          <w:p w14:paraId="15579233" w14:textId="7F27E987" w:rsidR="00FF4896" w:rsidRDefault="00FF4896" w:rsidP="00FF4896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38,6</w:t>
            </w:r>
          </w:p>
        </w:tc>
        <w:tc>
          <w:tcPr>
            <w:tcW w:w="1810" w:type="dxa"/>
            <w:vAlign w:val="center"/>
          </w:tcPr>
          <w:p w14:paraId="5B905CE8" w14:textId="0A0BF9A4" w:rsidR="00FF4896" w:rsidRDefault="00FF4896" w:rsidP="00FF4896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14,0</w:t>
            </w:r>
          </w:p>
        </w:tc>
      </w:tr>
      <w:tr w:rsidR="00FF4896" w14:paraId="073776D7" w14:textId="77777777" w:rsidTr="0099602A">
        <w:trPr>
          <w:trHeight w:val="510"/>
          <w:jc w:val="center"/>
        </w:trPr>
        <w:tc>
          <w:tcPr>
            <w:tcW w:w="1103" w:type="dxa"/>
            <w:vAlign w:val="center"/>
          </w:tcPr>
          <w:p w14:paraId="2B971C18" w14:textId="4F6B8055" w:rsidR="00FF4896" w:rsidRDefault="00FF4896" w:rsidP="00FF4896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51</w:t>
            </w:r>
          </w:p>
        </w:tc>
        <w:tc>
          <w:tcPr>
            <w:tcW w:w="2924" w:type="dxa"/>
            <w:vAlign w:val="center"/>
          </w:tcPr>
          <w:p w14:paraId="5F1D9FD4" w14:textId="00ED7993" w:rsidR="00FF4896" w:rsidRDefault="00FF4896" w:rsidP="00FF4896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F350CD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Air transport</w:t>
            </w:r>
          </w:p>
        </w:tc>
        <w:tc>
          <w:tcPr>
            <w:tcW w:w="1208" w:type="dxa"/>
            <w:vAlign w:val="center"/>
          </w:tcPr>
          <w:p w14:paraId="0E89836D" w14:textId="7EEF72D1" w:rsidR="00FF4896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377,6</w:t>
            </w:r>
          </w:p>
        </w:tc>
        <w:tc>
          <w:tcPr>
            <w:tcW w:w="1208" w:type="dxa"/>
            <w:vAlign w:val="center"/>
          </w:tcPr>
          <w:p w14:paraId="4C83A64B" w14:textId="0F39DBE0" w:rsidR="00FF4896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462,4</w:t>
            </w:r>
          </w:p>
        </w:tc>
        <w:tc>
          <w:tcPr>
            <w:tcW w:w="239" w:type="dxa"/>
          </w:tcPr>
          <w:p w14:paraId="718F5FD6" w14:textId="77777777" w:rsidR="00FF4896" w:rsidRPr="00E24425" w:rsidRDefault="00FF4896" w:rsidP="00FF4896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245C97B8" w14:textId="6C5D9F44" w:rsidR="00FF4896" w:rsidRDefault="00FF4896" w:rsidP="00FF4896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22,5</w:t>
            </w:r>
          </w:p>
        </w:tc>
        <w:tc>
          <w:tcPr>
            <w:tcW w:w="1810" w:type="dxa"/>
            <w:vAlign w:val="center"/>
          </w:tcPr>
          <w:p w14:paraId="0F3534CE" w14:textId="3642583E" w:rsidR="00FF4896" w:rsidRPr="00E44D7A" w:rsidRDefault="00FF4896" w:rsidP="00FF4896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0,1</w:t>
            </w:r>
          </w:p>
        </w:tc>
      </w:tr>
      <w:tr w:rsidR="00FF4896" w14:paraId="2E633F16" w14:textId="77777777" w:rsidTr="0099602A">
        <w:trPr>
          <w:trHeight w:val="510"/>
          <w:jc w:val="center"/>
        </w:trPr>
        <w:tc>
          <w:tcPr>
            <w:tcW w:w="1103" w:type="dxa"/>
            <w:vAlign w:val="center"/>
            <w:hideMark/>
          </w:tcPr>
          <w:p w14:paraId="75D6CBD3" w14:textId="7C28D9C6" w:rsidR="00FF4896" w:rsidRDefault="00FF4896" w:rsidP="00FF4896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52</w:t>
            </w:r>
          </w:p>
        </w:tc>
        <w:tc>
          <w:tcPr>
            <w:tcW w:w="2924" w:type="dxa"/>
            <w:vAlign w:val="center"/>
            <w:hideMark/>
          </w:tcPr>
          <w:p w14:paraId="4C5666EC" w14:textId="6FA499C4" w:rsidR="00FF4896" w:rsidRDefault="00FF4896" w:rsidP="00FF4896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F350CD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Warehousing and support activities for transportation</w:t>
            </w:r>
          </w:p>
        </w:tc>
        <w:tc>
          <w:tcPr>
            <w:tcW w:w="1208" w:type="dxa"/>
            <w:vAlign w:val="center"/>
          </w:tcPr>
          <w:p w14:paraId="29B73C95" w14:textId="76902458" w:rsidR="00FF4896" w:rsidRPr="00243E98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138,1</w:t>
            </w:r>
          </w:p>
        </w:tc>
        <w:tc>
          <w:tcPr>
            <w:tcW w:w="1208" w:type="dxa"/>
            <w:vAlign w:val="center"/>
          </w:tcPr>
          <w:p w14:paraId="759BF997" w14:textId="3479FD87" w:rsidR="00FF4896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138,6</w:t>
            </w:r>
          </w:p>
        </w:tc>
        <w:tc>
          <w:tcPr>
            <w:tcW w:w="239" w:type="dxa"/>
          </w:tcPr>
          <w:p w14:paraId="7BC31169" w14:textId="77777777" w:rsidR="00FF4896" w:rsidRPr="00E24425" w:rsidRDefault="00FF4896" w:rsidP="00FF4896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057FD738" w14:textId="49605B93" w:rsidR="00FF4896" w:rsidRPr="008D0304" w:rsidRDefault="00FF4896" w:rsidP="00FF4896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</w:t>
            </w:r>
            <w:r w:rsidR="008D0304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810" w:type="dxa"/>
            <w:vAlign w:val="center"/>
          </w:tcPr>
          <w:p w14:paraId="14702C61" w14:textId="479CA4A5" w:rsidR="00FF4896" w:rsidRPr="00E24425" w:rsidRDefault="00FF4896" w:rsidP="00FF4896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0,6</w:t>
            </w:r>
          </w:p>
        </w:tc>
      </w:tr>
      <w:tr w:rsidR="00FF4896" w14:paraId="49C32467" w14:textId="77777777" w:rsidTr="0099602A">
        <w:trPr>
          <w:trHeight w:val="510"/>
          <w:jc w:val="center"/>
        </w:trPr>
        <w:tc>
          <w:tcPr>
            <w:tcW w:w="1103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077EB29" w14:textId="5B3F1D10" w:rsidR="00FF4896" w:rsidRDefault="00FF4896" w:rsidP="00FF4896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53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03855845" w14:textId="15EA9128" w:rsidR="00FF4896" w:rsidRDefault="00FF4896" w:rsidP="00FF4896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F350CD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Postal and courier activities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2D97F069" w14:textId="480A05F0" w:rsidR="00FF4896" w:rsidRPr="00243E98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38EEBF77" w14:textId="6C8C8AA2" w:rsidR="00FF4896" w:rsidRDefault="00FF4896" w:rsidP="00FF4896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129,3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5F91"/>
              <w:right w:val="nil"/>
            </w:tcBorders>
          </w:tcPr>
          <w:p w14:paraId="3A341179" w14:textId="77777777" w:rsidR="00FF4896" w:rsidRPr="00E24425" w:rsidRDefault="00FF4896" w:rsidP="00FF4896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7A8F0F3E" w14:textId="70B1C32D" w:rsidR="00FF4896" w:rsidRDefault="00FF4896" w:rsidP="00FF4896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5D48B7E1" w14:textId="11595E99" w:rsidR="00FF4896" w:rsidRPr="00E44D7A" w:rsidRDefault="00FF4896" w:rsidP="00FF4896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,6</w:t>
            </w:r>
          </w:p>
        </w:tc>
      </w:tr>
    </w:tbl>
    <w:p w14:paraId="4FF1A056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04ADDE6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632FAA47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6A44AF2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7DC07FE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F2B9290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5A25862" w14:textId="77777777" w:rsidR="00780DD4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09F2A85" w14:textId="77777777" w:rsidR="00600088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B5AF351" w14:textId="77777777" w:rsidR="00600088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5C233CA" w14:textId="77777777" w:rsidR="00600088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8EF4FC" w14:textId="77777777" w:rsidR="00600088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6E035216" w14:textId="77777777" w:rsidR="00600088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8994585" w14:textId="77777777" w:rsidR="00600088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9076D48" w14:textId="77777777" w:rsidR="00600088" w:rsidRPr="00110E19" w:rsidRDefault="00600088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02578AD" w14:textId="6385473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0A0630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8934CDB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5F83664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E4B6316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67742F23" w14:textId="77777777" w:rsidR="001F1164" w:rsidRPr="00110E19" w:rsidRDefault="001F116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25EB631" w14:textId="77777777" w:rsidR="001F1164" w:rsidRPr="00110E19" w:rsidRDefault="001F116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D2504C7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0353291" w14:textId="77777777" w:rsidR="00780DD4" w:rsidRPr="00110E19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63E1AA48" w14:textId="7B41C1D8" w:rsidR="00780DD4" w:rsidRPr="00F2766A" w:rsidRDefault="00780DD4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1E257CD" w14:textId="77777777" w:rsidR="00A45102" w:rsidRPr="00F2766A" w:rsidRDefault="00A4510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22959C6" w14:textId="77777777" w:rsidR="00A45102" w:rsidRPr="00F2766A" w:rsidRDefault="00A4510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61B8C31F" w14:textId="77777777" w:rsidR="00A45102" w:rsidRDefault="00A4510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56FBF26" w14:textId="77777777" w:rsidR="00616717" w:rsidRPr="00F2766A" w:rsidRDefault="00616717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9B7C8D0" w14:textId="77777777" w:rsidR="00A45102" w:rsidRPr="00F2766A" w:rsidRDefault="00A4510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756C1ED" w14:textId="77777777" w:rsidR="00A45102" w:rsidRPr="00F2766A" w:rsidRDefault="00A4510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5877A3E" w14:textId="77777777" w:rsidR="00110E19" w:rsidRPr="00F2766A" w:rsidRDefault="00110E19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EDE781D" w14:textId="77777777" w:rsidR="00A8575C" w:rsidRPr="00F2766A" w:rsidRDefault="00A8575C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27DAB07" w14:textId="77777777" w:rsidR="00110E19" w:rsidRDefault="00110E19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DA9CFA1" w14:textId="77777777" w:rsidR="00110E19" w:rsidRDefault="00110E19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FF2A85B" w14:textId="77777777" w:rsidR="00110E19" w:rsidRDefault="00110E19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08983D9" w14:textId="77777777" w:rsidR="00C601BC" w:rsidRDefault="00C601BC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7DAE52C" w14:textId="77777777" w:rsidR="00110E19" w:rsidRDefault="00110E19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4FCC9CF" w14:textId="77777777" w:rsidR="00110E19" w:rsidRPr="00110E19" w:rsidRDefault="00110E19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24806C4" w14:textId="77777777" w:rsidR="00D90F66" w:rsidRDefault="00D90F66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5ABF6A2" w14:textId="77777777" w:rsidR="00E77E77" w:rsidRDefault="00E77E77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D67D994" w14:textId="77777777" w:rsidR="00E77E77" w:rsidRDefault="00E77E77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ED4A3F3" w14:textId="77777777" w:rsidR="00E77E77" w:rsidRDefault="00E77E77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B2CEB9D" w14:textId="77777777" w:rsidR="00A77AA2" w:rsidRDefault="00A77AA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D809E90" w14:textId="77777777" w:rsidR="00A77AA2" w:rsidRPr="00110E19" w:rsidRDefault="00A77AA2" w:rsidP="00CF2BD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5112D8" w14:textId="77777777" w:rsidR="00780DD4" w:rsidRPr="003215E5" w:rsidRDefault="00780DD4" w:rsidP="00780DD4">
      <w:pPr>
        <w:ind w:left="284"/>
        <w:jc w:val="center"/>
        <w:rPr>
          <w:rFonts w:ascii="Verdana" w:eastAsia="Malgun Gothic" w:hAnsi="Verdana" w:cs="Arial"/>
          <w:b/>
          <w:u w:val="single"/>
        </w:rPr>
      </w:pPr>
      <w:r w:rsidRPr="00361B62">
        <w:rPr>
          <w:rFonts w:ascii="Verdana" w:eastAsia="Malgun Gothic" w:hAnsi="Verdana" w:cs="Arial"/>
          <w:b/>
          <w:u w:val="single"/>
        </w:rPr>
        <w:lastRenderedPageBreak/>
        <w:t>METHODOLOGICAL INFORMATIO</w:t>
      </w:r>
      <w:r>
        <w:rPr>
          <w:rFonts w:ascii="Verdana" w:eastAsia="Malgun Gothic" w:hAnsi="Verdana" w:cs="Arial"/>
          <w:b/>
          <w:u w:val="single"/>
        </w:rPr>
        <w:t>N</w:t>
      </w:r>
    </w:p>
    <w:p w14:paraId="3E4CBB31" w14:textId="77777777" w:rsidR="00780DD4" w:rsidRPr="00401764" w:rsidRDefault="00780DD4" w:rsidP="00401764">
      <w:pPr>
        <w:ind w:left="284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B60EA9" w14:textId="77777777" w:rsidR="00780DD4" w:rsidRPr="00361B62" w:rsidRDefault="00780DD4" w:rsidP="00780DD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B54111" w14:textId="77777777" w:rsidR="00600088" w:rsidRPr="00970856" w:rsidRDefault="00600088" w:rsidP="00600088">
      <w:pPr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 xml:space="preserve">Scope and </w:t>
      </w:r>
      <w:r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overage</w:t>
      </w:r>
    </w:p>
    <w:p w14:paraId="3A8E1466" w14:textId="77777777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77B16431" w14:textId="22145F1B" w:rsidR="00600088" w:rsidRPr="00A8575C" w:rsidRDefault="00600088" w:rsidP="00600088">
      <w:pPr>
        <w:jc w:val="both"/>
        <w:rPr>
          <w:rFonts w:ascii="Verdana" w:eastAsia="Times New Roman" w:hAnsi="Verdana" w:cs="Arial"/>
          <w:color w:val="FF0066"/>
          <w:sz w:val="18"/>
          <w:szCs w:val="18"/>
          <w:shd w:val="clear" w:color="auto" w:fill="FFFFFF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The purpose of the Turnover Value Ind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in Transport and Storage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is to monitor short-term developments 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activities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classified under 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>d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ivision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49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CA693B"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="00694EF6">
        <w:rPr>
          <w:rFonts w:ascii="Verdana" w:eastAsia="Malgun Gothic" w:hAnsi="Verdana" w:cs="Arial"/>
          <w:sz w:val="18"/>
          <w:szCs w:val="18"/>
        </w:rPr>
        <w:t>l</w:t>
      </w:r>
      <w:r w:rsidRPr="00E77E77">
        <w:rPr>
          <w:rFonts w:ascii="Verdana" w:eastAsia="Malgun Gothic" w:hAnsi="Verdana" w:cs="Arial"/>
          <w:sz w:val="18"/>
          <w:szCs w:val="18"/>
        </w:rPr>
        <w:t>and transport and transport via pipelines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), 50 (</w:t>
      </w:r>
      <w:r w:rsidR="00694EF6">
        <w:rPr>
          <w:rFonts w:ascii="Verdana" w:eastAsia="Malgun Gothic" w:hAnsi="Verdana" w:cs="Arial"/>
          <w:sz w:val="18"/>
          <w:szCs w:val="18"/>
        </w:rPr>
        <w:t>w</w:t>
      </w:r>
      <w:r w:rsidRPr="00E77E77">
        <w:rPr>
          <w:rFonts w:ascii="Verdana" w:eastAsia="Malgun Gothic" w:hAnsi="Verdana" w:cs="Arial"/>
          <w:sz w:val="18"/>
          <w:szCs w:val="18"/>
        </w:rPr>
        <w:t>ater transport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), 51 (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>a</w:t>
      </w:r>
      <w:r w:rsidRPr="00E77E77">
        <w:rPr>
          <w:rFonts w:ascii="Verdana" w:eastAsia="Malgun Gothic" w:hAnsi="Verdana" w:cs="Arial"/>
          <w:sz w:val="18"/>
          <w:szCs w:val="18"/>
        </w:rPr>
        <w:t>ir transport</w:t>
      </w:r>
      <w:r>
        <w:rPr>
          <w:rFonts w:ascii="Verdana" w:eastAsia="Malgun Gothic" w:hAnsi="Verdana" w:cs="Arial"/>
          <w:sz w:val="18"/>
          <w:szCs w:val="18"/>
        </w:rPr>
        <w:t>), 52 (</w:t>
      </w:r>
      <w:r w:rsidRPr="00E77E77">
        <w:rPr>
          <w:rFonts w:ascii="Verdana" w:eastAsia="Malgun Gothic" w:hAnsi="Verdana" w:cs="Arial"/>
          <w:sz w:val="18"/>
          <w:szCs w:val="18"/>
        </w:rPr>
        <w:t>warehousing and support activities for transportation</w:t>
      </w:r>
      <w:r w:rsidR="00132B6D">
        <w:rPr>
          <w:rFonts w:ascii="Verdana" w:eastAsia="Malgun Gothic" w:hAnsi="Verdana" w:cs="Arial"/>
          <w:sz w:val="18"/>
          <w:szCs w:val="18"/>
        </w:rPr>
        <w:t xml:space="preserve">, </w:t>
      </w:r>
      <w:r w:rsidRPr="00E77E77">
        <w:rPr>
          <w:rFonts w:ascii="Verdana" w:eastAsia="Malgun Gothic" w:hAnsi="Verdana" w:cs="Arial"/>
          <w:sz w:val="18"/>
          <w:szCs w:val="18"/>
        </w:rPr>
        <w:t>includ</w:t>
      </w:r>
      <w:r w:rsidR="00132B6D">
        <w:rPr>
          <w:rFonts w:ascii="Verdana" w:eastAsia="Malgun Gothic" w:hAnsi="Verdana" w:cs="Arial"/>
          <w:sz w:val="18"/>
          <w:szCs w:val="18"/>
        </w:rPr>
        <w:t>ing</w:t>
      </w:r>
      <w:r w:rsidRPr="00E77E77">
        <w:rPr>
          <w:rFonts w:ascii="Verdana" w:eastAsia="Malgun Gothic" w:hAnsi="Verdana" w:cs="Arial"/>
          <w:sz w:val="18"/>
          <w:szCs w:val="18"/>
        </w:rPr>
        <w:t xml:space="preserve"> the activity of</w:t>
      </w:r>
      <w:r w:rsidR="00F11274">
        <w:rPr>
          <w:rFonts w:ascii="Verdana" w:eastAsia="Malgun Gothic" w:hAnsi="Verdana" w:cs="Arial"/>
          <w:sz w:val="18"/>
          <w:szCs w:val="18"/>
        </w:rPr>
        <w:t xml:space="preserve">               </w:t>
      </w:r>
      <w:r w:rsidRPr="00E77E77">
        <w:rPr>
          <w:rFonts w:ascii="Verdana" w:eastAsia="Malgun Gothic" w:hAnsi="Verdana" w:cs="Arial"/>
          <w:sz w:val="18"/>
          <w:szCs w:val="18"/>
        </w:rPr>
        <w:t xml:space="preserve"> ship-owning companies which have a physical presence in Cyprus</w:t>
      </w:r>
      <w:r>
        <w:rPr>
          <w:rFonts w:ascii="Verdana" w:eastAsia="Malgun Gothic" w:hAnsi="Verdana" w:cs="Arial"/>
          <w:sz w:val="18"/>
          <w:szCs w:val="18"/>
        </w:rPr>
        <w:t>) and 53 (</w:t>
      </w:r>
      <w:r w:rsidRPr="00E77E77">
        <w:rPr>
          <w:rFonts w:ascii="Verdana" w:eastAsia="Malgun Gothic" w:hAnsi="Verdana" w:cs="Arial"/>
          <w:sz w:val="18"/>
          <w:szCs w:val="18"/>
        </w:rPr>
        <w:t>postal and courier activities</w:t>
      </w:r>
      <w:r>
        <w:rPr>
          <w:rFonts w:ascii="Verdana" w:eastAsia="Malgun Gothic" w:hAnsi="Verdana" w:cs="Arial"/>
          <w:sz w:val="18"/>
          <w:szCs w:val="18"/>
        </w:rPr>
        <w:t xml:space="preserve">)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of the Statistical Classification of Economic Activities of the European Union NACE Rev.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2. </w:t>
      </w:r>
    </w:p>
    <w:p w14:paraId="70BF10E0" w14:textId="77777777" w:rsidR="00600088" w:rsidRDefault="00E77E77" w:rsidP="00600088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E77E77">
        <w:rPr>
          <w:rFonts w:ascii="Verdana" w:eastAsia="Malgun Gothic" w:hAnsi="Verdana" w:cs="Arial"/>
          <w:sz w:val="18"/>
          <w:szCs w:val="18"/>
        </w:rPr>
        <w:br/>
      </w:r>
    </w:p>
    <w:p w14:paraId="1B78648B" w14:textId="3A51D758" w:rsidR="00600088" w:rsidRPr="00970856" w:rsidRDefault="00600088" w:rsidP="00600088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74B5E9D5" w14:textId="77777777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1D87935" w14:textId="20F9758F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 or e-mail</w:t>
      </w:r>
      <w:r w:rsidR="00132B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from </w:t>
      </w:r>
      <w:r w:rsidR="00132B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sample of enterprises active in the </w:t>
      </w:r>
      <w:r w:rsidR="00132B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transport and storage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secto</w:t>
      </w:r>
      <w:r w:rsidR="00132B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2732C8EE" w14:textId="68AE9E39" w:rsidR="00E77E77" w:rsidRPr="00E77E77" w:rsidRDefault="00E77E77" w:rsidP="00600088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5C3F7C" w14:textId="77777777" w:rsidR="00600088" w:rsidRDefault="00600088" w:rsidP="00600088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6C4298C5" w14:textId="6CF74D45" w:rsidR="00600088" w:rsidRPr="00970856" w:rsidRDefault="00600088" w:rsidP="00600088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51EBB3E1" w14:textId="77777777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A609162" w14:textId="4CB455FE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is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it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show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quarterly changes in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in relation to the quarterly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Index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four quarters is 100,0. For example, a quarterly Turnover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ndex of 105,3 means that the Turnover for the specific quarter has increased by 5,3% in relation to the average quarterly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is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calculated at current prices.</w:t>
      </w:r>
    </w:p>
    <w:p w14:paraId="45B643DA" w14:textId="77777777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7C55E792" w14:textId="62A9B50F" w:rsidR="00600088" w:rsidRDefault="00A8575C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Malgun Gothic" w:hAnsi="Verdana" w:cs="Arial"/>
          <w:sz w:val="18"/>
          <w:szCs w:val="18"/>
        </w:rPr>
        <w:t>The Turnover Ind</w:t>
      </w:r>
      <w:r w:rsidR="00694EF6">
        <w:rPr>
          <w:rFonts w:ascii="Verdana" w:eastAsia="Malgun Gothic" w:hAnsi="Verdana" w:cs="Arial"/>
          <w:sz w:val="18"/>
          <w:szCs w:val="18"/>
        </w:rPr>
        <w:t>ex is</w:t>
      </w:r>
      <w:r>
        <w:rPr>
          <w:rFonts w:ascii="Verdana" w:eastAsia="Malgun Gothic" w:hAnsi="Verdana" w:cs="Arial"/>
          <w:sz w:val="18"/>
          <w:szCs w:val="18"/>
        </w:rPr>
        <w:t xml:space="preserve"> produced for the various divisions of the Statistical Classification of Economic Activities (NACE Rev. 2) that constitute the Transport and Storage</w:t>
      </w:r>
      <w:r w:rsidR="00A64736" w:rsidRPr="00A64736">
        <w:rPr>
          <w:rFonts w:ascii="Verdana" w:eastAsia="Malgun Gothic" w:hAnsi="Verdana" w:cs="Arial"/>
          <w:sz w:val="18"/>
          <w:szCs w:val="18"/>
        </w:rPr>
        <w:t xml:space="preserve"> </w:t>
      </w:r>
      <w:r w:rsidR="00A64736">
        <w:rPr>
          <w:rFonts w:ascii="Verdana" w:eastAsia="Malgun Gothic" w:hAnsi="Verdana" w:cs="Arial"/>
          <w:sz w:val="18"/>
          <w:szCs w:val="18"/>
        </w:rPr>
        <w:t>sector</w:t>
      </w:r>
      <w:r w:rsidRPr="00A8575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</w:t>
      </w:r>
      <w:r w:rsidR="00600088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aggregated </w:t>
      </w:r>
      <w:r w:rsidR="00132B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ector </w:t>
      </w:r>
      <w:r w:rsidR="00132B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index is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indices of the various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divisions, 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as defined in NACE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2. The weights used are derived from the results of the annual </w:t>
      </w:r>
      <w:r w:rsidR="00600088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Services and Transport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Survey in the base year (20</w:t>
      </w:r>
      <w:r w:rsidR="00600088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of each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division</w:t>
      </w:r>
      <w:r w:rsidR="00600088"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in relation to the total turnover of the </w:t>
      </w:r>
      <w:r w:rsidR="00694EF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sector</w:t>
      </w:r>
      <w:r w:rsidR="00600088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06A1C307" w14:textId="77777777" w:rsidR="00600088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6C3A81B" w14:textId="73EA6A72" w:rsidR="00600088" w:rsidRPr="00970856" w:rsidRDefault="00600088" w:rsidP="0060008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>Index is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 w:rsidR="00694EF6">
        <w:rPr>
          <w:rFonts w:ascii="Verdana" w:eastAsia="Times New Roman" w:hAnsi="Verdana" w:cs="Arial"/>
          <w:sz w:val="18"/>
          <w:szCs w:val="18"/>
          <w:shd w:val="clear" w:color="auto" w:fill="FFFFFF"/>
        </w:rPr>
        <w:t>ex</w:t>
      </w:r>
      <w:r w:rsidR="00A6473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is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 w:rsidR="00A64736"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44C5A4CD" w14:textId="192E8DC5" w:rsidR="00780DD4" w:rsidRDefault="00780DD4" w:rsidP="00E77E77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73BC6A" w14:textId="77777777" w:rsidR="00600088" w:rsidRDefault="00600088" w:rsidP="00780DD4">
      <w:pPr>
        <w:rPr>
          <w:rFonts w:ascii="Verdana" w:hAnsi="Verdana"/>
          <w:b/>
          <w:i/>
          <w:sz w:val="18"/>
          <w:szCs w:val="18"/>
          <w:lang w:val="en-GB"/>
        </w:rPr>
      </w:pPr>
    </w:p>
    <w:p w14:paraId="08C443DA" w14:textId="7BFC55C7" w:rsidR="00780DD4" w:rsidRPr="00C40E2B" w:rsidRDefault="00780DD4" w:rsidP="00780DD4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6C6BA928" w14:textId="77777777" w:rsidR="00780DD4" w:rsidRPr="00040F97" w:rsidRDefault="00780DD4" w:rsidP="00780D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A0448F">
          <w:rPr>
            <w:rStyle w:val="Hyperlink"/>
            <w:rFonts w:ascii="Verdana" w:hAnsi="Verdana"/>
            <w:sz w:val="18"/>
            <w:szCs w:val="18"/>
            <w:lang w:val="en-GB"/>
          </w:rPr>
          <w:t>Services</w:t>
        </w:r>
      </w:hyperlink>
    </w:p>
    <w:p w14:paraId="1BB12339" w14:textId="2A7D83EC" w:rsidR="00D90F66" w:rsidRPr="00040F97" w:rsidRDefault="00D90F66" w:rsidP="00D90F66">
      <w:pPr>
        <w:rPr>
          <w:rFonts w:ascii="Verdana" w:hAnsi="Verdana"/>
          <w:sz w:val="18"/>
          <w:szCs w:val="18"/>
        </w:rPr>
      </w:pPr>
      <w:hyperlink r:id="rId10" w:history="1">
        <w:r w:rsidRPr="00985378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79454EC0" w14:textId="35A213F3" w:rsidR="00780DD4" w:rsidRDefault="00780DD4" w:rsidP="00780DD4">
      <w:pPr>
        <w:ind w:right="-79"/>
        <w:jc w:val="both"/>
        <w:rPr>
          <w:rFonts w:ascii="Verdana" w:hAnsi="Verdana"/>
          <w:sz w:val="18"/>
          <w:szCs w:val="18"/>
        </w:rPr>
      </w:pPr>
      <w:hyperlink r:id="rId11" w:history="1">
        <w:r w:rsidRPr="00655593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Pr="00040F97">
        <w:rPr>
          <w:rFonts w:ascii="Verdana" w:hAnsi="Verdana"/>
          <w:sz w:val="18"/>
          <w:szCs w:val="18"/>
        </w:rPr>
        <w:t xml:space="preserve"> (Excel)</w:t>
      </w:r>
    </w:p>
    <w:p w14:paraId="1F1BC58D" w14:textId="593C4281" w:rsidR="007738B8" w:rsidRPr="00E71FE5" w:rsidRDefault="007738B8" w:rsidP="007738B8">
      <w:pPr>
        <w:rPr>
          <w:rFonts w:ascii="Verdana" w:hAnsi="Verdana"/>
          <w:sz w:val="18"/>
          <w:szCs w:val="18"/>
        </w:rPr>
      </w:pPr>
      <w:hyperlink r:id="rId12" w:tooltip="Methodological Information" w:history="1">
        <w:r w:rsidRPr="00E71FE5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2FB33752" w14:textId="77777777" w:rsidR="00600088" w:rsidRDefault="00600088" w:rsidP="005A6D96">
      <w:pPr>
        <w:ind w:right="-79"/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6B8D9177" w14:textId="650FF191" w:rsidR="005A6D96" w:rsidRDefault="00600088" w:rsidP="005A6D96">
      <w:pPr>
        <w:ind w:right="-79"/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78BEAFB2" w14:textId="77777777" w:rsidR="00600088" w:rsidRDefault="00600088" w:rsidP="00780DD4">
      <w:pPr>
        <w:ind w:right="-79"/>
        <w:jc w:val="both"/>
        <w:rPr>
          <w:rFonts w:ascii="Verdana" w:hAnsi="Verdana"/>
          <w:bCs/>
          <w:i/>
          <w:sz w:val="18"/>
          <w:szCs w:val="18"/>
          <w:u w:val="single"/>
          <w:shd w:val="clear" w:color="auto" w:fill="FFFFFF"/>
        </w:rPr>
      </w:pPr>
    </w:p>
    <w:p w14:paraId="41389F55" w14:textId="095E10FF" w:rsidR="00780DD4" w:rsidRPr="003215E5" w:rsidRDefault="00780DD4" w:rsidP="00780DD4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  <w:u w:val="single"/>
          <w:shd w:val="clear" w:color="auto" w:fill="FFFFFF"/>
        </w:rPr>
        <w:t>Contact</w:t>
      </w:r>
      <w:r w:rsidRPr="003215E5">
        <w:rPr>
          <w:rFonts w:ascii="Verdana" w:hAnsi="Verdana"/>
          <w:sz w:val="18"/>
          <w:szCs w:val="18"/>
          <w:shd w:val="clear" w:color="auto" w:fill="FFFFFF"/>
        </w:rPr>
        <w:br/>
      </w:r>
      <w:r>
        <w:rPr>
          <w:rFonts w:ascii="Verdana" w:eastAsia="Malgun Gothic" w:hAnsi="Verdana" w:cs="Arial"/>
          <w:sz w:val="18"/>
          <w:szCs w:val="18"/>
        </w:rPr>
        <w:t>Andrie Milidoni:</w:t>
      </w:r>
      <w:bookmarkStart w:id="0" w:name="_Hlk55987714"/>
      <w:r>
        <w:rPr>
          <w:rFonts w:ascii="Verdana" w:eastAsia="Malgun Gothic" w:hAnsi="Verdana" w:cs="Arial"/>
          <w:sz w:val="18"/>
          <w:szCs w:val="18"/>
        </w:rPr>
        <w:t xml:space="preserve"> Tel</w:t>
      </w:r>
      <w:r w:rsidRPr="003215E5">
        <w:rPr>
          <w:rFonts w:ascii="Verdana" w:eastAsia="Malgun Gothic" w:hAnsi="Verdana" w:cs="Arial"/>
          <w:sz w:val="18"/>
          <w:szCs w:val="18"/>
        </w:rPr>
        <w:t>: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3215E5">
        <w:rPr>
          <w:rFonts w:ascii="Verdana" w:eastAsia="Malgun Gothic" w:hAnsi="Verdana" w:cs="Arial"/>
          <w:sz w:val="18"/>
          <w:szCs w:val="18"/>
        </w:rPr>
        <w:t>+</w:t>
      </w:r>
      <w:bookmarkEnd w:id="0"/>
      <w:r w:rsidRPr="003215E5">
        <w:rPr>
          <w:rFonts w:ascii="Verdana" w:eastAsia="Malgun Gothic" w:hAnsi="Verdana" w:cs="Arial"/>
          <w:sz w:val="18"/>
          <w:szCs w:val="18"/>
        </w:rPr>
        <w:t>357 22 60</w:t>
      </w:r>
      <w:r>
        <w:rPr>
          <w:rFonts w:ascii="Verdana" w:eastAsia="Malgun Gothic" w:hAnsi="Verdana" w:cs="Arial"/>
          <w:sz w:val="18"/>
          <w:szCs w:val="18"/>
        </w:rPr>
        <w:t>2240, Email</w:t>
      </w:r>
      <w:r w:rsidRPr="003215E5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0D2984">
          <w:rPr>
            <w:rStyle w:val="Hyperlink"/>
            <w:rFonts w:ascii="Verdana" w:eastAsia="Malgun Gothic" w:hAnsi="Verdana" w:cs="Arial"/>
            <w:sz w:val="18"/>
            <w:szCs w:val="18"/>
          </w:rPr>
          <w:t>amilidoni@cystat.mof.gov.cy</w:t>
        </w:r>
      </w:hyperlink>
    </w:p>
    <w:p w14:paraId="77EE8272" w14:textId="77777777" w:rsidR="007437AB" w:rsidRPr="00780DD4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663F5B87" w14:textId="5FFBC9C2" w:rsidR="00972CA0" w:rsidRPr="00972CA0" w:rsidRDefault="00463214" w:rsidP="00C26329">
      <w:pPr>
        <w:jc w:val="both"/>
        <w:rPr>
          <w:rFonts w:ascii="Verdana" w:eastAsia="Malgun Gothic" w:hAnsi="Verdana" w:cs="Arial"/>
          <w:sz w:val="18"/>
          <w:szCs w:val="18"/>
        </w:rPr>
      </w:pPr>
      <w:r w:rsidRPr="00780DD4">
        <w:rPr>
          <w:rFonts w:ascii="Arial" w:hAnsi="Arial" w:cs="Arial"/>
          <w:sz w:val="20"/>
          <w:szCs w:val="20"/>
        </w:rPr>
        <w:tab/>
      </w:r>
      <w:r w:rsidRPr="00780DD4">
        <w:rPr>
          <w:rFonts w:ascii="Arial" w:hAnsi="Arial" w:cs="Arial"/>
          <w:sz w:val="18"/>
          <w:szCs w:val="18"/>
        </w:rPr>
        <w:tab/>
      </w:r>
    </w:p>
    <w:p w14:paraId="27A72E99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37447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972CA0" w:rsidRPr="00C26329" w:rsidSect="008F55D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A021" w14:textId="77777777" w:rsidR="00F44DC1" w:rsidRDefault="00F44DC1" w:rsidP="00FB398F">
      <w:r>
        <w:separator/>
      </w:r>
    </w:p>
  </w:endnote>
  <w:endnote w:type="continuationSeparator" w:id="0">
    <w:p w14:paraId="318914C9" w14:textId="77777777" w:rsidR="00F44DC1" w:rsidRDefault="00F44DC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21B86AEE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75F3A7AE" w14:textId="3AEB0148" w:rsidR="00E3348A" w:rsidRDefault="00E3348A" w:rsidP="00E3348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107555">
      <w:rPr>
        <w:rFonts w:ascii="Arial" w:hAnsi="Arial" w:cs="Arial"/>
        <w:i/>
        <w:iCs/>
        <w:sz w:val="16"/>
        <w:szCs w:val="16"/>
        <w:lang w:val="pt-PT"/>
      </w:rPr>
      <w:t>Tel.: 22 602129,</w:t>
    </w: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Pr="00107555">
      <w:rPr>
        <w:rFonts w:ascii="Arial" w:hAnsi="Arial" w:cs="Arial"/>
        <w:i/>
        <w:iCs/>
        <w:sz w:val="16"/>
        <w:szCs w:val="16"/>
        <w:lang w:val="pt-PT"/>
      </w:rPr>
      <w:t xml:space="preserve">E-mail:  </w:t>
    </w:r>
    <w:hyperlink r:id="rId1" w:history="1">
      <w:r w:rsidRPr="00B1331E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enquiries@cystat.mof.gov.cy</w:t>
      </w:r>
    </w:hyperlink>
  </w:p>
  <w:p w14:paraId="53D85FE4" w14:textId="7408A1A7" w:rsidR="004E4F42" w:rsidRPr="00E3348A" w:rsidRDefault="00E3348A" w:rsidP="00E3348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400574">
      <w:rPr>
        <w:rFonts w:ascii="Arial" w:hAnsi="Arial" w:cs="Arial"/>
        <w:i/>
        <w:iCs/>
        <w:sz w:val="16"/>
        <w:szCs w:val="16"/>
        <w:lang w:val="pt-PT"/>
      </w:rPr>
      <w:t>P</w:t>
    </w:r>
    <w:r w:rsidRPr="00201821">
      <w:rPr>
        <w:rFonts w:ascii="Arial" w:hAnsi="Arial" w:cs="Arial"/>
        <w:i/>
        <w:iCs/>
        <w:sz w:val="16"/>
        <w:szCs w:val="16"/>
        <w:lang w:val="pt-PT"/>
      </w:rPr>
      <w:t>or</w:t>
    </w:r>
    <w:r>
      <w:rPr>
        <w:rFonts w:ascii="Arial" w:hAnsi="Arial" w:cs="Arial"/>
        <w:i/>
        <w:iCs/>
        <w:sz w:val="16"/>
        <w:szCs w:val="16"/>
        <w:lang w:val="pt-PT"/>
      </w:rPr>
      <w:t>tal</w:t>
    </w: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2" w:history="1">
      <w:r w:rsidRPr="00201821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819E" w14:textId="77777777" w:rsidR="00F44DC1" w:rsidRDefault="00F44DC1" w:rsidP="00FB398F">
      <w:r>
        <w:separator/>
      </w:r>
    </w:p>
  </w:footnote>
  <w:footnote w:type="continuationSeparator" w:id="0">
    <w:p w14:paraId="7376999B" w14:textId="77777777" w:rsidR="00F44DC1" w:rsidRDefault="00F44DC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451A1D7A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29744">
    <w:abstractNumId w:val="4"/>
  </w:num>
  <w:num w:numId="2" w16cid:durableId="1351644216">
    <w:abstractNumId w:val="1"/>
  </w:num>
  <w:num w:numId="3" w16cid:durableId="1245261815">
    <w:abstractNumId w:val="2"/>
  </w:num>
  <w:num w:numId="4" w16cid:durableId="1582135467">
    <w:abstractNumId w:val="3"/>
  </w:num>
  <w:num w:numId="5" w16cid:durableId="62409611">
    <w:abstractNumId w:val="0"/>
  </w:num>
  <w:num w:numId="6" w16cid:durableId="1597862716">
    <w:abstractNumId w:val="5"/>
  </w:num>
  <w:num w:numId="7" w16cid:durableId="1044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0C"/>
    <w:rsid w:val="0000542E"/>
    <w:rsid w:val="00007269"/>
    <w:rsid w:val="00010FAE"/>
    <w:rsid w:val="00013E40"/>
    <w:rsid w:val="000161B1"/>
    <w:rsid w:val="00025A39"/>
    <w:rsid w:val="00027853"/>
    <w:rsid w:val="00030E18"/>
    <w:rsid w:val="00031D32"/>
    <w:rsid w:val="00035851"/>
    <w:rsid w:val="0003603D"/>
    <w:rsid w:val="00036FA9"/>
    <w:rsid w:val="000429AB"/>
    <w:rsid w:val="00045088"/>
    <w:rsid w:val="00045A06"/>
    <w:rsid w:val="00050391"/>
    <w:rsid w:val="00051356"/>
    <w:rsid w:val="000538D3"/>
    <w:rsid w:val="00055291"/>
    <w:rsid w:val="000563D3"/>
    <w:rsid w:val="00057E44"/>
    <w:rsid w:val="00061299"/>
    <w:rsid w:val="00070576"/>
    <w:rsid w:val="00072754"/>
    <w:rsid w:val="000728BD"/>
    <w:rsid w:val="00074510"/>
    <w:rsid w:val="000752BB"/>
    <w:rsid w:val="00081ADF"/>
    <w:rsid w:val="00084A02"/>
    <w:rsid w:val="00084BF7"/>
    <w:rsid w:val="0008669B"/>
    <w:rsid w:val="000870E9"/>
    <w:rsid w:val="000932CF"/>
    <w:rsid w:val="00096ED8"/>
    <w:rsid w:val="000A1A88"/>
    <w:rsid w:val="000A2B5C"/>
    <w:rsid w:val="000A3601"/>
    <w:rsid w:val="000A6FA8"/>
    <w:rsid w:val="000B2965"/>
    <w:rsid w:val="000B64A6"/>
    <w:rsid w:val="000B6F3B"/>
    <w:rsid w:val="000C4792"/>
    <w:rsid w:val="000C4E72"/>
    <w:rsid w:val="000D1E7A"/>
    <w:rsid w:val="000E24B1"/>
    <w:rsid w:val="000E2735"/>
    <w:rsid w:val="000E32D6"/>
    <w:rsid w:val="000E57F2"/>
    <w:rsid w:val="000E72A7"/>
    <w:rsid w:val="000F0804"/>
    <w:rsid w:val="000F1162"/>
    <w:rsid w:val="000F3467"/>
    <w:rsid w:val="000F38DE"/>
    <w:rsid w:val="000F5D6C"/>
    <w:rsid w:val="00106852"/>
    <w:rsid w:val="00110E19"/>
    <w:rsid w:val="00110F9D"/>
    <w:rsid w:val="00114A67"/>
    <w:rsid w:val="001179B2"/>
    <w:rsid w:val="00122143"/>
    <w:rsid w:val="001253B6"/>
    <w:rsid w:val="00127320"/>
    <w:rsid w:val="00127456"/>
    <w:rsid w:val="001312D8"/>
    <w:rsid w:val="0013137B"/>
    <w:rsid w:val="00132B6D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BB2"/>
    <w:rsid w:val="00183DFC"/>
    <w:rsid w:val="00184384"/>
    <w:rsid w:val="00186717"/>
    <w:rsid w:val="00187FFC"/>
    <w:rsid w:val="001A2018"/>
    <w:rsid w:val="001A3DD4"/>
    <w:rsid w:val="001B24AF"/>
    <w:rsid w:val="001B2C39"/>
    <w:rsid w:val="001B3675"/>
    <w:rsid w:val="001B54AB"/>
    <w:rsid w:val="001B5E10"/>
    <w:rsid w:val="001B662F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5ED0"/>
    <w:rsid w:val="001E61AA"/>
    <w:rsid w:val="001E7D09"/>
    <w:rsid w:val="001F1164"/>
    <w:rsid w:val="001F3B09"/>
    <w:rsid w:val="0020309E"/>
    <w:rsid w:val="00205BA0"/>
    <w:rsid w:val="00210B58"/>
    <w:rsid w:val="00222423"/>
    <w:rsid w:val="00225B28"/>
    <w:rsid w:val="0022775B"/>
    <w:rsid w:val="002313AC"/>
    <w:rsid w:val="002323EC"/>
    <w:rsid w:val="00233E1E"/>
    <w:rsid w:val="00235FB2"/>
    <w:rsid w:val="00237BC1"/>
    <w:rsid w:val="002430B4"/>
    <w:rsid w:val="002447D0"/>
    <w:rsid w:val="002454C5"/>
    <w:rsid w:val="00245E19"/>
    <w:rsid w:val="0024685F"/>
    <w:rsid w:val="00246AEB"/>
    <w:rsid w:val="00246F11"/>
    <w:rsid w:val="00250005"/>
    <w:rsid w:val="002517EC"/>
    <w:rsid w:val="00251A3F"/>
    <w:rsid w:val="0025254F"/>
    <w:rsid w:val="002533D9"/>
    <w:rsid w:val="0025444C"/>
    <w:rsid w:val="0025566D"/>
    <w:rsid w:val="0025595C"/>
    <w:rsid w:val="00257149"/>
    <w:rsid w:val="002576E7"/>
    <w:rsid w:val="00260357"/>
    <w:rsid w:val="002628D8"/>
    <w:rsid w:val="00264F04"/>
    <w:rsid w:val="00267554"/>
    <w:rsid w:val="0027122D"/>
    <w:rsid w:val="002757BA"/>
    <w:rsid w:val="0027595C"/>
    <w:rsid w:val="0028338F"/>
    <w:rsid w:val="00285C24"/>
    <w:rsid w:val="002915C4"/>
    <w:rsid w:val="002A1D1C"/>
    <w:rsid w:val="002A4D64"/>
    <w:rsid w:val="002B6554"/>
    <w:rsid w:val="002D05F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5C08"/>
    <w:rsid w:val="003168C1"/>
    <w:rsid w:val="00322FBE"/>
    <w:rsid w:val="00325632"/>
    <w:rsid w:val="00327549"/>
    <w:rsid w:val="003342A5"/>
    <w:rsid w:val="00336C36"/>
    <w:rsid w:val="00343815"/>
    <w:rsid w:val="00344687"/>
    <w:rsid w:val="00345806"/>
    <w:rsid w:val="003522BB"/>
    <w:rsid w:val="00352F6C"/>
    <w:rsid w:val="003556EA"/>
    <w:rsid w:val="00364377"/>
    <w:rsid w:val="00377ABB"/>
    <w:rsid w:val="00380BB8"/>
    <w:rsid w:val="003854F5"/>
    <w:rsid w:val="00386FC7"/>
    <w:rsid w:val="0039083C"/>
    <w:rsid w:val="00390A32"/>
    <w:rsid w:val="00392664"/>
    <w:rsid w:val="00394622"/>
    <w:rsid w:val="0039515B"/>
    <w:rsid w:val="00396C89"/>
    <w:rsid w:val="003A3693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50B7"/>
    <w:rsid w:val="003D6822"/>
    <w:rsid w:val="003D724C"/>
    <w:rsid w:val="003E0CE2"/>
    <w:rsid w:val="003E4C89"/>
    <w:rsid w:val="003E65F2"/>
    <w:rsid w:val="003F49E4"/>
    <w:rsid w:val="003F4D2F"/>
    <w:rsid w:val="003F5422"/>
    <w:rsid w:val="003F5E32"/>
    <w:rsid w:val="003F75F6"/>
    <w:rsid w:val="00400574"/>
    <w:rsid w:val="00401764"/>
    <w:rsid w:val="00404670"/>
    <w:rsid w:val="00404CB6"/>
    <w:rsid w:val="00414CA0"/>
    <w:rsid w:val="00422F54"/>
    <w:rsid w:val="0042549F"/>
    <w:rsid w:val="00431516"/>
    <w:rsid w:val="00433B90"/>
    <w:rsid w:val="00434BA2"/>
    <w:rsid w:val="004361B3"/>
    <w:rsid w:val="004379B6"/>
    <w:rsid w:val="00441859"/>
    <w:rsid w:val="0044249D"/>
    <w:rsid w:val="0044379F"/>
    <w:rsid w:val="00446FB1"/>
    <w:rsid w:val="0044734A"/>
    <w:rsid w:val="00450DEB"/>
    <w:rsid w:val="0046078F"/>
    <w:rsid w:val="00463214"/>
    <w:rsid w:val="0046434D"/>
    <w:rsid w:val="004656FA"/>
    <w:rsid w:val="00471D77"/>
    <w:rsid w:val="00475587"/>
    <w:rsid w:val="00480BC2"/>
    <w:rsid w:val="004929C2"/>
    <w:rsid w:val="00493FDD"/>
    <w:rsid w:val="0049586B"/>
    <w:rsid w:val="004A37C5"/>
    <w:rsid w:val="004A3E44"/>
    <w:rsid w:val="004A7983"/>
    <w:rsid w:val="004B2896"/>
    <w:rsid w:val="004B38E9"/>
    <w:rsid w:val="004B3FBA"/>
    <w:rsid w:val="004B556F"/>
    <w:rsid w:val="004B6599"/>
    <w:rsid w:val="004C35CE"/>
    <w:rsid w:val="004C50B4"/>
    <w:rsid w:val="004C6CA7"/>
    <w:rsid w:val="004D41E5"/>
    <w:rsid w:val="004D4357"/>
    <w:rsid w:val="004D4664"/>
    <w:rsid w:val="004D4950"/>
    <w:rsid w:val="004E0EC3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144E"/>
    <w:rsid w:val="00503437"/>
    <w:rsid w:val="00505503"/>
    <w:rsid w:val="005102A0"/>
    <w:rsid w:val="0051107B"/>
    <w:rsid w:val="00511E41"/>
    <w:rsid w:val="00512F9C"/>
    <w:rsid w:val="00513376"/>
    <w:rsid w:val="005217EE"/>
    <w:rsid w:val="00527CDB"/>
    <w:rsid w:val="005317FB"/>
    <w:rsid w:val="005341C9"/>
    <w:rsid w:val="005369CA"/>
    <w:rsid w:val="00536DE9"/>
    <w:rsid w:val="005376F8"/>
    <w:rsid w:val="00540668"/>
    <w:rsid w:val="00541E08"/>
    <w:rsid w:val="00551C0C"/>
    <w:rsid w:val="00553F9C"/>
    <w:rsid w:val="0055789A"/>
    <w:rsid w:val="005652D1"/>
    <w:rsid w:val="005660A0"/>
    <w:rsid w:val="00566A4F"/>
    <w:rsid w:val="00567D64"/>
    <w:rsid w:val="00572BC2"/>
    <w:rsid w:val="00577DBF"/>
    <w:rsid w:val="005805A3"/>
    <w:rsid w:val="00590C33"/>
    <w:rsid w:val="005938ED"/>
    <w:rsid w:val="0059478C"/>
    <w:rsid w:val="00596082"/>
    <w:rsid w:val="005978D4"/>
    <w:rsid w:val="005A55CA"/>
    <w:rsid w:val="005A6D96"/>
    <w:rsid w:val="005B2A67"/>
    <w:rsid w:val="005B3DCD"/>
    <w:rsid w:val="005B4320"/>
    <w:rsid w:val="005B4AD4"/>
    <w:rsid w:val="005B5CC7"/>
    <w:rsid w:val="005C2798"/>
    <w:rsid w:val="005C36C3"/>
    <w:rsid w:val="005C56EE"/>
    <w:rsid w:val="005C5D4B"/>
    <w:rsid w:val="005D1714"/>
    <w:rsid w:val="005D2D39"/>
    <w:rsid w:val="005D5977"/>
    <w:rsid w:val="005D734D"/>
    <w:rsid w:val="005D7638"/>
    <w:rsid w:val="005E1218"/>
    <w:rsid w:val="005E1F2E"/>
    <w:rsid w:val="005E4D1C"/>
    <w:rsid w:val="005F12F5"/>
    <w:rsid w:val="005F4B4F"/>
    <w:rsid w:val="005F7C7D"/>
    <w:rsid w:val="00600088"/>
    <w:rsid w:val="0060256A"/>
    <w:rsid w:val="006042B0"/>
    <w:rsid w:val="006044B7"/>
    <w:rsid w:val="006071CE"/>
    <w:rsid w:val="006075B5"/>
    <w:rsid w:val="0061018C"/>
    <w:rsid w:val="0061094E"/>
    <w:rsid w:val="00613440"/>
    <w:rsid w:val="00613BE3"/>
    <w:rsid w:val="00616717"/>
    <w:rsid w:val="0062327B"/>
    <w:rsid w:val="00632777"/>
    <w:rsid w:val="00633750"/>
    <w:rsid w:val="0063389E"/>
    <w:rsid w:val="00633CD4"/>
    <w:rsid w:val="00634491"/>
    <w:rsid w:val="00635B51"/>
    <w:rsid w:val="0063679C"/>
    <w:rsid w:val="00637055"/>
    <w:rsid w:val="00641D59"/>
    <w:rsid w:val="00644507"/>
    <w:rsid w:val="00646880"/>
    <w:rsid w:val="006474DA"/>
    <w:rsid w:val="0064771E"/>
    <w:rsid w:val="00647D2A"/>
    <w:rsid w:val="00651390"/>
    <w:rsid w:val="0065228B"/>
    <w:rsid w:val="006537BB"/>
    <w:rsid w:val="0065711B"/>
    <w:rsid w:val="00662ED8"/>
    <w:rsid w:val="00671785"/>
    <w:rsid w:val="00672BA9"/>
    <w:rsid w:val="00673005"/>
    <w:rsid w:val="00676B7A"/>
    <w:rsid w:val="006804BE"/>
    <w:rsid w:val="0069008E"/>
    <w:rsid w:val="0069087E"/>
    <w:rsid w:val="00691191"/>
    <w:rsid w:val="006925C4"/>
    <w:rsid w:val="0069309C"/>
    <w:rsid w:val="00694EF6"/>
    <w:rsid w:val="006A02B7"/>
    <w:rsid w:val="006B46D5"/>
    <w:rsid w:val="006B46F4"/>
    <w:rsid w:val="006C7AF3"/>
    <w:rsid w:val="006D59BC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136F2"/>
    <w:rsid w:val="0072530E"/>
    <w:rsid w:val="0072548A"/>
    <w:rsid w:val="00725F30"/>
    <w:rsid w:val="007277A6"/>
    <w:rsid w:val="007278FF"/>
    <w:rsid w:val="00732906"/>
    <w:rsid w:val="00735735"/>
    <w:rsid w:val="00737B50"/>
    <w:rsid w:val="007437AB"/>
    <w:rsid w:val="007534F8"/>
    <w:rsid w:val="007545AD"/>
    <w:rsid w:val="00763722"/>
    <w:rsid w:val="00764BC1"/>
    <w:rsid w:val="00770869"/>
    <w:rsid w:val="007738AA"/>
    <w:rsid w:val="007738B8"/>
    <w:rsid w:val="00780A62"/>
    <w:rsid w:val="00780DD4"/>
    <w:rsid w:val="00783241"/>
    <w:rsid w:val="007838EC"/>
    <w:rsid w:val="00784BDC"/>
    <w:rsid w:val="00787318"/>
    <w:rsid w:val="00791C88"/>
    <w:rsid w:val="00792F28"/>
    <w:rsid w:val="0079543F"/>
    <w:rsid w:val="00795880"/>
    <w:rsid w:val="007A39B5"/>
    <w:rsid w:val="007A4367"/>
    <w:rsid w:val="007B0867"/>
    <w:rsid w:val="007B1AC1"/>
    <w:rsid w:val="007B5A08"/>
    <w:rsid w:val="007B693D"/>
    <w:rsid w:val="007C3519"/>
    <w:rsid w:val="007D142F"/>
    <w:rsid w:val="007D37F2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17566"/>
    <w:rsid w:val="00831AAB"/>
    <w:rsid w:val="00834FB1"/>
    <w:rsid w:val="0083574E"/>
    <w:rsid w:val="0083640C"/>
    <w:rsid w:val="0083748E"/>
    <w:rsid w:val="0084157B"/>
    <w:rsid w:val="00842BFB"/>
    <w:rsid w:val="00846B85"/>
    <w:rsid w:val="00847DC3"/>
    <w:rsid w:val="00847F49"/>
    <w:rsid w:val="00850D4E"/>
    <w:rsid w:val="008535C5"/>
    <w:rsid w:val="00853765"/>
    <w:rsid w:val="0085516F"/>
    <w:rsid w:val="00856881"/>
    <w:rsid w:val="00861278"/>
    <w:rsid w:val="00867186"/>
    <w:rsid w:val="00870AF6"/>
    <w:rsid w:val="00881268"/>
    <w:rsid w:val="0088350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6D27"/>
    <w:rsid w:val="008B7900"/>
    <w:rsid w:val="008C2EC0"/>
    <w:rsid w:val="008C71BF"/>
    <w:rsid w:val="008C7FE0"/>
    <w:rsid w:val="008D0304"/>
    <w:rsid w:val="008D360D"/>
    <w:rsid w:val="008D5717"/>
    <w:rsid w:val="008E44A9"/>
    <w:rsid w:val="008E6B4D"/>
    <w:rsid w:val="008E6BFF"/>
    <w:rsid w:val="008F1A81"/>
    <w:rsid w:val="008F21AF"/>
    <w:rsid w:val="008F2400"/>
    <w:rsid w:val="008F55D7"/>
    <w:rsid w:val="008F61BA"/>
    <w:rsid w:val="008F6E3C"/>
    <w:rsid w:val="008F7C55"/>
    <w:rsid w:val="0090338C"/>
    <w:rsid w:val="00913B0E"/>
    <w:rsid w:val="00914A23"/>
    <w:rsid w:val="00916119"/>
    <w:rsid w:val="00930754"/>
    <w:rsid w:val="00931164"/>
    <w:rsid w:val="00934F68"/>
    <w:rsid w:val="009355AC"/>
    <w:rsid w:val="00935F38"/>
    <w:rsid w:val="00937586"/>
    <w:rsid w:val="00940592"/>
    <w:rsid w:val="0094469B"/>
    <w:rsid w:val="00946ED1"/>
    <w:rsid w:val="00947889"/>
    <w:rsid w:val="009515E1"/>
    <w:rsid w:val="00960E98"/>
    <w:rsid w:val="00963A82"/>
    <w:rsid w:val="00967401"/>
    <w:rsid w:val="009724C0"/>
    <w:rsid w:val="00972912"/>
    <w:rsid w:val="00972CA0"/>
    <w:rsid w:val="00976D1F"/>
    <w:rsid w:val="00981C8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521"/>
    <w:rsid w:val="00A05D16"/>
    <w:rsid w:val="00A0659F"/>
    <w:rsid w:val="00A079BA"/>
    <w:rsid w:val="00A33875"/>
    <w:rsid w:val="00A360A1"/>
    <w:rsid w:val="00A402B3"/>
    <w:rsid w:val="00A45102"/>
    <w:rsid w:val="00A544B7"/>
    <w:rsid w:val="00A618CF"/>
    <w:rsid w:val="00A62770"/>
    <w:rsid w:val="00A62EEB"/>
    <w:rsid w:val="00A64736"/>
    <w:rsid w:val="00A660FF"/>
    <w:rsid w:val="00A6625A"/>
    <w:rsid w:val="00A73395"/>
    <w:rsid w:val="00A77AA2"/>
    <w:rsid w:val="00A82B4C"/>
    <w:rsid w:val="00A8575C"/>
    <w:rsid w:val="00A93A4C"/>
    <w:rsid w:val="00A94D5D"/>
    <w:rsid w:val="00AA1D9B"/>
    <w:rsid w:val="00AA2543"/>
    <w:rsid w:val="00AA3804"/>
    <w:rsid w:val="00AA55C2"/>
    <w:rsid w:val="00AB0ACA"/>
    <w:rsid w:val="00AB0C74"/>
    <w:rsid w:val="00AB1D41"/>
    <w:rsid w:val="00AB5AC2"/>
    <w:rsid w:val="00AC5E9A"/>
    <w:rsid w:val="00AC704B"/>
    <w:rsid w:val="00AC7F6F"/>
    <w:rsid w:val="00AD553E"/>
    <w:rsid w:val="00AD5848"/>
    <w:rsid w:val="00AE300D"/>
    <w:rsid w:val="00AE5ADA"/>
    <w:rsid w:val="00AF6145"/>
    <w:rsid w:val="00B01386"/>
    <w:rsid w:val="00B01BB5"/>
    <w:rsid w:val="00B04AF4"/>
    <w:rsid w:val="00B05214"/>
    <w:rsid w:val="00B0736F"/>
    <w:rsid w:val="00B1112C"/>
    <w:rsid w:val="00B161B3"/>
    <w:rsid w:val="00B24546"/>
    <w:rsid w:val="00B30D97"/>
    <w:rsid w:val="00B31738"/>
    <w:rsid w:val="00B3181A"/>
    <w:rsid w:val="00B3407F"/>
    <w:rsid w:val="00B359A9"/>
    <w:rsid w:val="00B35A7C"/>
    <w:rsid w:val="00B44CE4"/>
    <w:rsid w:val="00B450D1"/>
    <w:rsid w:val="00B53D47"/>
    <w:rsid w:val="00B54A25"/>
    <w:rsid w:val="00B618C3"/>
    <w:rsid w:val="00B63652"/>
    <w:rsid w:val="00B668B0"/>
    <w:rsid w:val="00B66EE6"/>
    <w:rsid w:val="00B673AE"/>
    <w:rsid w:val="00B70F5C"/>
    <w:rsid w:val="00B71873"/>
    <w:rsid w:val="00B75AE5"/>
    <w:rsid w:val="00B800C0"/>
    <w:rsid w:val="00B8132B"/>
    <w:rsid w:val="00B82884"/>
    <w:rsid w:val="00B84C5A"/>
    <w:rsid w:val="00B858F5"/>
    <w:rsid w:val="00B85ADA"/>
    <w:rsid w:val="00B93668"/>
    <w:rsid w:val="00B954A9"/>
    <w:rsid w:val="00BA54D2"/>
    <w:rsid w:val="00BA68C6"/>
    <w:rsid w:val="00BB12F1"/>
    <w:rsid w:val="00BB276E"/>
    <w:rsid w:val="00BB3FEE"/>
    <w:rsid w:val="00BB5EB0"/>
    <w:rsid w:val="00BB7A27"/>
    <w:rsid w:val="00BC245A"/>
    <w:rsid w:val="00BC340C"/>
    <w:rsid w:val="00BC413C"/>
    <w:rsid w:val="00BC4596"/>
    <w:rsid w:val="00BC4CDF"/>
    <w:rsid w:val="00BC5B1A"/>
    <w:rsid w:val="00BD16FA"/>
    <w:rsid w:val="00BD41C3"/>
    <w:rsid w:val="00BD488B"/>
    <w:rsid w:val="00BD7CCC"/>
    <w:rsid w:val="00BE002A"/>
    <w:rsid w:val="00BE128A"/>
    <w:rsid w:val="00BE1905"/>
    <w:rsid w:val="00BE1BC9"/>
    <w:rsid w:val="00BE2A0C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544"/>
    <w:rsid w:val="00C256F3"/>
    <w:rsid w:val="00C26329"/>
    <w:rsid w:val="00C270A2"/>
    <w:rsid w:val="00C274DB"/>
    <w:rsid w:val="00C315B5"/>
    <w:rsid w:val="00C32D3A"/>
    <w:rsid w:val="00C35E28"/>
    <w:rsid w:val="00C41BE3"/>
    <w:rsid w:val="00C426AF"/>
    <w:rsid w:val="00C469C1"/>
    <w:rsid w:val="00C50659"/>
    <w:rsid w:val="00C51468"/>
    <w:rsid w:val="00C51B39"/>
    <w:rsid w:val="00C5338A"/>
    <w:rsid w:val="00C536EC"/>
    <w:rsid w:val="00C54EF9"/>
    <w:rsid w:val="00C55F3E"/>
    <w:rsid w:val="00C5610C"/>
    <w:rsid w:val="00C56BBF"/>
    <w:rsid w:val="00C572AA"/>
    <w:rsid w:val="00C57A9A"/>
    <w:rsid w:val="00C6016A"/>
    <w:rsid w:val="00C601BC"/>
    <w:rsid w:val="00C60B3F"/>
    <w:rsid w:val="00C623EB"/>
    <w:rsid w:val="00C6258A"/>
    <w:rsid w:val="00C64C6B"/>
    <w:rsid w:val="00C65138"/>
    <w:rsid w:val="00C66F2E"/>
    <w:rsid w:val="00C6785C"/>
    <w:rsid w:val="00C70C6D"/>
    <w:rsid w:val="00C70FD1"/>
    <w:rsid w:val="00C733AA"/>
    <w:rsid w:val="00C83027"/>
    <w:rsid w:val="00C84B8A"/>
    <w:rsid w:val="00C85230"/>
    <w:rsid w:val="00C85E65"/>
    <w:rsid w:val="00C87CA1"/>
    <w:rsid w:val="00C911B4"/>
    <w:rsid w:val="00C91B3B"/>
    <w:rsid w:val="00C92953"/>
    <w:rsid w:val="00C94262"/>
    <w:rsid w:val="00C94310"/>
    <w:rsid w:val="00C976E1"/>
    <w:rsid w:val="00CA00E5"/>
    <w:rsid w:val="00CA148E"/>
    <w:rsid w:val="00CA3A9A"/>
    <w:rsid w:val="00CA563B"/>
    <w:rsid w:val="00CB6BC1"/>
    <w:rsid w:val="00CB7021"/>
    <w:rsid w:val="00CD3294"/>
    <w:rsid w:val="00CD4524"/>
    <w:rsid w:val="00CD784D"/>
    <w:rsid w:val="00CE2D2A"/>
    <w:rsid w:val="00CE4211"/>
    <w:rsid w:val="00CF2BD0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BA3"/>
    <w:rsid w:val="00D36E05"/>
    <w:rsid w:val="00D44F27"/>
    <w:rsid w:val="00D45304"/>
    <w:rsid w:val="00D461C7"/>
    <w:rsid w:val="00D50424"/>
    <w:rsid w:val="00D522FD"/>
    <w:rsid w:val="00D57D3E"/>
    <w:rsid w:val="00D6449C"/>
    <w:rsid w:val="00D65DFA"/>
    <w:rsid w:val="00D71FF1"/>
    <w:rsid w:val="00D750B6"/>
    <w:rsid w:val="00D843F4"/>
    <w:rsid w:val="00D90F66"/>
    <w:rsid w:val="00DC23CF"/>
    <w:rsid w:val="00DC6562"/>
    <w:rsid w:val="00DE130D"/>
    <w:rsid w:val="00DE24CF"/>
    <w:rsid w:val="00DE407C"/>
    <w:rsid w:val="00DE54C4"/>
    <w:rsid w:val="00DE741E"/>
    <w:rsid w:val="00DE7C7D"/>
    <w:rsid w:val="00DF2992"/>
    <w:rsid w:val="00DF2D0C"/>
    <w:rsid w:val="00E01B9D"/>
    <w:rsid w:val="00E04F5E"/>
    <w:rsid w:val="00E0522E"/>
    <w:rsid w:val="00E05736"/>
    <w:rsid w:val="00E120F4"/>
    <w:rsid w:val="00E155F9"/>
    <w:rsid w:val="00E17172"/>
    <w:rsid w:val="00E261F8"/>
    <w:rsid w:val="00E272EC"/>
    <w:rsid w:val="00E3181C"/>
    <w:rsid w:val="00E31DCE"/>
    <w:rsid w:val="00E3280A"/>
    <w:rsid w:val="00E3348A"/>
    <w:rsid w:val="00E372AF"/>
    <w:rsid w:val="00E37D68"/>
    <w:rsid w:val="00E40EAE"/>
    <w:rsid w:val="00E436AC"/>
    <w:rsid w:val="00E44D7A"/>
    <w:rsid w:val="00E44FF8"/>
    <w:rsid w:val="00E5066A"/>
    <w:rsid w:val="00E523A3"/>
    <w:rsid w:val="00E52CF9"/>
    <w:rsid w:val="00E62808"/>
    <w:rsid w:val="00E62B8A"/>
    <w:rsid w:val="00E63F34"/>
    <w:rsid w:val="00E6715A"/>
    <w:rsid w:val="00E75DC9"/>
    <w:rsid w:val="00E77E77"/>
    <w:rsid w:val="00E81610"/>
    <w:rsid w:val="00E81A36"/>
    <w:rsid w:val="00E84910"/>
    <w:rsid w:val="00E85B28"/>
    <w:rsid w:val="00E91976"/>
    <w:rsid w:val="00E91AEB"/>
    <w:rsid w:val="00E947A6"/>
    <w:rsid w:val="00E97FC7"/>
    <w:rsid w:val="00EA0690"/>
    <w:rsid w:val="00EA3956"/>
    <w:rsid w:val="00EA5571"/>
    <w:rsid w:val="00EC02A5"/>
    <w:rsid w:val="00EC176B"/>
    <w:rsid w:val="00EC297A"/>
    <w:rsid w:val="00EC33CD"/>
    <w:rsid w:val="00EC5BE5"/>
    <w:rsid w:val="00ED0137"/>
    <w:rsid w:val="00ED2650"/>
    <w:rsid w:val="00ED721A"/>
    <w:rsid w:val="00EE393D"/>
    <w:rsid w:val="00EF01CF"/>
    <w:rsid w:val="00EF363E"/>
    <w:rsid w:val="00EF6A66"/>
    <w:rsid w:val="00EF756E"/>
    <w:rsid w:val="00EF7AF9"/>
    <w:rsid w:val="00F00511"/>
    <w:rsid w:val="00F01495"/>
    <w:rsid w:val="00F01EE6"/>
    <w:rsid w:val="00F10138"/>
    <w:rsid w:val="00F11274"/>
    <w:rsid w:val="00F13F92"/>
    <w:rsid w:val="00F179D5"/>
    <w:rsid w:val="00F22ECA"/>
    <w:rsid w:val="00F240E8"/>
    <w:rsid w:val="00F244FA"/>
    <w:rsid w:val="00F2766A"/>
    <w:rsid w:val="00F3363A"/>
    <w:rsid w:val="00F350CD"/>
    <w:rsid w:val="00F366A2"/>
    <w:rsid w:val="00F44DC1"/>
    <w:rsid w:val="00F44F43"/>
    <w:rsid w:val="00F450E1"/>
    <w:rsid w:val="00F4763C"/>
    <w:rsid w:val="00F50DF4"/>
    <w:rsid w:val="00F55178"/>
    <w:rsid w:val="00F55704"/>
    <w:rsid w:val="00F57AFE"/>
    <w:rsid w:val="00F6278E"/>
    <w:rsid w:val="00F63C41"/>
    <w:rsid w:val="00F63E96"/>
    <w:rsid w:val="00F676CD"/>
    <w:rsid w:val="00F701E3"/>
    <w:rsid w:val="00F71EA7"/>
    <w:rsid w:val="00F71F8C"/>
    <w:rsid w:val="00F80362"/>
    <w:rsid w:val="00F8143B"/>
    <w:rsid w:val="00F84B7D"/>
    <w:rsid w:val="00F859F5"/>
    <w:rsid w:val="00F86AD4"/>
    <w:rsid w:val="00F92EE4"/>
    <w:rsid w:val="00FA0113"/>
    <w:rsid w:val="00FA12B2"/>
    <w:rsid w:val="00FA2750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E6638"/>
    <w:rsid w:val="00FF18EC"/>
    <w:rsid w:val="00FF19AD"/>
    <w:rsid w:val="00FF1EB5"/>
    <w:rsid w:val="00FF292D"/>
    <w:rsid w:val="00FF298D"/>
    <w:rsid w:val="00FF4896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2024-09-03T10:13:00Z</cp:lastPrinted>
  <dcterms:created xsi:type="dcterms:W3CDTF">2024-09-03T10:21:00Z</dcterms:created>
  <dcterms:modified xsi:type="dcterms:W3CDTF">2025-03-05T09:36:00Z</dcterms:modified>
</cp:coreProperties>
</file>