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E8272" w14:textId="77777777" w:rsidR="007437AB" w:rsidRPr="00C26329" w:rsidRDefault="007437AB" w:rsidP="006F1E66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3F5B87" w14:textId="5FFBC9C2" w:rsidR="00972CA0" w:rsidRPr="006E475C" w:rsidRDefault="00463214" w:rsidP="00C26329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4F03FD">
        <w:rPr>
          <w:rFonts w:ascii="Arial" w:hAnsi="Arial" w:cs="Arial"/>
          <w:sz w:val="20"/>
          <w:szCs w:val="20"/>
          <w:lang w:val="el-GR"/>
        </w:rPr>
        <w:tab/>
      </w:r>
      <w:r w:rsidRPr="005C56EE">
        <w:rPr>
          <w:rFonts w:ascii="Arial" w:hAnsi="Arial" w:cs="Arial"/>
          <w:sz w:val="18"/>
          <w:szCs w:val="18"/>
          <w:lang w:val="el-GR"/>
        </w:rPr>
        <w:tab/>
      </w:r>
    </w:p>
    <w:p w14:paraId="2C43E721" w14:textId="0B3D54E8" w:rsidR="006E475C" w:rsidRPr="00970856" w:rsidRDefault="009801BB" w:rsidP="006E475C">
      <w:pPr>
        <w:jc w:val="right"/>
        <w:rPr>
          <w:rFonts w:ascii="Verdana" w:eastAsia="Malgun Gothic" w:hAnsi="Verdana" w:cs="Arial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sz w:val="18"/>
          <w:szCs w:val="18"/>
        </w:rPr>
        <w:t>1</w:t>
      </w:r>
      <w:r w:rsidR="00821747">
        <w:rPr>
          <w:rFonts w:ascii="Verdana" w:hAnsi="Verdana" w:cs="Arial"/>
          <w:sz w:val="18"/>
          <w:szCs w:val="18"/>
        </w:rPr>
        <w:t>3</w:t>
      </w:r>
      <w:r w:rsidR="00C333A6">
        <w:rPr>
          <w:rFonts w:ascii="Verdana" w:hAnsi="Verdana" w:cs="Arial"/>
          <w:sz w:val="18"/>
          <w:szCs w:val="18"/>
        </w:rPr>
        <w:t xml:space="preserve"> </w:t>
      </w:r>
      <w:r w:rsidR="00821747">
        <w:rPr>
          <w:rFonts w:ascii="Verdana" w:hAnsi="Verdana" w:cs="Arial"/>
          <w:sz w:val="18"/>
          <w:szCs w:val="18"/>
        </w:rPr>
        <w:t>June</w:t>
      </w:r>
      <w:r w:rsidR="006E475C">
        <w:rPr>
          <w:rFonts w:ascii="Verdana" w:hAnsi="Verdana" w:cs="Arial"/>
          <w:sz w:val="18"/>
          <w:szCs w:val="18"/>
        </w:rPr>
        <w:t>,</w:t>
      </w:r>
      <w:r w:rsidR="006E475C" w:rsidRPr="00970856">
        <w:rPr>
          <w:rFonts w:ascii="Verdana" w:eastAsia="Malgun Gothic" w:hAnsi="Verdana" w:cs="Arial"/>
          <w:sz w:val="18"/>
          <w:szCs w:val="18"/>
        </w:rPr>
        <w:t xml:space="preserve"> 202</w:t>
      </w:r>
      <w:r>
        <w:rPr>
          <w:rFonts w:ascii="Verdana" w:eastAsia="Malgun Gothic" w:hAnsi="Verdana" w:cs="Arial"/>
          <w:sz w:val="18"/>
          <w:szCs w:val="18"/>
        </w:rPr>
        <w:t>5</w:t>
      </w:r>
    </w:p>
    <w:p w14:paraId="4406B52E" w14:textId="49031662" w:rsidR="006E475C" w:rsidRDefault="006E475C" w:rsidP="006E475C">
      <w:pPr>
        <w:rPr>
          <w:rFonts w:ascii="Verdana" w:eastAsia="Malgun Gothic" w:hAnsi="Verdana" w:cs="Arial"/>
          <w:b/>
          <w:sz w:val="18"/>
          <w:szCs w:val="18"/>
        </w:rPr>
      </w:pPr>
    </w:p>
    <w:p w14:paraId="167E8A11" w14:textId="77777777" w:rsidR="006E475C" w:rsidRPr="00970856" w:rsidRDefault="006E475C" w:rsidP="006E475C">
      <w:pPr>
        <w:rPr>
          <w:rFonts w:ascii="Verdana" w:eastAsia="Malgun Gothic" w:hAnsi="Verdana" w:cs="Arial"/>
          <w:b/>
          <w:sz w:val="18"/>
          <w:szCs w:val="18"/>
        </w:rPr>
      </w:pPr>
    </w:p>
    <w:p w14:paraId="50617788" w14:textId="77777777" w:rsidR="006E475C" w:rsidRPr="00970856" w:rsidRDefault="006E475C" w:rsidP="006E475C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r w:rsidRPr="00970856">
        <w:rPr>
          <w:rFonts w:ascii="Verdana" w:eastAsia="Malgun Gothic" w:hAnsi="Verdana" w:cs="Arial"/>
          <w:b/>
          <w:sz w:val="24"/>
          <w:szCs w:val="24"/>
        </w:rPr>
        <w:t>PRESS RELEASE</w:t>
      </w:r>
    </w:p>
    <w:p w14:paraId="463383BB" w14:textId="0F836733" w:rsidR="006E475C" w:rsidRDefault="006E475C" w:rsidP="006E475C">
      <w:pPr>
        <w:rPr>
          <w:rFonts w:ascii="Verdana" w:eastAsia="Malgun Gothic" w:hAnsi="Verdana" w:cs="Arial"/>
          <w:sz w:val="18"/>
          <w:szCs w:val="18"/>
        </w:rPr>
      </w:pPr>
    </w:p>
    <w:p w14:paraId="3F1ACBC5" w14:textId="77777777" w:rsidR="006E475C" w:rsidRPr="00970856" w:rsidRDefault="006E475C" w:rsidP="006E475C">
      <w:pPr>
        <w:rPr>
          <w:rFonts w:ascii="Verdana" w:eastAsia="Malgun Gothic" w:hAnsi="Verdana" w:cs="Arial"/>
          <w:sz w:val="18"/>
          <w:szCs w:val="18"/>
        </w:rPr>
      </w:pPr>
    </w:p>
    <w:p w14:paraId="41518948" w14:textId="4BDE6801" w:rsidR="006E475C" w:rsidRPr="00970856" w:rsidRDefault="006E475C" w:rsidP="00821747">
      <w:pPr>
        <w:rPr>
          <w:rFonts w:ascii="Verdana" w:eastAsia="Times New Roman" w:hAnsi="Verdana"/>
          <w:b/>
          <w:bCs/>
          <w:u w:val="single"/>
          <w:shd w:val="clear" w:color="auto" w:fill="FFFFFF"/>
        </w:rPr>
      </w:pPr>
      <w:bookmarkStart w:id="1" w:name="_Hlk57290677"/>
      <w:r w:rsidRPr="00970856">
        <w:rPr>
          <w:rFonts w:ascii="Verdana" w:eastAsia="Times New Roman" w:hAnsi="Verdana"/>
          <w:u w:val="single"/>
          <w:shd w:val="clear" w:color="auto" w:fill="FFFFFF"/>
        </w:rPr>
        <w:t xml:space="preserve">TURNOVER VALUE INDEX </w:t>
      </w:r>
      <w:r>
        <w:rPr>
          <w:rFonts w:ascii="Verdana" w:eastAsia="Times New Roman" w:hAnsi="Verdana"/>
          <w:u w:val="single"/>
          <w:shd w:val="clear" w:color="auto" w:fill="FFFFFF"/>
        </w:rPr>
        <w:t xml:space="preserve">IN THE DIVISIONS OF </w:t>
      </w:r>
      <w:r w:rsidRPr="00970856">
        <w:rPr>
          <w:rFonts w:ascii="Verdana" w:eastAsia="Times New Roman" w:hAnsi="Verdana"/>
          <w:u w:val="single"/>
          <w:shd w:val="clear" w:color="auto" w:fill="FFFFFF"/>
        </w:rPr>
        <w:t>WHOLESALE TRADE</w:t>
      </w:r>
      <w:r>
        <w:rPr>
          <w:rFonts w:ascii="Verdana" w:eastAsia="Times New Roman" w:hAnsi="Verdana"/>
          <w:u w:val="single"/>
          <w:shd w:val="clear" w:color="auto" w:fill="FFFFFF"/>
        </w:rPr>
        <w:t xml:space="preserve"> AND OF TRADE/REPAIR OF </w:t>
      </w:r>
      <w:r w:rsidRPr="00970856">
        <w:rPr>
          <w:rFonts w:ascii="Verdana" w:eastAsia="Times New Roman" w:hAnsi="Verdana"/>
          <w:u w:val="single"/>
          <w:shd w:val="clear" w:color="auto" w:fill="FFFFFF"/>
        </w:rPr>
        <w:t>MOTOR VEHICLES</w:t>
      </w:r>
      <w:r w:rsidRPr="00970856">
        <w:rPr>
          <w:rFonts w:ascii="Verdana" w:eastAsia="Times New Roman" w:hAnsi="Verdana"/>
          <w:bCs/>
          <w:u w:val="single"/>
          <w:shd w:val="clear" w:color="auto" w:fill="FFFFFF"/>
        </w:rPr>
        <w:t>:</w:t>
      </w:r>
      <w:r w:rsidRPr="00970856">
        <w:rPr>
          <w:rFonts w:ascii="Verdana" w:eastAsia="Times New Roman" w:hAnsi="Verdana"/>
          <w:b/>
          <w:bCs/>
          <w:u w:val="single"/>
          <w:shd w:val="clear" w:color="auto" w:fill="FFFFFF"/>
        </w:rPr>
        <w:t xml:space="preserve"> </w:t>
      </w:r>
      <w:bookmarkEnd w:id="1"/>
      <w:r w:rsidR="00821747">
        <w:rPr>
          <w:rFonts w:ascii="Verdana" w:eastAsia="Times New Roman" w:hAnsi="Verdana"/>
          <w:b/>
          <w:bCs/>
          <w:u w:val="single"/>
          <w:shd w:val="clear" w:color="auto" w:fill="FFFFFF"/>
        </w:rPr>
        <w:t>1</w:t>
      </w:r>
      <w:r w:rsidR="00821747" w:rsidRPr="00821747">
        <w:rPr>
          <w:rFonts w:ascii="Verdana" w:eastAsia="Times New Roman" w:hAnsi="Verdana"/>
          <w:b/>
          <w:bCs/>
          <w:u w:val="single"/>
          <w:shd w:val="clear" w:color="auto" w:fill="FFFFFF"/>
          <w:vertAlign w:val="superscript"/>
        </w:rPr>
        <w:t>st</w:t>
      </w:r>
      <w:r w:rsidR="00B922B9">
        <w:rPr>
          <w:rFonts w:ascii="Verdana" w:eastAsia="Times New Roman" w:hAnsi="Verdana"/>
          <w:b/>
          <w:bCs/>
          <w:u w:val="single"/>
          <w:shd w:val="clear" w:color="auto" w:fill="FFFFFF"/>
          <w:vertAlign w:val="superscript"/>
        </w:rPr>
        <w:t xml:space="preserve"> </w:t>
      </w:r>
      <w:r>
        <w:rPr>
          <w:rFonts w:ascii="Verdana" w:eastAsia="Times New Roman" w:hAnsi="Verdana"/>
          <w:b/>
          <w:bCs/>
          <w:u w:val="single"/>
          <w:shd w:val="clear" w:color="auto" w:fill="FFFFFF"/>
        </w:rPr>
        <w:t>QUARTER</w:t>
      </w:r>
      <w:r w:rsidR="00B922B9">
        <w:rPr>
          <w:rFonts w:ascii="Verdana" w:eastAsia="Times New Roman" w:hAnsi="Verdana"/>
          <w:b/>
          <w:bCs/>
          <w:u w:val="single"/>
          <w:shd w:val="clear" w:color="auto" w:fill="FFFFFF"/>
        </w:rPr>
        <w:t xml:space="preserve"> </w:t>
      </w:r>
      <w:r>
        <w:rPr>
          <w:rFonts w:ascii="Verdana" w:eastAsia="Times New Roman" w:hAnsi="Verdana"/>
          <w:b/>
          <w:bCs/>
          <w:u w:val="single"/>
          <w:shd w:val="clear" w:color="auto" w:fill="FFFFFF"/>
        </w:rPr>
        <w:t>202</w:t>
      </w:r>
      <w:r w:rsidR="00821747">
        <w:rPr>
          <w:rFonts w:ascii="Verdana" w:eastAsia="Times New Roman" w:hAnsi="Verdana"/>
          <w:b/>
          <w:bCs/>
          <w:u w:val="single"/>
          <w:shd w:val="clear" w:color="auto" w:fill="FFFFFF"/>
        </w:rPr>
        <w:t>5</w:t>
      </w:r>
    </w:p>
    <w:p w14:paraId="700C5BA8" w14:textId="02081FE8" w:rsidR="006E475C" w:rsidRDefault="006E475C" w:rsidP="006E475C">
      <w:pPr>
        <w:jc w:val="both"/>
        <w:rPr>
          <w:rFonts w:ascii="Verdana" w:eastAsia="Times New Roman" w:hAnsi="Verdana"/>
          <w:b/>
          <w:bCs/>
          <w:sz w:val="18"/>
          <w:szCs w:val="18"/>
          <w:u w:val="single"/>
          <w:shd w:val="clear" w:color="auto" w:fill="FFFFFF"/>
        </w:rPr>
      </w:pPr>
    </w:p>
    <w:p w14:paraId="0CBCCADF" w14:textId="77777777" w:rsidR="006E475C" w:rsidRPr="00970856" w:rsidRDefault="006E475C" w:rsidP="006E475C">
      <w:pPr>
        <w:jc w:val="both"/>
        <w:rPr>
          <w:rFonts w:ascii="Verdana" w:eastAsia="Times New Roman" w:hAnsi="Verdana"/>
          <w:b/>
          <w:bCs/>
          <w:sz w:val="18"/>
          <w:szCs w:val="18"/>
          <w:u w:val="single"/>
          <w:shd w:val="clear" w:color="auto" w:fill="FFFFFF"/>
        </w:rPr>
      </w:pPr>
    </w:p>
    <w:p w14:paraId="25252755" w14:textId="44326BB5" w:rsidR="006E475C" w:rsidRPr="004524B8" w:rsidRDefault="006E475C" w:rsidP="006E475C">
      <w:pPr>
        <w:jc w:val="center"/>
        <w:rPr>
          <w:rFonts w:ascii="Verdana" w:eastAsia="Malgun Gothic" w:hAnsi="Verdana" w:cs="Arial"/>
          <w:b/>
          <w:bCs/>
        </w:rPr>
      </w:pPr>
      <w:r w:rsidRPr="004524B8">
        <w:rPr>
          <w:rFonts w:ascii="Verdana" w:eastAsia="Malgun Gothic" w:hAnsi="Verdana" w:cs="Arial"/>
          <w:b/>
          <w:bCs/>
        </w:rPr>
        <w:t xml:space="preserve">Annual change </w:t>
      </w:r>
      <w:r w:rsidR="006D423B" w:rsidRPr="004524B8">
        <w:rPr>
          <w:rFonts w:ascii="Verdana" w:eastAsia="Malgun Gothic" w:hAnsi="Verdana" w:cs="Arial"/>
          <w:b/>
          <w:bCs/>
        </w:rPr>
        <w:t>+</w:t>
      </w:r>
      <w:r w:rsidR="004524B8" w:rsidRPr="004524B8">
        <w:rPr>
          <w:rFonts w:ascii="Verdana" w:eastAsia="Malgun Gothic" w:hAnsi="Verdana" w:cs="Arial"/>
          <w:b/>
          <w:bCs/>
        </w:rPr>
        <w:t>4</w:t>
      </w:r>
      <w:r w:rsidRPr="004524B8">
        <w:rPr>
          <w:rFonts w:ascii="Verdana" w:eastAsia="Malgun Gothic" w:hAnsi="Verdana" w:cs="Arial"/>
          <w:b/>
          <w:bCs/>
        </w:rPr>
        <w:t>,</w:t>
      </w:r>
      <w:r w:rsidR="004524B8" w:rsidRPr="004524B8">
        <w:rPr>
          <w:rFonts w:ascii="Verdana" w:eastAsia="Malgun Gothic" w:hAnsi="Verdana" w:cs="Arial"/>
          <w:b/>
          <w:bCs/>
        </w:rPr>
        <w:t>8</w:t>
      </w:r>
      <w:r w:rsidRPr="004524B8">
        <w:rPr>
          <w:rFonts w:ascii="Verdana" w:eastAsia="Malgun Gothic" w:hAnsi="Verdana" w:cs="Arial"/>
          <w:b/>
          <w:bCs/>
        </w:rPr>
        <w:t>% in Wholesale Trade and +</w:t>
      </w:r>
      <w:r w:rsidR="00FC3D6D" w:rsidRPr="004524B8">
        <w:rPr>
          <w:rFonts w:ascii="Verdana" w:eastAsia="Malgun Gothic" w:hAnsi="Verdana" w:cs="Arial"/>
          <w:b/>
          <w:bCs/>
        </w:rPr>
        <w:t>1</w:t>
      </w:r>
      <w:r w:rsidRPr="004524B8">
        <w:rPr>
          <w:rFonts w:ascii="Verdana" w:eastAsia="Malgun Gothic" w:hAnsi="Verdana" w:cs="Arial"/>
          <w:b/>
          <w:bCs/>
        </w:rPr>
        <w:t>,</w:t>
      </w:r>
      <w:r w:rsidR="004524B8" w:rsidRPr="004524B8">
        <w:rPr>
          <w:rFonts w:ascii="Verdana" w:eastAsia="Malgun Gothic" w:hAnsi="Verdana" w:cs="Arial"/>
          <w:b/>
          <w:bCs/>
        </w:rPr>
        <w:t>3</w:t>
      </w:r>
      <w:r w:rsidRPr="004524B8">
        <w:rPr>
          <w:rFonts w:ascii="Verdana" w:eastAsia="Malgun Gothic" w:hAnsi="Verdana" w:cs="Arial"/>
          <w:b/>
          <w:bCs/>
        </w:rPr>
        <w:t>% in Motor Vehicles</w:t>
      </w:r>
    </w:p>
    <w:p w14:paraId="1D629F8E" w14:textId="5633E945" w:rsidR="006E475C" w:rsidRPr="004524B8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2088D0AA" w14:textId="77777777" w:rsidR="006E475C" w:rsidRPr="004524B8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B8FBC7C" w14:textId="0DCE348D" w:rsidR="006E475C" w:rsidRPr="004524B8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4524B8">
        <w:rPr>
          <w:rFonts w:ascii="Verdana" w:hAnsi="Verdana"/>
          <w:sz w:val="18"/>
          <w:szCs w:val="18"/>
          <w:shd w:val="clear" w:color="auto" w:fill="FFFFFF"/>
        </w:rPr>
        <w:t>The Turnover Value Index of Wholesale Trade (Division 46) during the</w:t>
      </w:r>
      <w:r w:rsidR="009801BB" w:rsidRPr="004524B8">
        <w:rPr>
          <w:rFonts w:ascii="Verdana" w:hAnsi="Verdana"/>
          <w:sz w:val="18"/>
          <w:szCs w:val="18"/>
          <w:shd w:val="clear" w:color="auto" w:fill="FFFFFF"/>
        </w:rPr>
        <w:t xml:space="preserve"> </w:t>
      </w:r>
      <w:r w:rsidR="00821747" w:rsidRPr="004524B8">
        <w:rPr>
          <w:rFonts w:ascii="Verdana" w:hAnsi="Verdana"/>
          <w:sz w:val="18"/>
          <w:szCs w:val="18"/>
          <w:shd w:val="clear" w:color="auto" w:fill="FFFFFF"/>
        </w:rPr>
        <w:t xml:space="preserve">first </w:t>
      </w:r>
      <w:r w:rsidRPr="004524B8">
        <w:rPr>
          <w:rFonts w:ascii="Verdana" w:hAnsi="Verdana"/>
          <w:sz w:val="18"/>
          <w:szCs w:val="18"/>
          <w:shd w:val="clear" w:color="auto" w:fill="FFFFFF"/>
        </w:rPr>
        <w:t>quarter of 202</w:t>
      </w:r>
      <w:r w:rsidR="00821747" w:rsidRPr="004524B8">
        <w:rPr>
          <w:rFonts w:ascii="Verdana" w:hAnsi="Verdana"/>
          <w:sz w:val="18"/>
          <w:szCs w:val="18"/>
          <w:shd w:val="clear" w:color="auto" w:fill="FFFFFF"/>
        </w:rPr>
        <w:t>5</w:t>
      </w:r>
      <w:r w:rsidRPr="004524B8">
        <w:rPr>
          <w:rFonts w:ascii="Verdana" w:hAnsi="Verdana"/>
          <w:sz w:val="18"/>
          <w:szCs w:val="18"/>
          <w:shd w:val="clear" w:color="auto" w:fill="FFFFFF"/>
        </w:rPr>
        <w:t xml:space="preserve"> recorded </w:t>
      </w:r>
      <w:r w:rsidR="006D423B" w:rsidRPr="004524B8">
        <w:rPr>
          <w:rFonts w:ascii="Verdana" w:hAnsi="Verdana"/>
          <w:sz w:val="18"/>
          <w:szCs w:val="18"/>
          <w:shd w:val="clear" w:color="auto" w:fill="FFFFFF"/>
        </w:rPr>
        <w:t>an increase</w:t>
      </w:r>
      <w:r w:rsidRPr="004524B8">
        <w:rPr>
          <w:rFonts w:ascii="Verdana" w:hAnsi="Verdana"/>
          <w:sz w:val="18"/>
          <w:szCs w:val="18"/>
          <w:shd w:val="clear" w:color="auto" w:fill="FFFFFF"/>
        </w:rPr>
        <w:t xml:space="preserve"> of </w:t>
      </w:r>
      <w:r w:rsidR="004524B8" w:rsidRPr="004524B8">
        <w:rPr>
          <w:rFonts w:ascii="Verdana" w:hAnsi="Verdana"/>
          <w:sz w:val="18"/>
          <w:szCs w:val="18"/>
          <w:shd w:val="clear" w:color="auto" w:fill="FFFFFF"/>
        </w:rPr>
        <w:t>4</w:t>
      </w:r>
      <w:r w:rsidRPr="004524B8">
        <w:rPr>
          <w:rFonts w:ascii="Verdana" w:hAnsi="Verdana"/>
          <w:sz w:val="18"/>
          <w:szCs w:val="18"/>
          <w:shd w:val="clear" w:color="auto" w:fill="FFFFFF"/>
        </w:rPr>
        <w:t>,</w:t>
      </w:r>
      <w:r w:rsidR="004524B8" w:rsidRPr="004524B8">
        <w:rPr>
          <w:rFonts w:ascii="Verdana" w:hAnsi="Verdana"/>
          <w:sz w:val="18"/>
          <w:szCs w:val="18"/>
          <w:shd w:val="clear" w:color="auto" w:fill="FFFFFF"/>
        </w:rPr>
        <w:t>8</w:t>
      </w:r>
      <w:r w:rsidRPr="004524B8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quarter of the </w:t>
      </w:r>
      <w:r w:rsidRPr="004524B8">
        <w:rPr>
          <w:rFonts w:ascii="Verdana" w:hAnsi="Verdana"/>
          <w:sz w:val="18"/>
          <w:szCs w:val="18"/>
          <w:shd w:val="clear" w:color="auto" w:fill="FFFFFF"/>
          <w:lang w:val="en-GB"/>
        </w:rPr>
        <w:t xml:space="preserve">previous year. For the same quarter, the </w:t>
      </w:r>
      <w:r w:rsidRPr="004524B8">
        <w:rPr>
          <w:rFonts w:ascii="Verdana" w:hAnsi="Verdana"/>
          <w:sz w:val="18"/>
          <w:szCs w:val="18"/>
          <w:shd w:val="clear" w:color="auto" w:fill="FFFFFF"/>
        </w:rPr>
        <w:t xml:space="preserve">Turnover Value Index of Sales and Repair of Motor Vehicles (Division 45) recorded an increase of </w:t>
      </w:r>
      <w:r w:rsidR="00FC3D6D" w:rsidRPr="004524B8">
        <w:rPr>
          <w:rFonts w:ascii="Verdana" w:hAnsi="Verdana"/>
          <w:sz w:val="18"/>
          <w:szCs w:val="18"/>
          <w:shd w:val="clear" w:color="auto" w:fill="FFFFFF"/>
        </w:rPr>
        <w:t>1</w:t>
      </w:r>
      <w:r w:rsidRPr="004524B8">
        <w:rPr>
          <w:rFonts w:ascii="Verdana" w:hAnsi="Verdana"/>
          <w:sz w:val="18"/>
          <w:szCs w:val="18"/>
          <w:shd w:val="clear" w:color="auto" w:fill="FFFFFF"/>
        </w:rPr>
        <w:t>,</w:t>
      </w:r>
      <w:r w:rsidR="004524B8" w:rsidRPr="004524B8">
        <w:rPr>
          <w:rFonts w:ascii="Verdana" w:hAnsi="Verdana"/>
          <w:sz w:val="18"/>
          <w:szCs w:val="18"/>
          <w:shd w:val="clear" w:color="auto" w:fill="FFFFFF"/>
        </w:rPr>
        <w:t>3</w:t>
      </w:r>
      <w:r w:rsidRPr="004524B8">
        <w:rPr>
          <w:rFonts w:ascii="Verdana" w:hAnsi="Verdana"/>
          <w:sz w:val="18"/>
          <w:szCs w:val="18"/>
          <w:shd w:val="clear" w:color="auto" w:fill="FFFFFF"/>
        </w:rPr>
        <w:t xml:space="preserve">% compared to the corresponding quarter of the </w:t>
      </w:r>
      <w:r w:rsidRPr="004524B8">
        <w:rPr>
          <w:rFonts w:ascii="Verdana" w:hAnsi="Verdana"/>
          <w:sz w:val="18"/>
          <w:szCs w:val="18"/>
          <w:shd w:val="clear" w:color="auto" w:fill="FFFFFF"/>
          <w:lang w:val="en-GB"/>
        </w:rPr>
        <w:t>previous year.</w:t>
      </w:r>
    </w:p>
    <w:p w14:paraId="043EE034" w14:textId="3BB9C002" w:rsidR="006E475C" w:rsidRPr="004524B8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007D3AF" w14:textId="6D42E23C" w:rsidR="006E475C" w:rsidRPr="004524B8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B2BE7CE" w14:textId="06DB49F0" w:rsidR="006E475C" w:rsidRPr="00970856" w:rsidRDefault="004524B8" w:rsidP="006E475C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  <w:shd w:val="clear" w:color="auto" w:fill="FFFFFF"/>
        </w:rPr>
      </w:pPr>
      <w:r>
        <w:rPr>
          <w:rFonts w:ascii="Verdana" w:hAnsi="Verdana"/>
          <w:noProof/>
          <w:sz w:val="18"/>
          <w:szCs w:val="18"/>
          <w:shd w:val="clear" w:color="auto" w:fill="FFFFFF"/>
          <w:lang w:val="en-GB" w:eastAsia="en-GB"/>
        </w:rPr>
        <w:drawing>
          <wp:inline distT="0" distB="0" distL="0" distR="0" wp14:anchorId="48045662" wp14:editId="1028C35C">
            <wp:extent cx="6066155" cy="4407535"/>
            <wp:effectExtent l="0" t="0" r="0" b="0"/>
            <wp:docPr id="132749488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40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68BD86" w14:textId="4DE31B12" w:rsidR="006E475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F206546" w14:textId="77777777" w:rsidR="006E475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733BA8E6" w14:textId="77777777" w:rsidR="006E475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2CB7CFC" w14:textId="7417CD97" w:rsidR="006E475C" w:rsidRDefault="006E475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5037132A" w14:textId="77777777" w:rsidR="004F6CD3" w:rsidRDefault="004F6CD3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tbl>
      <w:tblPr>
        <w:tblW w:w="7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2520"/>
        <w:gridCol w:w="1466"/>
        <w:gridCol w:w="252"/>
        <w:gridCol w:w="1738"/>
        <w:gridCol w:w="239"/>
      </w:tblGrid>
      <w:tr w:rsidR="00A433A0" w:rsidRPr="00A433A0" w14:paraId="3C55FBE5" w14:textId="77777777" w:rsidTr="001512AA">
        <w:trPr>
          <w:trHeight w:hRule="exact" w:val="227"/>
          <w:jc w:val="center"/>
        </w:trPr>
        <w:tc>
          <w:tcPr>
            <w:tcW w:w="1071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bottom"/>
          </w:tcPr>
          <w:p w14:paraId="18B858AA" w14:textId="77777777" w:rsidR="00EB763C" w:rsidRPr="00A433A0" w:rsidRDefault="00EB763C" w:rsidP="000A0A7C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 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32E315E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E28EB84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12E01746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39E9969F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51442275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3DEAD465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74E30420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44222CDF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6E203A8E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657347BB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1293AB60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46223E91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2AC71F76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340EC317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355F1F4D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1D408D90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508396D1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633DB108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50BD6954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0D7EAB2A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4F791019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  <w:p w14:paraId="726B5E81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C156963" w14:textId="77777777" w:rsidR="00EB763C" w:rsidRPr="00A433A0" w:rsidRDefault="00EB763C" w:rsidP="000A0A7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78AB71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A433A0" w:rsidRPr="00A433A0" w14:paraId="150100C2" w14:textId="77777777" w:rsidTr="001512AA">
        <w:trPr>
          <w:trHeight w:val="454"/>
          <w:jc w:val="center"/>
        </w:trPr>
        <w:tc>
          <w:tcPr>
            <w:tcW w:w="1071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9AD651F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Code</w:t>
            </w:r>
          </w:p>
          <w:p w14:paraId="1C0D2371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</w:p>
          <w:p w14:paraId="3F155CF9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252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9C9BC4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14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01089D7" w14:textId="390B38B0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Index</w:t>
            </w: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</w:t>
            </w:r>
            <w:r w:rsidR="00AB77CA"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21</w:t>
            </w: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52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7584DC90" w14:textId="77777777" w:rsidR="00EB763C" w:rsidRPr="00A433A0" w:rsidRDefault="00EB763C" w:rsidP="000A0A7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50E69E4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Percentage Change </w:t>
            </w: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A433A0" w:rsidRPr="00A433A0" w14:paraId="37392A6F" w14:textId="77777777" w:rsidTr="001512AA">
        <w:trPr>
          <w:trHeight w:val="510"/>
          <w:jc w:val="center"/>
        </w:trPr>
        <w:tc>
          <w:tcPr>
            <w:tcW w:w="1071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286DD67" w14:textId="77777777" w:rsidR="00EB763C" w:rsidRPr="00A433A0" w:rsidRDefault="00EB763C" w:rsidP="000A0A7C">
            <w:pPr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52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AE8AAD5" w14:textId="77777777" w:rsidR="00EB763C" w:rsidRPr="00A433A0" w:rsidRDefault="00EB763C" w:rsidP="000A0A7C">
            <w:pPr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96D0803" w14:textId="6636D267" w:rsidR="001F290D" w:rsidRPr="00A433A0" w:rsidRDefault="00F311E8" w:rsidP="000A0A7C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</w:t>
            </w:r>
            <w:r w:rsidR="00852E95"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</w:t>
            </w:r>
            <w:r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Mar</w:t>
            </w:r>
          </w:p>
          <w:p w14:paraId="7AEE953A" w14:textId="37E45393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="00F311E8"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252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DDFC8FC" w14:textId="77777777" w:rsidR="00EB763C" w:rsidRPr="00A433A0" w:rsidRDefault="00EB763C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3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EEFE943" w14:textId="6030FFD3" w:rsidR="00EB763C" w:rsidRPr="00A433A0" w:rsidRDefault="00F311E8" w:rsidP="00406130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</w:t>
            </w:r>
            <w:r w:rsidR="00852E95"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-</w:t>
            </w:r>
            <w:r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Mar</w:t>
            </w:r>
            <w:r w:rsidR="00F80D2E"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 xml:space="preserve"> </w:t>
            </w:r>
            <w:r w:rsidR="00EB763C"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202</w:t>
            </w:r>
            <w:r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</w:t>
            </w:r>
            <w:r w:rsidR="00EB763C"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/</w:t>
            </w:r>
            <w:r w:rsidR="00970C3A"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202</w:t>
            </w: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4</w:t>
            </w:r>
          </w:p>
        </w:tc>
        <w:tc>
          <w:tcPr>
            <w:tcW w:w="23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AD2E21C" w14:textId="52D336EA" w:rsidR="00EB763C" w:rsidRPr="00A433A0" w:rsidRDefault="00EB763C" w:rsidP="00970C3A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A433A0" w:rsidRPr="00A433A0" w14:paraId="43A1936D" w14:textId="77777777" w:rsidTr="001512AA">
        <w:trPr>
          <w:trHeight w:val="454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DAB48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45.1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0C385" w14:textId="77777777" w:rsidR="004524B8" w:rsidRPr="00A433A0" w:rsidRDefault="004524B8" w:rsidP="004524B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Sale of motor vehicles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9A168" w14:textId="0A655B4E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175,4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1CF53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B7400" w14:textId="6D6C6506" w:rsidR="004524B8" w:rsidRPr="00A433A0" w:rsidRDefault="004524B8" w:rsidP="004524B8">
            <w:pPr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-3,1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DFD78" w14:textId="32BB768F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</w:tr>
      <w:tr w:rsidR="00A433A0" w:rsidRPr="00A433A0" w14:paraId="015353A7" w14:textId="77777777" w:rsidTr="001512AA">
        <w:trPr>
          <w:trHeight w:val="737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1843B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45.2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A97C9" w14:textId="77777777" w:rsidR="004524B8" w:rsidRPr="00A433A0" w:rsidRDefault="004524B8" w:rsidP="004524B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Maintenance and repair of motor vehicles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DD761" w14:textId="726C7F07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136,8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C8A83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AC179" w14:textId="47522674" w:rsidR="004524B8" w:rsidRPr="00A433A0" w:rsidRDefault="004524B8" w:rsidP="004524B8">
            <w:pPr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6,9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CF86E" w14:textId="7EE847D9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</w:tr>
      <w:tr w:rsidR="00A433A0" w:rsidRPr="00A433A0" w14:paraId="188D42E3" w14:textId="77777777" w:rsidTr="001512AA">
        <w:trPr>
          <w:trHeight w:val="737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CF047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45.3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ABFFE" w14:textId="77777777" w:rsidR="004524B8" w:rsidRPr="00A433A0" w:rsidRDefault="004524B8" w:rsidP="004524B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Sale of motor vehicles parts and accessories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43D61" w14:textId="359A142C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141,0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37E5E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3A49B" w14:textId="7304A244" w:rsidR="004524B8" w:rsidRPr="00A433A0" w:rsidRDefault="004524B8" w:rsidP="004524B8">
            <w:pPr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8,9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9A96" w14:textId="19E18EC5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</w:tr>
      <w:tr w:rsidR="00A433A0" w:rsidRPr="00A433A0" w14:paraId="478AF249" w14:textId="77777777" w:rsidTr="001512AA">
        <w:trPr>
          <w:trHeight w:val="964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BC27F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45.4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17FA4" w14:textId="77777777" w:rsidR="004524B8" w:rsidRPr="00A433A0" w:rsidRDefault="004524B8" w:rsidP="004524B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Sale, maintenance and repair of motorcycles and related parts and accessories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A9A03" w14:textId="13D1F315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113,2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319FD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8E1E4" w14:textId="78672127" w:rsidR="004524B8" w:rsidRPr="00A433A0" w:rsidRDefault="004524B8" w:rsidP="004524B8">
            <w:pPr>
              <w:ind w:right="68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42,2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EBFA6" w14:textId="44B4839C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</w:tr>
      <w:tr w:rsidR="00A433A0" w:rsidRPr="00A433A0" w14:paraId="6ED19C6C" w14:textId="77777777" w:rsidTr="001512AA">
        <w:trPr>
          <w:trHeight w:val="113"/>
          <w:jc w:val="center"/>
        </w:trPr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DB017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92677" w14:textId="77777777" w:rsidR="004524B8" w:rsidRPr="00A433A0" w:rsidRDefault="004524B8" w:rsidP="004524B8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58157" w14:textId="77777777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FC5D6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359DC7" w14:textId="77777777" w:rsidR="004524B8" w:rsidRPr="00A433A0" w:rsidRDefault="004524B8" w:rsidP="004524B8">
            <w:pPr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DF29882" w14:textId="77777777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</w:tr>
      <w:tr w:rsidR="004524B8" w:rsidRPr="00A433A0" w14:paraId="39504C8E" w14:textId="77777777" w:rsidTr="001512AA">
        <w:trPr>
          <w:trHeight w:val="964"/>
          <w:jc w:val="center"/>
        </w:trPr>
        <w:tc>
          <w:tcPr>
            <w:tcW w:w="107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A6ADC55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45</w:t>
            </w:r>
          </w:p>
        </w:tc>
        <w:tc>
          <w:tcPr>
            <w:tcW w:w="252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93A7E1" w14:textId="77777777" w:rsidR="004524B8" w:rsidRPr="00A433A0" w:rsidRDefault="004524B8" w:rsidP="004524B8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A433A0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WHOLESALE AND RETAIL TRADE AND REPAIR OF MOTOR VEHICLES</w:t>
            </w:r>
          </w:p>
        </w:tc>
        <w:tc>
          <w:tcPr>
            <w:tcW w:w="146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B9C5E71" w14:textId="276FBBAC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b/>
                <w:color w:val="366092"/>
                <w:sz w:val="18"/>
                <w:szCs w:val="18"/>
              </w:rPr>
              <w:t>158,2</w:t>
            </w:r>
          </w:p>
        </w:tc>
        <w:tc>
          <w:tcPr>
            <w:tcW w:w="25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8E0110E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73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6FB3799" w14:textId="047F7B8C" w:rsidR="004524B8" w:rsidRPr="00A433A0" w:rsidRDefault="004524B8" w:rsidP="004524B8">
            <w:pPr>
              <w:ind w:right="68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b/>
                <w:color w:val="366092"/>
                <w:sz w:val="18"/>
                <w:szCs w:val="18"/>
              </w:rPr>
              <w:t>1,3</w:t>
            </w:r>
          </w:p>
        </w:tc>
        <w:tc>
          <w:tcPr>
            <w:tcW w:w="23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E90EFE8" w14:textId="1EEB472A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</w:p>
        </w:tc>
      </w:tr>
    </w:tbl>
    <w:p w14:paraId="04CFE880" w14:textId="540AA781" w:rsidR="00EB763C" w:rsidRPr="00A433A0" w:rsidRDefault="00EB763C" w:rsidP="006E475C">
      <w:pPr>
        <w:jc w:val="both"/>
        <w:rPr>
          <w:rFonts w:ascii="Verdana" w:hAnsi="Verdana"/>
          <w:color w:val="366092"/>
          <w:sz w:val="18"/>
          <w:szCs w:val="18"/>
          <w:shd w:val="clear" w:color="auto" w:fill="FFFFFF"/>
        </w:rPr>
      </w:pPr>
    </w:p>
    <w:p w14:paraId="37C8DDC0" w14:textId="2FEFD915" w:rsidR="004F6CD3" w:rsidRPr="00A433A0" w:rsidRDefault="004F6CD3" w:rsidP="006E475C">
      <w:pPr>
        <w:jc w:val="both"/>
        <w:rPr>
          <w:rFonts w:ascii="Verdana" w:hAnsi="Verdana"/>
          <w:color w:val="366092"/>
          <w:sz w:val="18"/>
          <w:szCs w:val="18"/>
          <w:shd w:val="clear" w:color="auto" w:fill="FFFFFF"/>
        </w:rPr>
      </w:pPr>
    </w:p>
    <w:p w14:paraId="1F67B54D" w14:textId="68A30710" w:rsidR="004F6CD3" w:rsidRPr="00A433A0" w:rsidRDefault="004F6CD3" w:rsidP="006E475C">
      <w:pPr>
        <w:jc w:val="both"/>
        <w:rPr>
          <w:rFonts w:ascii="Verdana" w:hAnsi="Verdana"/>
          <w:color w:val="366092"/>
          <w:sz w:val="18"/>
          <w:szCs w:val="18"/>
          <w:shd w:val="clear" w:color="auto" w:fill="FFFFFF"/>
        </w:rPr>
      </w:pPr>
    </w:p>
    <w:p w14:paraId="5152E493" w14:textId="77777777" w:rsidR="004F6CD3" w:rsidRPr="00A433A0" w:rsidRDefault="004F6CD3" w:rsidP="006E475C">
      <w:pPr>
        <w:jc w:val="both"/>
        <w:rPr>
          <w:rFonts w:ascii="Verdana" w:hAnsi="Verdana"/>
          <w:color w:val="366092"/>
          <w:sz w:val="18"/>
          <w:szCs w:val="18"/>
          <w:shd w:val="clear" w:color="auto" w:fill="FFFFFF"/>
        </w:rPr>
      </w:pPr>
    </w:p>
    <w:p w14:paraId="0C95C5CF" w14:textId="68D250B7" w:rsidR="00EB763C" w:rsidRPr="00A433A0" w:rsidRDefault="00EB763C" w:rsidP="006E475C">
      <w:pPr>
        <w:jc w:val="both"/>
        <w:rPr>
          <w:rFonts w:ascii="Verdana" w:hAnsi="Verdana"/>
          <w:color w:val="366092"/>
          <w:sz w:val="18"/>
          <w:szCs w:val="18"/>
          <w:shd w:val="clear" w:color="auto" w:fill="FFFFFF"/>
        </w:rPr>
      </w:pPr>
    </w:p>
    <w:tbl>
      <w:tblPr>
        <w:tblW w:w="7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2684"/>
        <w:gridCol w:w="1467"/>
        <w:gridCol w:w="256"/>
        <w:gridCol w:w="1782"/>
        <w:gridCol w:w="243"/>
      </w:tblGrid>
      <w:tr w:rsidR="00A433A0" w:rsidRPr="00A433A0" w14:paraId="2FF49F2A" w14:textId="77777777" w:rsidTr="001512AA">
        <w:trPr>
          <w:trHeight w:val="227"/>
          <w:jc w:val="center"/>
        </w:trPr>
        <w:tc>
          <w:tcPr>
            <w:tcW w:w="109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5E0DCD" w14:textId="77777777" w:rsidR="004F6CD3" w:rsidRPr="00A433A0" w:rsidRDefault="004F6CD3" w:rsidP="000A0A7C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Malgun Gothic" w:hAnsi="Verdana" w:cs="Arial"/>
                <w:b/>
                <w:bCs/>
                <w:color w:val="366092"/>
                <w:sz w:val="18"/>
                <w:szCs w:val="18"/>
              </w:rPr>
              <w:t>Table 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D444C83" w14:textId="77777777" w:rsidR="004F6CD3" w:rsidRPr="00A433A0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03822AC" w14:textId="77777777" w:rsidR="004F6CD3" w:rsidRPr="00A433A0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496D53C" w14:textId="77777777" w:rsidR="004F6CD3" w:rsidRPr="00A433A0" w:rsidRDefault="004F6CD3" w:rsidP="000A0A7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97F33D7" w14:textId="77777777" w:rsidR="004F6CD3" w:rsidRPr="00A433A0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A433A0" w:rsidRPr="00A433A0" w14:paraId="582BA5D7" w14:textId="77777777" w:rsidTr="001512AA">
        <w:trPr>
          <w:trHeight w:val="454"/>
          <w:jc w:val="center"/>
        </w:trPr>
        <w:tc>
          <w:tcPr>
            <w:tcW w:w="109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68AE2DA" w14:textId="77777777" w:rsidR="004F6CD3" w:rsidRPr="00A433A0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Code</w:t>
            </w:r>
          </w:p>
          <w:p w14:paraId="292DA1CF" w14:textId="77777777" w:rsidR="004F6CD3" w:rsidRPr="00A433A0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(</w:t>
            </w: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NACE </w:t>
            </w:r>
          </w:p>
          <w:p w14:paraId="56A54928" w14:textId="77777777" w:rsidR="004F6CD3" w:rsidRPr="00A433A0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Rev</w:t>
            </w: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. 2</w:t>
            </w: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)</w:t>
            </w:r>
          </w:p>
        </w:tc>
        <w:tc>
          <w:tcPr>
            <w:tcW w:w="2684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DF45DE6" w14:textId="77777777" w:rsidR="004F6CD3" w:rsidRPr="00A433A0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Economic Activity</w:t>
            </w:r>
          </w:p>
        </w:tc>
        <w:tc>
          <w:tcPr>
            <w:tcW w:w="146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2C2F647" w14:textId="66E2E259" w:rsidR="004F6CD3" w:rsidRPr="00A433A0" w:rsidRDefault="004F6CD3" w:rsidP="000A0A7C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Index</w:t>
            </w: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 xml:space="preserve"> (20</w:t>
            </w:r>
            <w:r w:rsidR="00AB77CA"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21</w:t>
            </w: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56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C6EE4B3" w14:textId="77777777" w:rsidR="004F6CD3" w:rsidRPr="00A433A0" w:rsidRDefault="004F6CD3" w:rsidP="000A0A7C">
            <w:pPr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54877E0" w14:textId="77777777" w:rsidR="004F6CD3" w:rsidRPr="00A433A0" w:rsidRDefault="004F6CD3" w:rsidP="000A0A7C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Percentage Change </w:t>
            </w: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(%)</w:t>
            </w:r>
          </w:p>
        </w:tc>
      </w:tr>
      <w:tr w:rsidR="00A433A0" w:rsidRPr="00A433A0" w14:paraId="7F712727" w14:textId="77777777" w:rsidTr="001512AA">
        <w:trPr>
          <w:trHeight w:val="510"/>
          <w:jc w:val="center"/>
        </w:trPr>
        <w:tc>
          <w:tcPr>
            <w:tcW w:w="109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D85FE4D" w14:textId="77777777" w:rsidR="009801BB" w:rsidRPr="00A433A0" w:rsidRDefault="009801BB" w:rsidP="009801BB">
            <w:pPr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2684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3879979B" w14:textId="77777777" w:rsidR="009801BB" w:rsidRPr="00A433A0" w:rsidRDefault="009801BB" w:rsidP="009801BB">
            <w:pPr>
              <w:jc w:val="both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46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7FB4233" w14:textId="77777777" w:rsidR="00F311E8" w:rsidRPr="00A433A0" w:rsidRDefault="00F311E8" w:rsidP="00F311E8">
            <w:pPr>
              <w:jc w:val="center"/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Jan-Mar</w:t>
            </w:r>
          </w:p>
          <w:p w14:paraId="2BB9E1A9" w14:textId="0D278136" w:rsidR="009801BB" w:rsidRPr="00A433A0" w:rsidRDefault="00F311E8" w:rsidP="00F311E8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  <w:lang w:val="el-GR"/>
              </w:rPr>
              <w:t>202</w:t>
            </w:r>
            <w:r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5</w:t>
            </w:r>
          </w:p>
        </w:tc>
        <w:tc>
          <w:tcPr>
            <w:tcW w:w="256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512EDC2" w14:textId="77777777" w:rsidR="009801BB" w:rsidRPr="00A433A0" w:rsidRDefault="009801BB" w:rsidP="009801B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64E32D9" w14:textId="145242FE" w:rsidR="009801BB" w:rsidRPr="00A433A0" w:rsidRDefault="00F311E8" w:rsidP="009801BB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 w:cs="Calibri"/>
                <w:b/>
                <w:bCs/>
                <w:color w:val="366092"/>
                <w:sz w:val="18"/>
                <w:szCs w:val="18"/>
              </w:rPr>
              <w:t>Jan-Mar 2025/</w:t>
            </w:r>
            <w:r w:rsidRPr="00A433A0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2024</w:t>
            </w:r>
          </w:p>
        </w:tc>
        <w:tc>
          <w:tcPr>
            <w:tcW w:w="24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E0B3807" w14:textId="3F94B08F" w:rsidR="009801BB" w:rsidRPr="00A433A0" w:rsidRDefault="009801BB" w:rsidP="009801BB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</w:p>
        </w:tc>
      </w:tr>
      <w:tr w:rsidR="00A433A0" w:rsidRPr="00A433A0" w14:paraId="248286BE" w14:textId="77777777" w:rsidTr="001512AA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7FADE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46.1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FE3E6" w14:textId="77777777" w:rsidR="004524B8" w:rsidRPr="00A433A0" w:rsidRDefault="004524B8" w:rsidP="004524B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Wholesale on a fee or contract basis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6D2CE" w14:textId="5DB9D08D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147,2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22A89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B3CB" w14:textId="3C82969A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-7,9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C4D68" w14:textId="0BEE931E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</w:tr>
      <w:tr w:rsidR="00A433A0" w:rsidRPr="00A433A0" w14:paraId="3C095E89" w14:textId="77777777" w:rsidTr="001512AA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7F972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46.2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95CC3" w14:textId="77777777" w:rsidR="004524B8" w:rsidRPr="00A433A0" w:rsidRDefault="004524B8" w:rsidP="004524B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Wholesale of agriculture raw materials and live animals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87038" w14:textId="78D86291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89,0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5E3D8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2A498" w14:textId="204A3F9A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1,6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2DDE" w14:textId="27715B9F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</w:tr>
      <w:tr w:rsidR="00A433A0" w:rsidRPr="00A433A0" w14:paraId="2F3F720D" w14:textId="77777777" w:rsidTr="001512AA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C9326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46.3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5E96E" w14:textId="77777777" w:rsidR="004524B8" w:rsidRPr="00A433A0" w:rsidRDefault="004524B8" w:rsidP="004524B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Wholesale of food, beverages and tobacco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8E584" w14:textId="5B76B236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120,2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A00E0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05809" w14:textId="739FB574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6,8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E0FC2" w14:textId="08268A9A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</w:tr>
      <w:tr w:rsidR="00A433A0" w:rsidRPr="00A433A0" w14:paraId="375BDCD4" w14:textId="77777777" w:rsidTr="001512AA">
        <w:trPr>
          <w:trHeight w:val="56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717C4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46.4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79924" w14:textId="77777777" w:rsidR="004524B8" w:rsidRPr="00A433A0" w:rsidRDefault="004524B8" w:rsidP="004524B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Wholesale of household goods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AB2DF" w14:textId="51011C4D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147,0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D0913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059B" w14:textId="32A784E0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12,4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DCDC6" w14:textId="05183F8D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</w:tr>
      <w:tr w:rsidR="00A433A0" w:rsidRPr="00A433A0" w14:paraId="64DDE066" w14:textId="77777777" w:rsidTr="001512AA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377D2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46.5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8A615" w14:textId="77777777" w:rsidR="004524B8" w:rsidRPr="00A433A0" w:rsidRDefault="004524B8" w:rsidP="004524B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Wholesale of information and communication equipment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3199" w14:textId="5FA1431D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117,3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37660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9118C4" w14:textId="4898A326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-4,1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FF383" w14:textId="460846BD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</w:tr>
      <w:tr w:rsidR="00A433A0" w:rsidRPr="00A433A0" w14:paraId="2C9F43AC" w14:textId="77777777" w:rsidTr="001512AA">
        <w:trPr>
          <w:trHeight w:val="73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693E7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46.6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4DF82" w14:textId="77777777" w:rsidR="004524B8" w:rsidRPr="00A433A0" w:rsidRDefault="004524B8" w:rsidP="004524B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Wholesale of other machinery, equipment and supplies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F48DC" w14:textId="22B7CD10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129,3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AD019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E476B" w14:textId="004293A4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7,1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6A2C6" w14:textId="203482F7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</w:tr>
      <w:tr w:rsidR="00A433A0" w:rsidRPr="00A433A0" w14:paraId="3A5C3424" w14:textId="77777777" w:rsidTr="001512AA">
        <w:trPr>
          <w:trHeight w:val="56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3EABC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46.7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1128D" w14:textId="77777777" w:rsidR="004524B8" w:rsidRPr="00A433A0" w:rsidRDefault="004524B8" w:rsidP="004524B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Other specialized wholesale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18690" w14:textId="1526B03B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125,9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405E6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31C40" w14:textId="08437D03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-0,1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F98F7" w14:textId="717F496B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</w:tr>
      <w:tr w:rsidR="00A433A0" w:rsidRPr="00A433A0" w14:paraId="627807E6" w14:textId="77777777" w:rsidTr="001512AA">
        <w:trPr>
          <w:trHeight w:val="567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91F04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>46.9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E9C4" w14:textId="77777777" w:rsidR="004524B8" w:rsidRPr="00A433A0" w:rsidRDefault="004524B8" w:rsidP="004524B8">
            <w:pPr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</w:rPr>
              <w:t>Non-specialized wholesale</w:t>
            </w: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r w:rsidRPr="00A433A0">
              <w:rPr>
                <w:rFonts w:ascii="Verdana" w:eastAsia="Times New Roman" w:hAnsi="Verdana" w:cs="Arial"/>
                <w:color w:val="366092"/>
                <w:sz w:val="18"/>
                <w:szCs w:val="18"/>
                <w:lang w:val="en-GB"/>
              </w:rPr>
              <w:t>trade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FF439" w14:textId="201F9911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128,7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8F764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77227" w14:textId="773FD6F4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color w:val="366092"/>
                <w:sz w:val="18"/>
                <w:szCs w:val="18"/>
              </w:rPr>
              <w:t>4,6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2E5D6" w14:textId="4021A83A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</w:rPr>
            </w:pPr>
          </w:p>
        </w:tc>
      </w:tr>
      <w:tr w:rsidR="00A433A0" w:rsidRPr="00A433A0" w14:paraId="393611ED" w14:textId="77777777" w:rsidTr="001512AA">
        <w:trPr>
          <w:trHeight w:val="113"/>
          <w:jc w:val="center"/>
        </w:trPr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3F57F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DD50A" w14:textId="77777777" w:rsidR="004524B8" w:rsidRPr="00A433A0" w:rsidRDefault="004524B8" w:rsidP="004524B8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2BA8D" w14:textId="77777777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B6581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1B4C4" w14:textId="77777777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D0B82B" w14:textId="77777777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color w:val="366092"/>
                <w:sz w:val="18"/>
                <w:szCs w:val="18"/>
                <w:lang w:val="el-GR"/>
              </w:rPr>
            </w:pPr>
          </w:p>
        </w:tc>
      </w:tr>
      <w:tr w:rsidR="004524B8" w:rsidRPr="00A433A0" w14:paraId="3344D9F9" w14:textId="77777777" w:rsidTr="001512AA">
        <w:trPr>
          <w:trHeight w:val="737"/>
          <w:jc w:val="center"/>
        </w:trPr>
        <w:tc>
          <w:tcPr>
            <w:tcW w:w="109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A5A95CD" w14:textId="77777777" w:rsidR="004524B8" w:rsidRPr="00A433A0" w:rsidRDefault="004524B8" w:rsidP="004524B8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A433A0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46</w:t>
            </w:r>
          </w:p>
        </w:tc>
        <w:tc>
          <w:tcPr>
            <w:tcW w:w="268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31B81C" w14:textId="77777777" w:rsidR="004524B8" w:rsidRPr="00A433A0" w:rsidRDefault="004524B8" w:rsidP="004524B8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A433A0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WHOLESALE TRADE, EXCEPT OF MOTOR VEHICLES</w:t>
            </w:r>
          </w:p>
        </w:tc>
        <w:tc>
          <w:tcPr>
            <w:tcW w:w="146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70CD74" w14:textId="67264061" w:rsidR="004524B8" w:rsidRPr="00A433A0" w:rsidRDefault="004524B8" w:rsidP="004524B8">
            <w:pPr>
              <w:ind w:right="340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b/>
                <w:color w:val="366092"/>
                <w:sz w:val="18"/>
                <w:szCs w:val="18"/>
              </w:rPr>
              <w:t>128,7</w:t>
            </w:r>
          </w:p>
        </w:tc>
        <w:tc>
          <w:tcPr>
            <w:tcW w:w="25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886DFB0" w14:textId="77777777" w:rsidR="004524B8" w:rsidRPr="00A433A0" w:rsidRDefault="004524B8" w:rsidP="004524B8">
            <w:pPr>
              <w:jc w:val="right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9404936" w14:textId="4180BF40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b/>
                <w:color w:val="366092"/>
                <w:sz w:val="18"/>
                <w:szCs w:val="18"/>
              </w:rPr>
            </w:pPr>
            <w:r w:rsidRPr="00A433A0">
              <w:rPr>
                <w:rFonts w:ascii="Verdana" w:hAnsi="Verdana"/>
                <w:b/>
                <w:color w:val="366092"/>
                <w:sz w:val="18"/>
                <w:szCs w:val="18"/>
              </w:rPr>
              <w:t>4,8</w:t>
            </w:r>
          </w:p>
        </w:tc>
        <w:tc>
          <w:tcPr>
            <w:tcW w:w="24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2459A7F" w14:textId="5DC95396" w:rsidR="004524B8" w:rsidRPr="00A433A0" w:rsidRDefault="004524B8" w:rsidP="004524B8">
            <w:pPr>
              <w:ind w:right="624"/>
              <w:jc w:val="right"/>
              <w:rPr>
                <w:rFonts w:ascii="Verdana" w:hAnsi="Verdana"/>
                <w:b/>
                <w:bCs/>
                <w:color w:val="366092"/>
                <w:sz w:val="18"/>
                <w:szCs w:val="18"/>
              </w:rPr>
            </w:pPr>
          </w:p>
        </w:tc>
      </w:tr>
    </w:tbl>
    <w:p w14:paraId="60D7E117" w14:textId="77777777" w:rsidR="006E475C" w:rsidRPr="00A433A0" w:rsidRDefault="006E475C" w:rsidP="004F6CD3">
      <w:pPr>
        <w:jc w:val="both"/>
        <w:rPr>
          <w:rFonts w:ascii="Verdana" w:eastAsia="Malgun Gothic" w:hAnsi="Verdana" w:cs="Arial"/>
          <w:bCs/>
          <w:color w:val="366092"/>
          <w:sz w:val="18"/>
          <w:szCs w:val="18"/>
        </w:rPr>
      </w:pPr>
    </w:p>
    <w:p w14:paraId="06FF226A" w14:textId="63AAF8BF" w:rsidR="006E475C" w:rsidRPr="00A433A0" w:rsidRDefault="006E475C" w:rsidP="006E475C">
      <w:pPr>
        <w:tabs>
          <w:tab w:val="left" w:pos="885"/>
        </w:tabs>
        <w:rPr>
          <w:rFonts w:ascii="Verdana" w:eastAsia="Malgun Gothic" w:hAnsi="Verdana" w:cs="Arial"/>
          <w:b/>
          <w:color w:val="366092"/>
          <w:sz w:val="18"/>
          <w:szCs w:val="18"/>
          <w:u w:val="single"/>
        </w:rPr>
      </w:pPr>
    </w:p>
    <w:p w14:paraId="747230A1" w14:textId="77777777" w:rsidR="006E475C" w:rsidRPr="00970856" w:rsidRDefault="006E475C" w:rsidP="00A433A0">
      <w:pPr>
        <w:jc w:val="center"/>
        <w:rPr>
          <w:rFonts w:ascii="Verdana" w:eastAsia="Malgun Gothic" w:hAnsi="Verdana" w:cs="Arial"/>
          <w:b/>
          <w:u w:val="single"/>
        </w:rPr>
      </w:pPr>
      <w:r w:rsidRPr="00970856"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5BC0823A" w14:textId="77777777" w:rsidR="006E475C" w:rsidRPr="00970856" w:rsidRDefault="006E475C" w:rsidP="006E475C">
      <w:pPr>
        <w:jc w:val="center"/>
        <w:rPr>
          <w:rFonts w:ascii="Verdana" w:eastAsia="Malgun Gothic" w:hAnsi="Verdana" w:cs="Arial"/>
          <w:b/>
          <w:sz w:val="18"/>
          <w:szCs w:val="18"/>
          <w:u w:val="single"/>
        </w:rPr>
      </w:pPr>
    </w:p>
    <w:p w14:paraId="50D7BFB0" w14:textId="5C884531" w:rsidR="006E475C" w:rsidRPr="00970856" w:rsidRDefault="006E475C" w:rsidP="006E475C">
      <w:pPr>
        <w:jc w:val="both"/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</w:pPr>
      <w:r w:rsidRPr="00970856"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 xml:space="preserve">Scope and </w:t>
      </w:r>
      <w:r w:rsidR="007B36E4"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>C</w:t>
      </w:r>
      <w:r w:rsidRPr="00970856">
        <w:rPr>
          <w:rFonts w:ascii="Verdana" w:eastAsia="Times New Roman" w:hAnsi="Verdana" w:cs="Arial"/>
          <w:b/>
          <w:bCs/>
          <w:sz w:val="18"/>
          <w:szCs w:val="18"/>
          <w:u w:val="single"/>
          <w:shd w:val="clear" w:color="auto" w:fill="FFFFFF"/>
        </w:rPr>
        <w:t>overage</w:t>
      </w:r>
    </w:p>
    <w:p w14:paraId="7FE1B3B4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0B7FF66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sz w:val="18"/>
          <w:szCs w:val="18"/>
          <w:shd w:val="clear" w:color="auto" w:fill="FFFFFF"/>
        </w:rPr>
      </w:pP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The purpose of the Turnover Value Indices is to monitor short-term developments classified under Division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s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45 </w:t>
      </w:r>
      <w:r w:rsidRPr="00CA693B">
        <w:rPr>
          <w:rFonts w:ascii="Verdana" w:eastAsia="Times New Roman" w:hAnsi="Verdana" w:cs="Arial"/>
          <w:sz w:val="18"/>
          <w:szCs w:val="18"/>
          <w:shd w:val="clear" w:color="auto" w:fill="FFFFFF"/>
        </w:rPr>
        <w:t>(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Sales and Repair of Motor Vehicles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)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and 46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(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Wholesale Trade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)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of the Statistical Classification of Economic Activities of the European Union NACE Rev.2. Turnover comprises the total amounts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invoiced by an 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enterprise during the reference period </w:t>
      </w:r>
      <w:r w:rsidRPr="003D1D1C">
        <w:rPr>
          <w:rFonts w:ascii="Verdana" w:hAnsi="Verdana"/>
          <w:sz w:val="18"/>
          <w:szCs w:val="18"/>
        </w:rPr>
        <w:t>and this corresponds to</w:t>
      </w:r>
      <w:r>
        <w:rPr>
          <w:rFonts w:ascii="Verdana" w:hAnsi="Verdana"/>
          <w:sz w:val="18"/>
          <w:szCs w:val="18"/>
        </w:rPr>
        <w:t xml:space="preserve"> the </w:t>
      </w:r>
      <w:r w:rsidRPr="003D1D1C">
        <w:rPr>
          <w:rFonts w:ascii="Verdana" w:hAnsi="Verdana"/>
          <w:sz w:val="18"/>
          <w:szCs w:val="18"/>
        </w:rPr>
        <w:t>market sales of goods and services</w:t>
      </w:r>
      <w:r w:rsidRPr="003D1D1C">
        <w:rPr>
          <w:rFonts w:ascii="Verdana" w:eastAsia="Times New Roman" w:hAnsi="Verdana" w:cs="Arial"/>
          <w:sz w:val="18"/>
          <w:szCs w:val="18"/>
          <w:shd w:val="clear" w:color="auto" w:fill="FFFFFF"/>
        </w:rPr>
        <w:t>, excluding VAT but including other duties and taxes on the goods.</w:t>
      </w:r>
    </w:p>
    <w:p w14:paraId="7DCD9B08" w14:textId="77777777" w:rsidR="006E475C" w:rsidRPr="00970856" w:rsidRDefault="006E475C" w:rsidP="006E475C">
      <w:pPr>
        <w:jc w:val="both"/>
        <w:rPr>
          <w:rFonts w:ascii="Verdana" w:eastAsia="Times New Roman" w:hAnsi="Verdana" w:cs="Helvetica"/>
          <w:sz w:val="18"/>
          <w:szCs w:val="18"/>
        </w:rPr>
      </w:pPr>
    </w:p>
    <w:p w14:paraId="070E8CD6" w14:textId="2FBB87B7" w:rsidR="006E475C" w:rsidRPr="00970856" w:rsidRDefault="006E475C" w:rsidP="006E475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Data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C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ollection</w:t>
      </w:r>
    </w:p>
    <w:p w14:paraId="543D9E5F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5AF177EE" w14:textId="2CBFE63D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The Statistical Service collects data monthly by telephone enquiries or e-mail. Data collection starts five days after the end of the reference period and is usually completed within </w:t>
      </w:r>
      <w:r w:rsidRPr="003971E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forty-five days</w:t>
      </w:r>
      <w:r w:rsidRPr="001665D9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7C92C1FE" w14:textId="77777777" w:rsidR="006E475C" w:rsidRPr="00970856" w:rsidRDefault="006E475C" w:rsidP="006E475C">
      <w:pPr>
        <w:jc w:val="both"/>
        <w:rPr>
          <w:rFonts w:ascii="Verdana" w:eastAsia="Times New Roman" w:hAnsi="Verdana" w:cs="Helvetica"/>
          <w:color w:val="000000"/>
          <w:sz w:val="18"/>
          <w:szCs w:val="18"/>
        </w:rPr>
      </w:pPr>
    </w:p>
    <w:p w14:paraId="252939FE" w14:textId="69FA30DD" w:rsidR="006E475C" w:rsidRPr="00970856" w:rsidRDefault="006E475C" w:rsidP="006E475C">
      <w:pPr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</w:pP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Compilation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M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ethod and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D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 xml:space="preserve">issemination </w:t>
      </w:r>
      <w:r w:rsidR="007B36E4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P</w:t>
      </w:r>
      <w:r w:rsidRPr="00970856">
        <w:rPr>
          <w:rFonts w:ascii="Verdana" w:eastAsia="Times New Roman" w:hAnsi="Verdana" w:cs="Arial"/>
          <w:b/>
          <w:bCs/>
          <w:color w:val="000000"/>
          <w:sz w:val="18"/>
          <w:szCs w:val="18"/>
          <w:u w:val="single"/>
          <w:shd w:val="clear" w:color="auto" w:fill="FFFFFF"/>
        </w:rPr>
        <w:t>ractices</w:t>
      </w:r>
    </w:p>
    <w:p w14:paraId="39A27D8C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29B72726" w14:textId="00245B71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ices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are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using 20</w:t>
      </w:r>
      <w:r w:rsidR="00C333A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as the base year, meaning that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they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show the quarterly changes in Turnover in relation to the quarterly Turnover average of the year 20</w:t>
      </w:r>
      <w:r w:rsidR="00C333A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In the base year, the average of the Turnover indices for the four quarters is 100,0. For example, a quarterly Turnover index of 105,3 means that the Turnover for the specific quarter has increased by 5,3% in relation to the average quarterly Turnover of 20</w:t>
      </w:r>
      <w:r w:rsidR="00FC3D6D" w:rsidRPr="00FC3D6D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</w:t>
      </w:r>
      <w:r w:rsidR="00FC3D6D" w:rsidRPr="0005349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. The Ind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ices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are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calculated at current prices.</w:t>
      </w:r>
    </w:p>
    <w:p w14:paraId="726594A0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3E03A454" w14:textId="392C32E8" w:rsidR="006E475C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The aggregated Indices are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a weighted average of the Turnover indices of the various Groups (subsets of activities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within the Division)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, as defined in NACE 2. The weights used are derived from the results of the annual Wholesale and Retail Trade Survey in the base year (20</w:t>
      </w:r>
      <w:r w:rsidR="00C333A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21</w:t>
      </w:r>
      <w:r w:rsidRPr="00970856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>) and reflect the share of Turnover of each Group in relation to the total turnover of the activities of</w:t>
      </w:r>
      <w:r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  <w:t xml:space="preserve"> the Division.</w:t>
      </w:r>
    </w:p>
    <w:p w14:paraId="2CC3FB11" w14:textId="77777777" w:rsidR="006E475C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758378C4" w14:textId="26CA3312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The compilation of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ices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follows </w:t>
      </w:r>
      <w:r w:rsidRPr="00FC3D6D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the provisions of Regulation (EU) 2019/2152 on European business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statistics. The Indices are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transmitted</w:t>
      </w:r>
      <w:r w:rsidR="00963B69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</w:t>
      </w:r>
      <w:r w:rsidRPr="00B94B86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to the Statistical Office of the European Union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>(Eurostat). In addition to gross data, both seasonally and calendar adjusted data are transmitted. The Ind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ices are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published at national level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only 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in 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their</w:t>
      </w:r>
      <w:r w:rsidRPr="00ED3C4B">
        <w:rPr>
          <w:rFonts w:ascii="Verdana" w:eastAsia="Times New Roman" w:hAnsi="Verdana" w:cs="Arial"/>
          <w:sz w:val="18"/>
          <w:szCs w:val="18"/>
          <w:shd w:val="clear" w:color="auto" w:fill="FFFFFF"/>
        </w:rPr>
        <w:t xml:space="preserve"> gross form</w:t>
      </w:r>
      <w:r>
        <w:rPr>
          <w:rFonts w:ascii="Verdana" w:eastAsia="Times New Roman" w:hAnsi="Verdana" w:cs="Arial"/>
          <w:sz w:val="18"/>
          <w:szCs w:val="18"/>
          <w:shd w:val="clear" w:color="auto" w:fill="FFFFFF"/>
        </w:rPr>
        <w:t>.</w:t>
      </w:r>
    </w:p>
    <w:p w14:paraId="4FBCDCE1" w14:textId="77777777" w:rsidR="006E475C" w:rsidRPr="00970856" w:rsidRDefault="006E475C" w:rsidP="006E475C">
      <w:pPr>
        <w:jc w:val="both"/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</w:rPr>
      </w:pPr>
    </w:p>
    <w:p w14:paraId="1B729050" w14:textId="77777777" w:rsidR="006E475C" w:rsidRPr="00970856" w:rsidRDefault="006E475C" w:rsidP="006E475C">
      <w:pPr>
        <w:jc w:val="both"/>
        <w:rPr>
          <w:rFonts w:ascii="Verdana" w:eastAsia="Malgun Gothic" w:hAnsi="Verdana" w:cs="Arial"/>
          <w:iCs/>
          <w:sz w:val="18"/>
          <w:szCs w:val="18"/>
        </w:rPr>
      </w:pPr>
    </w:p>
    <w:p w14:paraId="1517081C" w14:textId="77777777" w:rsidR="006E475C" w:rsidRPr="00C40E2B" w:rsidRDefault="006E475C" w:rsidP="006E475C">
      <w:pPr>
        <w:rPr>
          <w:rFonts w:ascii="Verdana" w:hAnsi="Verdana"/>
          <w:b/>
          <w:i/>
          <w:sz w:val="18"/>
          <w:szCs w:val="18"/>
          <w:lang w:val="en-GB"/>
        </w:rPr>
      </w:pPr>
      <w:r w:rsidRPr="00C40E2B">
        <w:rPr>
          <w:rFonts w:ascii="Verdana" w:hAnsi="Verdana"/>
          <w:b/>
          <w:i/>
          <w:sz w:val="18"/>
          <w:szCs w:val="18"/>
          <w:lang w:val="en-GB"/>
        </w:rPr>
        <w:t xml:space="preserve">For more information: </w:t>
      </w:r>
    </w:p>
    <w:p w14:paraId="2F9ED2BE" w14:textId="19A57B0C" w:rsidR="006E475C" w:rsidRDefault="006E475C" w:rsidP="006E475C">
      <w:pPr>
        <w:rPr>
          <w:rStyle w:val="Hyperlink"/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CYSTAT Portal</w:t>
      </w:r>
      <w:r w:rsidRPr="00040F97">
        <w:rPr>
          <w:rFonts w:ascii="Verdana" w:hAnsi="Verdana"/>
          <w:sz w:val="18"/>
          <w:szCs w:val="18"/>
          <w:lang w:val="en-GB"/>
        </w:rPr>
        <w:t xml:space="preserve">, subtheme </w:t>
      </w:r>
      <w:hyperlink r:id="rId10" w:history="1">
        <w:r w:rsidRPr="003061E3">
          <w:rPr>
            <w:rStyle w:val="Hyperlink"/>
            <w:rFonts w:ascii="Verdana" w:hAnsi="Verdana"/>
            <w:sz w:val="18"/>
            <w:szCs w:val="18"/>
            <w:lang w:val="en-GB"/>
          </w:rPr>
          <w:t>Trade</w:t>
        </w:r>
      </w:hyperlink>
    </w:p>
    <w:p w14:paraId="1D535DE5" w14:textId="77777777" w:rsidR="00737136" w:rsidRDefault="00AF0CAC" w:rsidP="00737136">
      <w:pPr>
        <w:rPr>
          <w:color w:val="000000"/>
        </w:rPr>
      </w:pPr>
      <w:hyperlink r:id="rId11" w:history="1">
        <w:r w:rsidR="00737136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737136">
        <w:rPr>
          <w:rFonts w:ascii="Verdana" w:hAnsi="Verdana"/>
          <w:color w:val="000000"/>
          <w:sz w:val="18"/>
          <w:szCs w:val="18"/>
        </w:rPr>
        <w:t xml:space="preserve"> (Online Database)</w:t>
      </w:r>
    </w:p>
    <w:p w14:paraId="7B07A22E" w14:textId="77777777" w:rsidR="006E475C" w:rsidRPr="003971EB" w:rsidRDefault="00AF0CAC" w:rsidP="006E475C">
      <w:pPr>
        <w:jc w:val="both"/>
        <w:rPr>
          <w:rFonts w:ascii="Verdana" w:hAnsi="Verdana"/>
          <w:sz w:val="18"/>
          <w:szCs w:val="18"/>
        </w:rPr>
      </w:pPr>
      <w:hyperlink r:id="rId12" w:history="1">
        <w:r w:rsidR="006E475C" w:rsidRPr="00F04A35">
          <w:rPr>
            <w:rStyle w:val="Hyperlink"/>
            <w:rFonts w:ascii="Verdana" w:hAnsi="Verdana"/>
            <w:sz w:val="18"/>
            <w:szCs w:val="18"/>
          </w:rPr>
          <w:t>Predefined Tables</w:t>
        </w:r>
      </w:hyperlink>
      <w:r w:rsidR="006E475C" w:rsidRPr="00040F97">
        <w:rPr>
          <w:rFonts w:ascii="Verdana" w:hAnsi="Verdana"/>
          <w:sz w:val="18"/>
          <w:szCs w:val="18"/>
        </w:rPr>
        <w:t xml:space="preserve"> (Excel)</w:t>
      </w:r>
      <w:r w:rsidR="006E475C" w:rsidRPr="003971EB">
        <w:rPr>
          <w:rFonts w:ascii="Verdana" w:hAnsi="Verdana"/>
          <w:sz w:val="18"/>
          <w:szCs w:val="18"/>
        </w:rPr>
        <w:t xml:space="preserve"> </w:t>
      </w:r>
    </w:p>
    <w:p w14:paraId="6EE5B2C6" w14:textId="5408DD71" w:rsidR="006E475C" w:rsidRDefault="00AF0CAC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  <w:hyperlink r:id="rId13" w:history="1">
        <w:r w:rsidR="00757BB1" w:rsidRPr="00757BB1">
          <w:rPr>
            <w:rStyle w:val="Hyperlink"/>
            <w:rFonts w:ascii="Verdana" w:hAnsi="Verdana"/>
            <w:sz w:val="18"/>
            <w:szCs w:val="18"/>
            <w:shd w:val="clear" w:color="auto" w:fill="FFFFFF"/>
          </w:rPr>
          <w:t>Methodological Information</w:t>
        </w:r>
      </w:hyperlink>
    </w:p>
    <w:p w14:paraId="159F196D" w14:textId="139F2857" w:rsidR="006E693A" w:rsidRDefault="006E693A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677E2075" w14:textId="6CB02016" w:rsidR="00C333A6" w:rsidRDefault="00C333A6" w:rsidP="006E475C">
      <w:pPr>
        <w:jc w:val="both"/>
        <w:rPr>
          <w:rFonts w:ascii="Verdana" w:eastAsia="Malgun Gothic" w:hAnsi="Verdana" w:cs="Arial"/>
          <w:b/>
          <w:sz w:val="18"/>
          <w:szCs w:val="18"/>
        </w:rPr>
      </w:pPr>
      <w:r>
        <w:rPr>
          <w:rFonts w:ascii="Verdana" w:eastAsia="Malgun Gothic" w:hAnsi="Verdana" w:cs="Arial"/>
          <w:b/>
          <w:sz w:val="18"/>
          <w:szCs w:val="18"/>
        </w:rPr>
        <w:t>Data for base year 2021=100 are available</w:t>
      </w:r>
      <w:r w:rsidRPr="00AE1832">
        <w:rPr>
          <w:rFonts w:ascii="Verdana" w:eastAsia="Malgun Gothic" w:hAnsi="Verdana" w:cs="Arial"/>
          <w:b/>
          <w:sz w:val="18"/>
          <w:szCs w:val="18"/>
        </w:rPr>
        <w:t xml:space="preserve"> only </w:t>
      </w:r>
      <w:r>
        <w:rPr>
          <w:rFonts w:ascii="Verdana" w:eastAsia="Malgun Gothic" w:hAnsi="Verdana" w:cs="Arial"/>
          <w:b/>
          <w:sz w:val="18"/>
          <w:szCs w:val="18"/>
        </w:rPr>
        <w:t>i</w:t>
      </w:r>
      <w:r w:rsidRPr="00AE1832">
        <w:rPr>
          <w:rFonts w:ascii="Verdana" w:eastAsia="Malgun Gothic" w:hAnsi="Verdana" w:cs="Arial"/>
          <w:b/>
          <w:sz w:val="18"/>
          <w:szCs w:val="18"/>
        </w:rPr>
        <w:t>n the CYSTAT-DB Online Database.</w:t>
      </w:r>
    </w:p>
    <w:p w14:paraId="55294E72" w14:textId="77777777" w:rsidR="00C333A6" w:rsidRDefault="00C333A6" w:rsidP="006E475C">
      <w:pPr>
        <w:jc w:val="both"/>
        <w:rPr>
          <w:rFonts w:ascii="Verdana" w:hAnsi="Verdana"/>
          <w:sz w:val="18"/>
          <w:szCs w:val="18"/>
          <w:shd w:val="clear" w:color="auto" w:fill="FFFFFF"/>
        </w:rPr>
      </w:pPr>
    </w:p>
    <w:p w14:paraId="40341242" w14:textId="51193641" w:rsidR="006E475C" w:rsidRPr="006B5929" w:rsidRDefault="006E475C" w:rsidP="006E475C">
      <w:pPr>
        <w:jc w:val="both"/>
        <w:rPr>
          <w:rFonts w:ascii="Verdana" w:eastAsia="Malgun Gothic" w:hAnsi="Verdana" w:cs="Arial"/>
          <w:bCs/>
          <w:iCs/>
          <w:sz w:val="18"/>
          <w:szCs w:val="18"/>
          <w:lang w:val="pt-PT"/>
        </w:rPr>
      </w:pPr>
      <w:r w:rsidRPr="006B5929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</w:p>
    <w:p w14:paraId="28AD4F29" w14:textId="77777777" w:rsidR="006E475C" w:rsidRPr="001F290D" w:rsidRDefault="006E475C" w:rsidP="006E475C">
      <w:pPr>
        <w:rPr>
          <w:rFonts w:ascii="Verdana" w:eastAsia="Malgun Gothic" w:hAnsi="Verdana"/>
          <w:sz w:val="18"/>
          <w:szCs w:val="18"/>
          <w:lang w:val="pt-PT"/>
        </w:rPr>
      </w:pPr>
      <w:r w:rsidRPr="001F290D">
        <w:rPr>
          <w:rFonts w:ascii="Verdana" w:eastAsia="Malgun Gothic" w:hAnsi="Verdana" w:cs="Arial"/>
          <w:bCs/>
          <w:iCs/>
          <w:sz w:val="18"/>
          <w:szCs w:val="18"/>
          <w:lang w:val="pt-PT"/>
        </w:rPr>
        <w:t>Evangelia Efstathiou: Tel.: 2260</w:t>
      </w:r>
      <w:r w:rsidRPr="001F290D">
        <w:rPr>
          <w:rFonts w:ascii="Verdana" w:hAnsi="Verdana"/>
          <w:sz w:val="18"/>
          <w:szCs w:val="18"/>
          <w:shd w:val="clear" w:color="auto" w:fill="FFFFFF"/>
          <w:lang w:val="pt-PT"/>
        </w:rPr>
        <w:t>2196</w:t>
      </w:r>
      <w:r w:rsidRPr="001F290D">
        <w:rPr>
          <w:rFonts w:ascii="Verdana" w:eastAsia="Malgun Gothic" w:hAnsi="Verdana" w:cs="Arial"/>
          <w:bCs/>
          <w:iCs/>
          <w:sz w:val="18"/>
          <w:szCs w:val="18"/>
          <w:lang w:val="pt-PT"/>
        </w:rPr>
        <w:t xml:space="preserve">, E-mail: </w:t>
      </w:r>
      <w:r w:rsidRPr="001F290D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  <w:t>eefstathiou@cystat.mof.gov.cy</w:t>
      </w:r>
    </w:p>
    <w:p w14:paraId="18AF7D71" w14:textId="77777777" w:rsidR="00963B69" w:rsidRPr="001F290D" w:rsidRDefault="00963B6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101BA79" w14:textId="7A5B7E3F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23072795" w14:textId="648639CC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C642992" w14:textId="799B6D13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175B984" w14:textId="7C5AF835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8F101BD" w14:textId="60DC8C7F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0806C001" w14:textId="06008E01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4E8F9D4" w14:textId="08C525D7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426D80EA" w14:textId="7DF778A1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9DBC0B6" w14:textId="1E7CC249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3363EE4" w14:textId="43177889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7677F316" w14:textId="72B59298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3AC5B7F2" w14:textId="4E2E99F4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D4F3B7" w14:textId="409697A9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6C4502B0" w14:textId="2E85010A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5A69251E" w14:textId="77777777" w:rsidR="00C26329" w:rsidRPr="001F290D" w:rsidRDefault="00C26329" w:rsidP="00072754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1F290D" w:rsidSect="00432B50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85" w:bottom="102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91AEE" w14:textId="77777777" w:rsidR="00AF0CAC" w:rsidRDefault="00AF0CAC" w:rsidP="00FB398F">
      <w:r>
        <w:separator/>
      </w:r>
    </w:p>
  </w:endnote>
  <w:endnote w:type="continuationSeparator" w:id="0">
    <w:p w14:paraId="6F0A5933" w14:textId="77777777" w:rsidR="00AF0CAC" w:rsidRDefault="00AF0CAC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C67792">
      <w:rPr>
        <w:noProof/>
      </w:rPr>
      <w:t>3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CE26" w14:textId="180DE5F6" w:rsidR="0060256A" w:rsidRPr="00A433A0" w:rsidRDefault="00A433A0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>
      <w:rPr>
        <w:rFonts w:ascii="Verdana" w:hAnsi="Verdana" w:cs="Arial"/>
        <w:iCs/>
        <w:sz w:val="16"/>
        <w:szCs w:val="16"/>
      </w:rPr>
      <w:t>Address:</w:t>
    </w:r>
    <w:r w:rsidR="0060256A" w:rsidRPr="00A433A0">
      <w:rPr>
        <w:rFonts w:ascii="Verdana" w:hAnsi="Verdana" w:cs="Arial"/>
        <w:iCs/>
        <w:sz w:val="16"/>
        <w:szCs w:val="16"/>
      </w:rPr>
      <w:t xml:space="preserve"> Micha</w:t>
    </w:r>
    <w:r w:rsidR="00EF6A66" w:rsidRPr="00A433A0">
      <w:rPr>
        <w:rFonts w:ascii="Verdana" w:hAnsi="Verdana" w:cs="Arial"/>
        <w:iCs/>
        <w:sz w:val="16"/>
        <w:szCs w:val="16"/>
      </w:rPr>
      <w:t>el</w:t>
    </w:r>
    <w:r w:rsidR="0060256A" w:rsidRPr="00A433A0">
      <w:rPr>
        <w:rFonts w:ascii="Verdana" w:hAnsi="Verdana" w:cs="Arial"/>
        <w:iCs/>
        <w:sz w:val="16"/>
        <w:szCs w:val="16"/>
      </w:rPr>
      <w:t xml:space="preserve"> </w:t>
    </w:r>
    <w:proofErr w:type="spellStart"/>
    <w:r w:rsidR="0060256A" w:rsidRPr="00A433A0">
      <w:rPr>
        <w:rFonts w:ascii="Verdana" w:hAnsi="Verdana" w:cs="Arial"/>
        <w:iCs/>
        <w:sz w:val="16"/>
        <w:szCs w:val="16"/>
      </w:rPr>
      <w:t>Karaoli</w:t>
    </w:r>
    <w:proofErr w:type="spellEnd"/>
    <w:r w:rsidR="0060256A" w:rsidRPr="00A433A0">
      <w:rPr>
        <w:rFonts w:ascii="Verdana" w:hAnsi="Verdana" w:cs="Arial"/>
        <w:iCs/>
        <w:sz w:val="16"/>
        <w:szCs w:val="16"/>
      </w:rPr>
      <w:t xml:space="preserve"> Str., 1444 Nicosia, Cyprus</w:t>
    </w:r>
  </w:p>
  <w:p w14:paraId="5BFB5428" w14:textId="323093C0" w:rsidR="0060256A" w:rsidRPr="00A433A0" w:rsidRDefault="00A433A0" w:rsidP="0060256A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en-GB"/>
      </w:rPr>
    </w:pPr>
    <w:r>
      <w:rPr>
        <w:rFonts w:ascii="Verdana" w:hAnsi="Verdana" w:cs="Arial"/>
        <w:iCs/>
        <w:sz w:val="16"/>
        <w:szCs w:val="16"/>
        <w:lang w:val="pt-PT"/>
      </w:rPr>
      <w:t>Tel.:</w:t>
    </w:r>
    <w:r w:rsidR="00122143" w:rsidRPr="00A433A0">
      <w:rPr>
        <w:rFonts w:ascii="Verdana" w:hAnsi="Verdana" w:cs="Arial"/>
        <w:iCs/>
        <w:sz w:val="16"/>
        <w:szCs w:val="16"/>
        <w:lang w:val="pt-PT"/>
      </w:rPr>
      <w:t xml:space="preserve"> 22 602129,</w:t>
    </w:r>
    <w:r w:rsidR="00201821" w:rsidRPr="00A433A0">
      <w:rPr>
        <w:rFonts w:ascii="Verdana" w:hAnsi="Verdana" w:cs="Arial"/>
        <w:iCs/>
        <w:sz w:val="16"/>
        <w:szCs w:val="16"/>
        <w:lang w:val="pt-PT"/>
      </w:rPr>
      <w:t xml:space="preserve"> </w:t>
    </w:r>
    <w:r>
      <w:rPr>
        <w:rFonts w:ascii="Verdana" w:hAnsi="Verdana" w:cs="Arial"/>
        <w:iCs/>
        <w:sz w:val="16"/>
        <w:szCs w:val="16"/>
        <w:lang w:val="pt-PT"/>
      </w:rPr>
      <w:t>E-mail:</w:t>
    </w:r>
    <w:r w:rsidR="0060256A" w:rsidRPr="00A433A0">
      <w:rPr>
        <w:rFonts w:ascii="Verdana" w:hAnsi="Verdana" w:cs="Arial"/>
        <w:iCs/>
        <w:sz w:val="16"/>
        <w:szCs w:val="16"/>
        <w:lang w:val="pt-PT"/>
      </w:rPr>
      <w:t xml:space="preserve"> </w:t>
    </w:r>
    <w:hyperlink r:id="rId1" w:history="1">
      <w:r w:rsidRPr="00285369">
        <w:rPr>
          <w:rStyle w:val="Hyperlink"/>
          <w:rFonts w:ascii="Verdana" w:hAnsi="Verdana" w:cs="Arial"/>
          <w:iCs/>
          <w:sz w:val="16"/>
          <w:szCs w:val="16"/>
          <w:lang w:val="pt-PT"/>
        </w:rPr>
        <w:t>enquiries@cystat.mof.gov.cy</w:t>
      </w:r>
    </w:hyperlink>
    <w:r w:rsidRPr="00A433A0">
      <w:rPr>
        <w:rFonts w:ascii="Verdana" w:hAnsi="Verdana" w:cs="Arial"/>
        <w:iCs/>
        <w:sz w:val="16"/>
        <w:szCs w:val="16"/>
        <w:lang w:val="en-GB"/>
      </w:rPr>
      <w:t xml:space="preserve"> </w:t>
    </w:r>
  </w:p>
  <w:p w14:paraId="53D85FE4" w14:textId="14F1C1AB" w:rsidR="004E4F42" w:rsidRPr="00A433A0" w:rsidRDefault="0060256A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  <w:lang w:val="pt-PT"/>
      </w:rPr>
    </w:pPr>
    <w:r w:rsidRPr="00A433A0">
      <w:rPr>
        <w:rFonts w:ascii="Verdana" w:hAnsi="Verdana" w:cs="Arial"/>
        <w:iCs/>
        <w:sz w:val="16"/>
        <w:szCs w:val="16"/>
        <w:lang w:val="pt-PT"/>
      </w:rPr>
      <w:t xml:space="preserve">Web </w:t>
    </w:r>
    <w:r w:rsidR="00A433A0">
      <w:rPr>
        <w:rFonts w:ascii="Verdana" w:hAnsi="Verdana" w:cs="Arial"/>
        <w:iCs/>
        <w:sz w:val="16"/>
        <w:szCs w:val="16"/>
        <w:lang w:val="pt-PT"/>
      </w:rPr>
      <w:t>P</w:t>
    </w:r>
    <w:r w:rsidR="00201821" w:rsidRPr="00A433A0">
      <w:rPr>
        <w:rFonts w:ascii="Verdana" w:hAnsi="Verdana" w:cs="Arial"/>
        <w:iCs/>
        <w:sz w:val="16"/>
        <w:szCs w:val="16"/>
        <w:lang w:val="pt-PT"/>
      </w:rPr>
      <w:t>ortal</w:t>
    </w:r>
    <w:r w:rsidRPr="00A433A0">
      <w:rPr>
        <w:rFonts w:ascii="Verdana" w:hAnsi="Verdana" w:cs="Arial"/>
        <w:iCs/>
        <w:sz w:val="16"/>
        <w:szCs w:val="16"/>
        <w:lang w:val="pt-PT"/>
      </w:rPr>
      <w:t xml:space="preserve">: </w:t>
    </w:r>
    <w:hyperlink r:id="rId2" w:history="1">
      <w:r w:rsidRPr="00A433A0">
        <w:rPr>
          <w:rStyle w:val="Hyperlink"/>
          <w:rFonts w:ascii="Verdana" w:hAnsi="Verdana" w:cs="Arial"/>
          <w:iCs/>
          <w:sz w:val="16"/>
          <w:szCs w:val="16"/>
          <w:lang w:val="pt-PT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DB70EF" w14:textId="77777777" w:rsidR="00AF0CAC" w:rsidRDefault="00AF0CAC" w:rsidP="00FB398F">
      <w:r>
        <w:separator/>
      </w:r>
    </w:p>
  </w:footnote>
  <w:footnote w:type="continuationSeparator" w:id="0">
    <w:p w14:paraId="426FEFEC" w14:textId="77777777" w:rsidR="00AF0CAC" w:rsidRDefault="00AF0CAC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1D111808" w:rsidR="00364377" w:rsidRPr="00AC704B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BA5A5E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BA5A5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435025" w:rsidRDefault="0060256A" w:rsidP="0060256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502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BA5A5E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Default="0060256A" w:rsidP="0060256A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BA5A5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435025" w:rsidRDefault="0060256A" w:rsidP="0060256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5025">
                      <w:rPr>
                        <w:rFonts w:ascii="Arial" w:hAnsi="Arial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 w:rsidR="004E4F42">
      <w:rPr>
        <w:rFonts w:ascii="Arial" w:hAnsi="Arial" w:cs="Arial"/>
        <w:bCs/>
        <w:sz w:val="18"/>
        <w:szCs w:val="18"/>
        <w:lang w:val="en-US"/>
      </w:rPr>
      <w:t xml:space="preserve">   </w:t>
    </w:r>
    <w:r w:rsidR="00364377" w:rsidRPr="007C1520">
      <w:rPr>
        <w:rFonts w:ascii="Arial" w:hAnsi="Arial" w:cs="Arial"/>
        <w:bCs/>
        <w:sz w:val="18"/>
        <w:szCs w:val="18"/>
        <w:lang w:val="en-US"/>
      </w:rPr>
      <w:t>REPUBLIC OF CYPRUS</w:t>
    </w:r>
    <w:r w:rsidR="00364377" w:rsidRPr="00AC704B">
      <w:rPr>
        <w:b/>
        <w:bCs/>
        <w:sz w:val="20"/>
        <w:szCs w:val="20"/>
        <w:lang w:val="en-US"/>
      </w:rPr>
      <w:t xml:space="preserve"> </w:t>
    </w:r>
    <w:r w:rsidR="00364377" w:rsidRPr="00AC704B">
      <w:rPr>
        <w:b/>
        <w:bCs/>
        <w:sz w:val="20"/>
        <w:szCs w:val="20"/>
        <w:lang w:val="en-US"/>
      </w:rPr>
      <w:tab/>
    </w:r>
  </w:p>
  <w:p w14:paraId="7A5CA03F" w14:textId="496A0710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9F5"/>
    <w:rsid w:val="00004F86"/>
    <w:rsid w:val="0000542E"/>
    <w:rsid w:val="00013E40"/>
    <w:rsid w:val="000161B1"/>
    <w:rsid w:val="00025A39"/>
    <w:rsid w:val="0002665F"/>
    <w:rsid w:val="00027853"/>
    <w:rsid w:val="00030E18"/>
    <w:rsid w:val="00031D32"/>
    <w:rsid w:val="0003603D"/>
    <w:rsid w:val="00036FA9"/>
    <w:rsid w:val="00045088"/>
    <w:rsid w:val="00045A06"/>
    <w:rsid w:val="00050391"/>
    <w:rsid w:val="00053496"/>
    <w:rsid w:val="00055291"/>
    <w:rsid w:val="000563D3"/>
    <w:rsid w:val="00057E44"/>
    <w:rsid w:val="00061299"/>
    <w:rsid w:val="00070576"/>
    <w:rsid w:val="00072754"/>
    <w:rsid w:val="000752BB"/>
    <w:rsid w:val="00081ADF"/>
    <w:rsid w:val="00084A02"/>
    <w:rsid w:val="00084BF7"/>
    <w:rsid w:val="000870E9"/>
    <w:rsid w:val="000932CF"/>
    <w:rsid w:val="00096ED8"/>
    <w:rsid w:val="000A1A88"/>
    <w:rsid w:val="000A2B5C"/>
    <w:rsid w:val="000A3601"/>
    <w:rsid w:val="000A6FA8"/>
    <w:rsid w:val="000B1A44"/>
    <w:rsid w:val="000B6F3B"/>
    <w:rsid w:val="000C4E72"/>
    <w:rsid w:val="000D1E7A"/>
    <w:rsid w:val="000E24B1"/>
    <w:rsid w:val="000E2735"/>
    <w:rsid w:val="000E32D6"/>
    <w:rsid w:val="000E57F2"/>
    <w:rsid w:val="000E72A7"/>
    <w:rsid w:val="000F1162"/>
    <w:rsid w:val="000F3467"/>
    <w:rsid w:val="000F38DE"/>
    <w:rsid w:val="000F5D6C"/>
    <w:rsid w:val="00106852"/>
    <w:rsid w:val="00107555"/>
    <w:rsid w:val="00110F9D"/>
    <w:rsid w:val="00114A67"/>
    <w:rsid w:val="00122143"/>
    <w:rsid w:val="001253B6"/>
    <w:rsid w:val="00127320"/>
    <w:rsid w:val="00127456"/>
    <w:rsid w:val="001312D8"/>
    <w:rsid w:val="0013137B"/>
    <w:rsid w:val="0014743C"/>
    <w:rsid w:val="0015118B"/>
    <w:rsid w:val="001512AA"/>
    <w:rsid w:val="001519CE"/>
    <w:rsid w:val="00161CF3"/>
    <w:rsid w:val="00162C00"/>
    <w:rsid w:val="001639EF"/>
    <w:rsid w:val="0016589F"/>
    <w:rsid w:val="00166FC4"/>
    <w:rsid w:val="00176558"/>
    <w:rsid w:val="0017756A"/>
    <w:rsid w:val="0017769A"/>
    <w:rsid w:val="00183DFC"/>
    <w:rsid w:val="00184384"/>
    <w:rsid w:val="00186717"/>
    <w:rsid w:val="00187FFC"/>
    <w:rsid w:val="00192F46"/>
    <w:rsid w:val="001A2018"/>
    <w:rsid w:val="001A3DD4"/>
    <w:rsid w:val="001B2C39"/>
    <w:rsid w:val="001B3675"/>
    <w:rsid w:val="001B54AB"/>
    <w:rsid w:val="001B5E10"/>
    <w:rsid w:val="001B6AB3"/>
    <w:rsid w:val="001B73D5"/>
    <w:rsid w:val="001B7C68"/>
    <w:rsid w:val="001C0681"/>
    <w:rsid w:val="001C14B9"/>
    <w:rsid w:val="001C2DFD"/>
    <w:rsid w:val="001C62B3"/>
    <w:rsid w:val="001C7C8C"/>
    <w:rsid w:val="001D0D6A"/>
    <w:rsid w:val="001D20A4"/>
    <w:rsid w:val="001E00D1"/>
    <w:rsid w:val="001E0E58"/>
    <w:rsid w:val="001E14F3"/>
    <w:rsid w:val="001E15ED"/>
    <w:rsid w:val="001E20C0"/>
    <w:rsid w:val="001E61AA"/>
    <w:rsid w:val="001E7D09"/>
    <w:rsid w:val="001F290D"/>
    <w:rsid w:val="00201821"/>
    <w:rsid w:val="0020309E"/>
    <w:rsid w:val="00205BA0"/>
    <w:rsid w:val="00210B58"/>
    <w:rsid w:val="00222423"/>
    <w:rsid w:val="00225B28"/>
    <w:rsid w:val="002313AC"/>
    <w:rsid w:val="0023512E"/>
    <w:rsid w:val="00235FB2"/>
    <w:rsid w:val="00237BC1"/>
    <w:rsid w:val="002430B4"/>
    <w:rsid w:val="002447D0"/>
    <w:rsid w:val="002454C5"/>
    <w:rsid w:val="00245E19"/>
    <w:rsid w:val="0024685F"/>
    <w:rsid w:val="00246AEB"/>
    <w:rsid w:val="00250005"/>
    <w:rsid w:val="0025254F"/>
    <w:rsid w:val="0025566D"/>
    <w:rsid w:val="0025595C"/>
    <w:rsid w:val="00256802"/>
    <w:rsid w:val="00257149"/>
    <w:rsid w:val="002576E7"/>
    <w:rsid w:val="0025787C"/>
    <w:rsid w:val="00260357"/>
    <w:rsid w:val="00264F04"/>
    <w:rsid w:val="00267554"/>
    <w:rsid w:val="0027122D"/>
    <w:rsid w:val="00281040"/>
    <w:rsid w:val="0028338F"/>
    <w:rsid w:val="00285C24"/>
    <w:rsid w:val="002915C4"/>
    <w:rsid w:val="002A1D1C"/>
    <w:rsid w:val="002A4D64"/>
    <w:rsid w:val="002B6554"/>
    <w:rsid w:val="002D05F0"/>
    <w:rsid w:val="002D09A0"/>
    <w:rsid w:val="002D7D4A"/>
    <w:rsid w:val="002E1906"/>
    <w:rsid w:val="002E3846"/>
    <w:rsid w:val="002E3F78"/>
    <w:rsid w:val="002F400C"/>
    <w:rsid w:val="002F4D76"/>
    <w:rsid w:val="002F6D26"/>
    <w:rsid w:val="0030231E"/>
    <w:rsid w:val="003042C4"/>
    <w:rsid w:val="00304CB4"/>
    <w:rsid w:val="0030639C"/>
    <w:rsid w:val="00306E10"/>
    <w:rsid w:val="00313F37"/>
    <w:rsid w:val="003141D0"/>
    <w:rsid w:val="003168C1"/>
    <w:rsid w:val="00322FBE"/>
    <w:rsid w:val="00325632"/>
    <w:rsid w:val="00327549"/>
    <w:rsid w:val="00330CBC"/>
    <w:rsid w:val="003342A5"/>
    <w:rsid w:val="00336C36"/>
    <w:rsid w:val="00343815"/>
    <w:rsid w:val="003522BB"/>
    <w:rsid w:val="00352F6C"/>
    <w:rsid w:val="003556EA"/>
    <w:rsid w:val="00364377"/>
    <w:rsid w:val="003650DA"/>
    <w:rsid w:val="003652CE"/>
    <w:rsid w:val="00372E89"/>
    <w:rsid w:val="00377ABB"/>
    <w:rsid w:val="003854F5"/>
    <w:rsid w:val="00386FC7"/>
    <w:rsid w:val="00390A32"/>
    <w:rsid w:val="00396C89"/>
    <w:rsid w:val="003A104A"/>
    <w:rsid w:val="003A40F2"/>
    <w:rsid w:val="003A50D1"/>
    <w:rsid w:val="003B196D"/>
    <w:rsid w:val="003B2710"/>
    <w:rsid w:val="003B4242"/>
    <w:rsid w:val="003B4608"/>
    <w:rsid w:val="003C1B8E"/>
    <w:rsid w:val="003C2392"/>
    <w:rsid w:val="003C5174"/>
    <w:rsid w:val="003C5240"/>
    <w:rsid w:val="003D14E0"/>
    <w:rsid w:val="003D1EA5"/>
    <w:rsid w:val="003D3348"/>
    <w:rsid w:val="003D4F4E"/>
    <w:rsid w:val="003D6822"/>
    <w:rsid w:val="003D724C"/>
    <w:rsid w:val="003E0CE2"/>
    <w:rsid w:val="003F49E4"/>
    <w:rsid w:val="003F4D2F"/>
    <w:rsid w:val="003F5E32"/>
    <w:rsid w:val="003F75F6"/>
    <w:rsid w:val="003F7746"/>
    <w:rsid w:val="00404670"/>
    <w:rsid w:val="00406130"/>
    <w:rsid w:val="00414CA0"/>
    <w:rsid w:val="00422F54"/>
    <w:rsid w:val="00423EAE"/>
    <w:rsid w:val="00430179"/>
    <w:rsid w:val="00431516"/>
    <w:rsid w:val="00432B50"/>
    <w:rsid w:val="004361B3"/>
    <w:rsid w:val="0044249D"/>
    <w:rsid w:val="0044379F"/>
    <w:rsid w:val="00446FB1"/>
    <w:rsid w:val="004524B8"/>
    <w:rsid w:val="0046078F"/>
    <w:rsid w:val="00463214"/>
    <w:rsid w:val="0046434D"/>
    <w:rsid w:val="004656FA"/>
    <w:rsid w:val="004658FA"/>
    <w:rsid w:val="004705C8"/>
    <w:rsid w:val="00471D77"/>
    <w:rsid w:val="00475587"/>
    <w:rsid w:val="00477DD0"/>
    <w:rsid w:val="00480BC2"/>
    <w:rsid w:val="004929C2"/>
    <w:rsid w:val="00492DBF"/>
    <w:rsid w:val="00493FDD"/>
    <w:rsid w:val="0049586B"/>
    <w:rsid w:val="004A3E44"/>
    <w:rsid w:val="004A7983"/>
    <w:rsid w:val="004B2896"/>
    <w:rsid w:val="004B38E9"/>
    <w:rsid w:val="004B3FBA"/>
    <w:rsid w:val="004B556F"/>
    <w:rsid w:val="004B6599"/>
    <w:rsid w:val="004C35CE"/>
    <w:rsid w:val="004C6CA7"/>
    <w:rsid w:val="004D4357"/>
    <w:rsid w:val="004D4950"/>
    <w:rsid w:val="004E2393"/>
    <w:rsid w:val="004E27EC"/>
    <w:rsid w:val="004E3745"/>
    <w:rsid w:val="004E42BE"/>
    <w:rsid w:val="004E4F42"/>
    <w:rsid w:val="004E63D5"/>
    <w:rsid w:val="004F03FD"/>
    <w:rsid w:val="004F4DC9"/>
    <w:rsid w:val="004F52F0"/>
    <w:rsid w:val="004F6250"/>
    <w:rsid w:val="004F677C"/>
    <w:rsid w:val="004F6CD3"/>
    <w:rsid w:val="004F6D8F"/>
    <w:rsid w:val="00505503"/>
    <w:rsid w:val="00507644"/>
    <w:rsid w:val="0051107B"/>
    <w:rsid w:val="00512F9C"/>
    <w:rsid w:val="00513B27"/>
    <w:rsid w:val="00514E91"/>
    <w:rsid w:val="00515B41"/>
    <w:rsid w:val="00527CDB"/>
    <w:rsid w:val="005317FB"/>
    <w:rsid w:val="00533F54"/>
    <w:rsid w:val="005341C9"/>
    <w:rsid w:val="005369CA"/>
    <w:rsid w:val="00536DE9"/>
    <w:rsid w:val="00540668"/>
    <w:rsid w:val="00541E08"/>
    <w:rsid w:val="00553722"/>
    <w:rsid w:val="0055789A"/>
    <w:rsid w:val="005652D1"/>
    <w:rsid w:val="005660A0"/>
    <w:rsid w:val="00566A4F"/>
    <w:rsid w:val="00567D64"/>
    <w:rsid w:val="00572BC2"/>
    <w:rsid w:val="00585381"/>
    <w:rsid w:val="005938ED"/>
    <w:rsid w:val="0059478C"/>
    <w:rsid w:val="005978D4"/>
    <w:rsid w:val="005A0633"/>
    <w:rsid w:val="005B2A67"/>
    <w:rsid w:val="005B3DCD"/>
    <w:rsid w:val="005B4AD4"/>
    <w:rsid w:val="005B5CC7"/>
    <w:rsid w:val="005C0DDB"/>
    <w:rsid w:val="005C2798"/>
    <w:rsid w:val="005C36C3"/>
    <w:rsid w:val="005C4067"/>
    <w:rsid w:val="005C56EE"/>
    <w:rsid w:val="005C5D4B"/>
    <w:rsid w:val="005D1714"/>
    <w:rsid w:val="005D2D39"/>
    <w:rsid w:val="005D7638"/>
    <w:rsid w:val="005E4AAB"/>
    <w:rsid w:val="005E59E5"/>
    <w:rsid w:val="005F12F5"/>
    <w:rsid w:val="005F4B4F"/>
    <w:rsid w:val="005F689F"/>
    <w:rsid w:val="005F7C7D"/>
    <w:rsid w:val="0060256A"/>
    <w:rsid w:val="006044B7"/>
    <w:rsid w:val="006071CE"/>
    <w:rsid w:val="006075B5"/>
    <w:rsid w:val="0061018C"/>
    <w:rsid w:val="0061094E"/>
    <w:rsid w:val="00613440"/>
    <w:rsid w:val="00613BE3"/>
    <w:rsid w:val="0062327B"/>
    <w:rsid w:val="0062522F"/>
    <w:rsid w:val="00632777"/>
    <w:rsid w:val="00633750"/>
    <w:rsid w:val="00633BA7"/>
    <w:rsid w:val="00634491"/>
    <w:rsid w:val="0063679C"/>
    <w:rsid w:val="00637055"/>
    <w:rsid w:val="00641D59"/>
    <w:rsid w:val="00644507"/>
    <w:rsid w:val="00644BB0"/>
    <w:rsid w:val="00644E68"/>
    <w:rsid w:val="00646880"/>
    <w:rsid w:val="00647D2A"/>
    <w:rsid w:val="006537BB"/>
    <w:rsid w:val="0065711B"/>
    <w:rsid w:val="00671785"/>
    <w:rsid w:val="00672BA9"/>
    <w:rsid w:val="00673005"/>
    <w:rsid w:val="006804BE"/>
    <w:rsid w:val="0069008E"/>
    <w:rsid w:val="0069087E"/>
    <w:rsid w:val="00691191"/>
    <w:rsid w:val="006925C4"/>
    <w:rsid w:val="0069309C"/>
    <w:rsid w:val="006A02B7"/>
    <w:rsid w:val="006A2267"/>
    <w:rsid w:val="006A7D19"/>
    <w:rsid w:val="006B46D5"/>
    <w:rsid w:val="006B46F4"/>
    <w:rsid w:val="006B5929"/>
    <w:rsid w:val="006C7AF3"/>
    <w:rsid w:val="006D423B"/>
    <w:rsid w:val="006D6548"/>
    <w:rsid w:val="006E0E20"/>
    <w:rsid w:val="006E4256"/>
    <w:rsid w:val="006E475C"/>
    <w:rsid w:val="006E4BBA"/>
    <w:rsid w:val="006E5F43"/>
    <w:rsid w:val="006E60A6"/>
    <w:rsid w:val="006E693A"/>
    <w:rsid w:val="006F0F69"/>
    <w:rsid w:val="006F116B"/>
    <w:rsid w:val="006F117F"/>
    <w:rsid w:val="006F13DF"/>
    <w:rsid w:val="006F1E66"/>
    <w:rsid w:val="006F65C6"/>
    <w:rsid w:val="00702F26"/>
    <w:rsid w:val="0070313E"/>
    <w:rsid w:val="00703799"/>
    <w:rsid w:val="00705C5C"/>
    <w:rsid w:val="00707041"/>
    <w:rsid w:val="00711475"/>
    <w:rsid w:val="0072548A"/>
    <w:rsid w:val="007277A6"/>
    <w:rsid w:val="00737136"/>
    <w:rsid w:val="007437AB"/>
    <w:rsid w:val="00745BE9"/>
    <w:rsid w:val="007534F8"/>
    <w:rsid w:val="007545AD"/>
    <w:rsid w:val="00757BB1"/>
    <w:rsid w:val="00763722"/>
    <w:rsid w:val="00764BC1"/>
    <w:rsid w:val="00770869"/>
    <w:rsid w:val="007738AA"/>
    <w:rsid w:val="00780A62"/>
    <w:rsid w:val="00783241"/>
    <w:rsid w:val="007838EC"/>
    <w:rsid w:val="00784BDC"/>
    <w:rsid w:val="00792F28"/>
    <w:rsid w:val="0079543F"/>
    <w:rsid w:val="00795880"/>
    <w:rsid w:val="007A4367"/>
    <w:rsid w:val="007A5EF5"/>
    <w:rsid w:val="007B0867"/>
    <w:rsid w:val="007B1AC1"/>
    <w:rsid w:val="007B36E4"/>
    <w:rsid w:val="007B5A08"/>
    <w:rsid w:val="007B693D"/>
    <w:rsid w:val="007E041B"/>
    <w:rsid w:val="007E199A"/>
    <w:rsid w:val="007E2415"/>
    <w:rsid w:val="007E39F3"/>
    <w:rsid w:val="007E68F4"/>
    <w:rsid w:val="007F31BA"/>
    <w:rsid w:val="007F4078"/>
    <w:rsid w:val="007F6342"/>
    <w:rsid w:val="0080014B"/>
    <w:rsid w:val="00801793"/>
    <w:rsid w:val="00803642"/>
    <w:rsid w:val="00806EA2"/>
    <w:rsid w:val="00812A2B"/>
    <w:rsid w:val="00814694"/>
    <w:rsid w:val="00814A4C"/>
    <w:rsid w:val="00821747"/>
    <w:rsid w:val="00831AAB"/>
    <w:rsid w:val="008335AD"/>
    <w:rsid w:val="0083574E"/>
    <w:rsid w:val="0083640C"/>
    <w:rsid w:val="0084157B"/>
    <w:rsid w:val="00842BFB"/>
    <w:rsid w:val="00843B7C"/>
    <w:rsid w:val="00846B85"/>
    <w:rsid w:val="00847DC3"/>
    <w:rsid w:val="00847F49"/>
    <w:rsid w:val="008503CA"/>
    <w:rsid w:val="00852E95"/>
    <w:rsid w:val="008535C5"/>
    <w:rsid w:val="00853765"/>
    <w:rsid w:val="0085516F"/>
    <w:rsid w:val="00861278"/>
    <w:rsid w:val="0086364F"/>
    <w:rsid w:val="00864F8D"/>
    <w:rsid w:val="00867186"/>
    <w:rsid w:val="00870AF6"/>
    <w:rsid w:val="00876F12"/>
    <w:rsid w:val="0088007F"/>
    <w:rsid w:val="00881268"/>
    <w:rsid w:val="00882E57"/>
    <w:rsid w:val="0088394A"/>
    <w:rsid w:val="008860BD"/>
    <w:rsid w:val="00887399"/>
    <w:rsid w:val="0088779E"/>
    <w:rsid w:val="008912AF"/>
    <w:rsid w:val="00892114"/>
    <w:rsid w:val="00892CB9"/>
    <w:rsid w:val="008935CB"/>
    <w:rsid w:val="008B0E7E"/>
    <w:rsid w:val="008B315B"/>
    <w:rsid w:val="008B5FF0"/>
    <w:rsid w:val="008B65BD"/>
    <w:rsid w:val="008B69F0"/>
    <w:rsid w:val="008B7900"/>
    <w:rsid w:val="008C71BF"/>
    <w:rsid w:val="008C7FE0"/>
    <w:rsid w:val="008D0525"/>
    <w:rsid w:val="008D2724"/>
    <w:rsid w:val="008D5717"/>
    <w:rsid w:val="008E44A9"/>
    <w:rsid w:val="008E6B4D"/>
    <w:rsid w:val="008E6BFF"/>
    <w:rsid w:val="008F21AF"/>
    <w:rsid w:val="008F2400"/>
    <w:rsid w:val="008F61BA"/>
    <w:rsid w:val="008F6E3C"/>
    <w:rsid w:val="008F7C55"/>
    <w:rsid w:val="0090338C"/>
    <w:rsid w:val="00914A23"/>
    <w:rsid w:val="00927632"/>
    <w:rsid w:val="00930754"/>
    <w:rsid w:val="00931164"/>
    <w:rsid w:val="00934F68"/>
    <w:rsid w:val="009355AC"/>
    <w:rsid w:val="00935F38"/>
    <w:rsid w:val="00937586"/>
    <w:rsid w:val="00947889"/>
    <w:rsid w:val="00960E98"/>
    <w:rsid w:val="009614D9"/>
    <w:rsid w:val="00963A82"/>
    <w:rsid w:val="00963B69"/>
    <w:rsid w:val="009671C2"/>
    <w:rsid w:val="00970C3A"/>
    <w:rsid w:val="00972912"/>
    <w:rsid w:val="00972CA0"/>
    <w:rsid w:val="00976D1F"/>
    <w:rsid w:val="009801BB"/>
    <w:rsid w:val="00981C81"/>
    <w:rsid w:val="00983A14"/>
    <w:rsid w:val="00992209"/>
    <w:rsid w:val="009947AE"/>
    <w:rsid w:val="009A2D24"/>
    <w:rsid w:val="009A456C"/>
    <w:rsid w:val="009A4B24"/>
    <w:rsid w:val="009B00E0"/>
    <w:rsid w:val="009B292A"/>
    <w:rsid w:val="009B76D5"/>
    <w:rsid w:val="009B7F62"/>
    <w:rsid w:val="009C165D"/>
    <w:rsid w:val="009C37F7"/>
    <w:rsid w:val="009C3CEA"/>
    <w:rsid w:val="009C583D"/>
    <w:rsid w:val="009D2611"/>
    <w:rsid w:val="009D48B4"/>
    <w:rsid w:val="009D6C4E"/>
    <w:rsid w:val="009D79D2"/>
    <w:rsid w:val="009E247C"/>
    <w:rsid w:val="009E31BA"/>
    <w:rsid w:val="009F0528"/>
    <w:rsid w:val="009F0806"/>
    <w:rsid w:val="009F0B47"/>
    <w:rsid w:val="009F233B"/>
    <w:rsid w:val="00A05D16"/>
    <w:rsid w:val="00A0659F"/>
    <w:rsid w:val="00A07357"/>
    <w:rsid w:val="00A079BA"/>
    <w:rsid w:val="00A33875"/>
    <w:rsid w:val="00A342A1"/>
    <w:rsid w:val="00A360A1"/>
    <w:rsid w:val="00A402B3"/>
    <w:rsid w:val="00A433A0"/>
    <w:rsid w:val="00A45AB5"/>
    <w:rsid w:val="00A45D86"/>
    <w:rsid w:val="00A45EC8"/>
    <w:rsid w:val="00A544B7"/>
    <w:rsid w:val="00A618CF"/>
    <w:rsid w:val="00A62770"/>
    <w:rsid w:val="00A62CAB"/>
    <w:rsid w:val="00A62EEB"/>
    <w:rsid w:val="00A64DA0"/>
    <w:rsid w:val="00A660FF"/>
    <w:rsid w:val="00A6625A"/>
    <w:rsid w:val="00A73395"/>
    <w:rsid w:val="00A82B4C"/>
    <w:rsid w:val="00A93A4C"/>
    <w:rsid w:val="00A94D5D"/>
    <w:rsid w:val="00AA1D9B"/>
    <w:rsid w:val="00AA2543"/>
    <w:rsid w:val="00AA3804"/>
    <w:rsid w:val="00AA55C2"/>
    <w:rsid w:val="00AB0ACA"/>
    <w:rsid w:val="00AB1D41"/>
    <w:rsid w:val="00AB77CA"/>
    <w:rsid w:val="00AC43C2"/>
    <w:rsid w:val="00AC5E9A"/>
    <w:rsid w:val="00AC704B"/>
    <w:rsid w:val="00AD553E"/>
    <w:rsid w:val="00AD5848"/>
    <w:rsid w:val="00AE3741"/>
    <w:rsid w:val="00AE5ADA"/>
    <w:rsid w:val="00AF0CAC"/>
    <w:rsid w:val="00AF6145"/>
    <w:rsid w:val="00AF7B99"/>
    <w:rsid w:val="00B01129"/>
    <w:rsid w:val="00B01386"/>
    <w:rsid w:val="00B01BB5"/>
    <w:rsid w:val="00B04AF4"/>
    <w:rsid w:val="00B05214"/>
    <w:rsid w:val="00B0736F"/>
    <w:rsid w:val="00B07501"/>
    <w:rsid w:val="00B30D97"/>
    <w:rsid w:val="00B31738"/>
    <w:rsid w:val="00B3181A"/>
    <w:rsid w:val="00B35A7C"/>
    <w:rsid w:val="00B44BD8"/>
    <w:rsid w:val="00B450D1"/>
    <w:rsid w:val="00B53D47"/>
    <w:rsid w:val="00B54A25"/>
    <w:rsid w:val="00B618C3"/>
    <w:rsid w:val="00B63652"/>
    <w:rsid w:val="00B668B0"/>
    <w:rsid w:val="00B70F5C"/>
    <w:rsid w:val="00B71873"/>
    <w:rsid w:val="00B7236C"/>
    <w:rsid w:val="00B75AE5"/>
    <w:rsid w:val="00B800C0"/>
    <w:rsid w:val="00B8132B"/>
    <w:rsid w:val="00B82E57"/>
    <w:rsid w:val="00B840A6"/>
    <w:rsid w:val="00B84C5A"/>
    <w:rsid w:val="00B858F5"/>
    <w:rsid w:val="00B85ADA"/>
    <w:rsid w:val="00B922B9"/>
    <w:rsid w:val="00B93668"/>
    <w:rsid w:val="00B94B86"/>
    <w:rsid w:val="00BA68C6"/>
    <w:rsid w:val="00BB12F1"/>
    <w:rsid w:val="00BB276E"/>
    <w:rsid w:val="00BB3FEE"/>
    <w:rsid w:val="00BB5EB0"/>
    <w:rsid w:val="00BB7A27"/>
    <w:rsid w:val="00BC245A"/>
    <w:rsid w:val="00BC340C"/>
    <w:rsid w:val="00BC5A4C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5755"/>
    <w:rsid w:val="00BF684B"/>
    <w:rsid w:val="00C016F3"/>
    <w:rsid w:val="00C15193"/>
    <w:rsid w:val="00C15609"/>
    <w:rsid w:val="00C15F6A"/>
    <w:rsid w:val="00C22180"/>
    <w:rsid w:val="00C23EA7"/>
    <w:rsid w:val="00C256F3"/>
    <w:rsid w:val="00C26329"/>
    <w:rsid w:val="00C270A2"/>
    <w:rsid w:val="00C315B5"/>
    <w:rsid w:val="00C32D3A"/>
    <w:rsid w:val="00C333A6"/>
    <w:rsid w:val="00C35E28"/>
    <w:rsid w:val="00C426AF"/>
    <w:rsid w:val="00C469C1"/>
    <w:rsid w:val="00C50659"/>
    <w:rsid w:val="00C51B39"/>
    <w:rsid w:val="00C5338A"/>
    <w:rsid w:val="00C54EF9"/>
    <w:rsid w:val="00C559AA"/>
    <w:rsid w:val="00C56BBF"/>
    <w:rsid w:val="00C572AA"/>
    <w:rsid w:val="00C57A9A"/>
    <w:rsid w:val="00C6016A"/>
    <w:rsid w:val="00C60B3F"/>
    <w:rsid w:val="00C60B80"/>
    <w:rsid w:val="00C623EB"/>
    <w:rsid w:val="00C6258A"/>
    <w:rsid w:val="00C64C6B"/>
    <w:rsid w:val="00C65138"/>
    <w:rsid w:val="00C66F2E"/>
    <w:rsid w:val="00C67792"/>
    <w:rsid w:val="00C6785C"/>
    <w:rsid w:val="00C706BB"/>
    <w:rsid w:val="00C70FD1"/>
    <w:rsid w:val="00C733AA"/>
    <w:rsid w:val="00C83027"/>
    <w:rsid w:val="00C84B8A"/>
    <w:rsid w:val="00C85E65"/>
    <w:rsid w:val="00C87CA1"/>
    <w:rsid w:val="00C9083D"/>
    <w:rsid w:val="00C911B4"/>
    <w:rsid w:val="00C91B3B"/>
    <w:rsid w:val="00C94262"/>
    <w:rsid w:val="00C976E1"/>
    <w:rsid w:val="00CA148E"/>
    <w:rsid w:val="00CA3A9A"/>
    <w:rsid w:val="00CB6BC1"/>
    <w:rsid w:val="00CB7021"/>
    <w:rsid w:val="00CD3294"/>
    <w:rsid w:val="00CD4524"/>
    <w:rsid w:val="00CD5138"/>
    <w:rsid w:val="00CD784D"/>
    <w:rsid w:val="00CF40F8"/>
    <w:rsid w:val="00D008DA"/>
    <w:rsid w:val="00D0416F"/>
    <w:rsid w:val="00D05851"/>
    <w:rsid w:val="00D10FED"/>
    <w:rsid w:val="00D11736"/>
    <w:rsid w:val="00D12EE8"/>
    <w:rsid w:val="00D15FF1"/>
    <w:rsid w:val="00D167F4"/>
    <w:rsid w:val="00D17BC9"/>
    <w:rsid w:val="00D2092A"/>
    <w:rsid w:val="00D21A25"/>
    <w:rsid w:val="00D2216D"/>
    <w:rsid w:val="00D27EAF"/>
    <w:rsid w:val="00D31A6F"/>
    <w:rsid w:val="00D33293"/>
    <w:rsid w:val="00D353D1"/>
    <w:rsid w:val="00D367DB"/>
    <w:rsid w:val="00D36E05"/>
    <w:rsid w:val="00D44444"/>
    <w:rsid w:val="00D44BBD"/>
    <w:rsid w:val="00D44F27"/>
    <w:rsid w:val="00D45304"/>
    <w:rsid w:val="00D461C7"/>
    <w:rsid w:val="00D50424"/>
    <w:rsid w:val="00D57D3E"/>
    <w:rsid w:val="00D814FF"/>
    <w:rsid w:val="00D843F4"/>
    <w:rsid w:val="00DC23CF"/>
    <w:rsid w:val="00DC6562"/>
    <w:rsid w:val="00DE130D"/>
    <w:rsid w:val="00DE24CF"/>
    <w:rsid w:val="00DE407C"/>
    <w:rsid w:val="00DE7C7D"/>
    <w:rsid w:val="00DF2992"/>
    <w:rsid w:val="00DF2D0C"/>
    <w:rsid w:val="00E01B9D"/>
    <w:rsid w:val="00E04F5E"/>
    <w:rsid w:val="00E0522E"/>
    <w:rsid w:val="00E120F4"/>
    <w:rsid w:val="00E155F9"/>
    <w:rsid w:val="00E17172"/>
    <w:rsid w:val="00E3181C"/>
    <w:rsid w:val="00E3280A"/>
    <w:rsid w:val="00E372AF"/>
    <w:rsid w:val="00E37D68"/>
    <w:rsid w:val="00E403BC"/>
    <w:rsid w:val="00E40EAE"/>
    <w:rsid w:val="00E436AC"/>
    <w:rsid w:val="00E44FF8"/>
    <w:rsid w:val="00E5066A"/>
    <w:rsid w:val="00E52CF9"/>
    <w:rsid w:val="00E601AD"/>
    <w:rsid w:val="00E63F34"/>
    <w:rsid w:val="00E6715A"/>
    <w:rsid w:val="00E75DC9"/>
    <w:rsid w:val="00E81610"/>
    <w:rsid w:val="00E84910"/>
    <w:rsid w:val="00E85B28"/>
    <w:rsid w:val="00E91976"/>
    <w:rsid w:val="00E947A6"/>
    <w:rsid w:val="00E97FC7"/>
    <w:rsid w:val="00EA0690"/>
    <w:rsid w:val="00EA3956"/>
    <w:rsid w:val="00EA5571"/>
    <w:rsid w:val="00EB4CC4"/>
    <w:rsid w:val="00EB763C"/>
    <w:rsid w:val="00EC02A5"/>
    <w:rsid w:val="00EC176B"/>
    <w:rsid w:val="00EC33CD"/>
    <w:rsid w:val="00EC5BE5"/>
    <w:rsid w:val="00EC755D"/>
    <w:rsid w:val="00EC7982"/>
    <w:rsid w:val="00ED1851"/>
    <w:rsid w:val="00ED2650"/>
    <w:rsid w:val="00ED721A"/>
    <w:rsid w:val="00EE316E"/>
    <w:rsid w:val="00EE393D"/>
    <w:rsid w:val="00EF01CF"/>
    <w:rsid w:val="00EF57FC"/>
    <w:rsid w:val="00EF664E"/>
    <w:rsid w:val="00EF6A66"/>
    <w:rsid w:val="00EF7AF9"/>
    <w:rsid w:val="00F01495"/>
    <w:rsid w:val="00F01EE6"/>
    <w:rsid w:val="00F06950"/>
    <w:rsid w:val="00F10138"/>
    <w:rsid w:val="00F12FEA"/>
    <w:rsid w:val="00F13F92"/>
    <w:rsid w:val="00F22ECA"/>
    <w:rsid w:val="00F240E8"/>
    <w:rsid w:val="00F244FA"/>
    <w:rsid w:val="00F311E8"/>
    <w:rsid w:val="00F3363A"/>
    <w:rsid w:val="00F366A2"/>
    <w:rsid w:val="00F44F43"/>
    <w:rsid w:val="00F450E1"/>
    <w:rsid w:val="00F50DF4"/>
    <w:rsid w:val="00F57AFE"/>
    <w:rsid w:val="00F6278E"/>
    <w:rsid w:val="00F63C41"/>
    <w:rsid w:val="00F63E96"/>
    <w:rsid w:val="00F701E3"/>
    <w:rsid w:val="00F71F8C"/>
    <w:rsid w:val="00F80362"/>
    <w:rsid w:val="00F80D2E"/>
    <w:rsid w:val="00F8143B"/>
    <w:rsid w:val="00F85B7B"/>
    <w:rsid w:val="00F86AD4"/>
    <w:rsid w:val="00F90DD9"/>
    <w:rsid w:val="00F92EE4"/>
    <w:rsid w:val="00F97EC0"/>
    <w:rsid w:val="00FA0113"/>
    <w:rsid w:val="00FA12B2"/>
    <w:rsid w:val="00FA7610"/>
    <w:rsid w:val="00FB02BD"/>
    <w:rsid w:val="00FB2ED0"/>
    <w:rsid w:val="00FB398F"/>
    <w:rsid w:val="00FB4173"/>
    <w:rsid w:val="00FB4EF8"/>
    <w:rsid w:val="00FB6692"/>
    <w:rsid w:val="00FB78DD"/>
    <w:rsid w:val="00FC125E"/>
    <w:rsid w:val="00FC3D6D"/>
    <w:rsid w:val="00FC3EF3"/>
    <w:rsid w:val="00FD2049"/>
    <w:rsid w:val="00FD2140"/>
    <w:rsid w:val="00FD5BDE"/>
    <w:rsid w:val="00FD68EC"/>
    <w:rsid w:val="00FE0476"/>
    <w:rsid w:val="00FE24A5"/>
    <w:rsid w:val="00FE31E5"/>
    <w:rsid w:val="00FF1885"/>
    <w:rsid w:val="00FF18EC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B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5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n/MethodologicalDetails?m=229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n/KeyFiguresList?s=52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n/8.CYSTAT-DB/8.CYSTAT-DB__Trade__Wholesal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n/SubthemeStatistics?s=5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C298-D368-4D30-8DE6-EBB9051C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4408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128</cp:revision>
  <cp:lastPrinted>2025-06-13T07:53:00Z</cp:lastPrinted>
  <dcterms:created xsi:type="dcterms:W3CDTF">2023-12-20T13:54:00Z</dcterms:created>
  <dcterms:modified xsi:type="dcterms:W3CDTF">2025-06-13T07:54:00Z</dcterms:modified>
</cp:coreProperties>
</file>