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B3283" w14:textId="3E1E455E" w:rsidR="007437AB" w:rsidRDefault="007437AB" w:rsidP="000E4CB0">
      <w:pPr>
        <w:jc w:val="both"/>
        <w:rPr>
          <w:rFonts w:ascii="Verdana" w:hAnsi="Verdana" w:cs="Arial"/>
          <w:sz w:val="18"/>
          <w:szCs w:val="18"/>
          <w:lang w:val="el-GR"/>
        </w:rPr>
      </w:pPr>
    </w:p>
    <w:p w14:paraId="2A57EF75" w14:textId="0A8A19D9" w:rsidR="001712CF" w:rsidRDefault="001712CF" w:rsidP="000E4CB0">
      <w:pPr>
        <w:jc w:val="both"/>
        <w:rPr>
          <w:rFonts w:ascii="Verdana" w:hAnsi="Verdana" w:cs="Arial"/>
          <w:sz w:val="18"/>
          <w:szCs w:val="18"/>
          <w:lang w:val="el-GR"/>
        </w:rPr>
      </w:pPr>
    </w:p>
    <w:p w14:paraId="7DEE1743" w14:textId="4D4A9314" w:rsidR="00794664" w:rsidRPr="00A12E81" w:rsidRDefault="00D84C04" w:rsidP="00794664">
      <w:pPr>
        <w:jc w:val="right"/>
        <w:rPr>
          <w:rFonts w:ascii="Verdana" w:eastAsia="Malgun Gothic" w:hAnsi="Verdana" w:cs="Arial"/>
          <w:sz w:val="18"/>
          <w:szCs w:val="18"/>
          <w:lang w:val="el-GR"/>
        </w:rPr>
      </w:pPr>
      <w:r w:rsidRPr="00C91132">
        <w:rPr>
          <w:rFonts w:ascii="Verdana" w:hAnsi="Verdana" w:cs="Arial"/>
          <w:sz w:val="18"/>
          <w:szCs w:val="18"/>
          <w:lang w:val="el-GR"/>
        </w:rPr>
        <w:t>1</w:t>
      </w:r>
      <w:r w:rsidR="007470DD" w:rsidRPr="00E85349">
        <w:rPr>
          <w:rFonts w:ascii="Verdana" w:hAnsi="Verdana" w:cs="Arial"/>
          <w:sz w:val="18"/>
          <w:szCs w:val="18"/>
          <w:lang w:val="el-GR"/>
        </w:rPr>
        <w:t>5</w:t>
      </w:r>
      <w:r w:rsidR="00033562">
        <w:rPr>
          <w:rFonts w:ascii="Verdana" w:hAnsi="Verdana" w:cs="Arial"/>
          <w:sz w:val="18"/>
          <w:szCs w:val="18"/>
          <w:lang w:val="el-GR"/>
        </w:rPr>
        <w:t xml:space="preserve"> </w:t>
      </w:r>
      <w:r w:rsidR="007470DD">
        <w:rPr>
          <w:rFonts w:ascii="Verdana" w:hAnsi="Verdana" w:cs="Arial"/>
          <w:sz w:val="18"/>
          <w:szCs w:val="18"/>
          <w:lang w:val="el-GR"/>
        </w:rPr>
        <w:t>Δεκεμβρίου</w:t>
      </w:r>
      <w:r w:rsidR="00794664">
        <w:rPr>
          <w:rFonts w:ascii="Verdana" w:hAnsi="Verdana" w:cs="Arial"/>
          <w:sz w:val="18"/>
          <w:szCs w:val="18"/>
          <w:lang w:val="el-GR"/>
        </w:rPr>
        <w:t>,</w:t>
      </w:r>
      <w:r w:rsidR="00794664">
        <w:rPr>
          <w:rFonts w:ascii="Verdana" w:eastAsia="Malgun Gothic" w:hAnsi="Verdana" w:cs="Arial"/>
          <w:sz w:val="18"/>
          <w:szCs w:val="18"/>
          <w:lang w:val="el-GR"/>
        </w:rPr>
        <w:t xml:space="preserve"> 202</w:t>
      </w:r>
      <w:r>
        <w:rPr>
          <w:rFonts w:ascii="Verdana" w:eastAsia="Malgun Gothic" w:hAnsi="Verdana" w:cs="Arial"/>
          <w:sz w:val="18"/>
          <w:szCs w:val="18"/>
          <w:lang w:val="el-GR"/>
        </w:rPr>
        <w:t>5</w:t>
      </w:r>
    </w:p>
    <w:p w14:paraId="31FF5F19" w14:textId="262835F1" w:rsidR="00794664" w:rsidRDefault="00794664" w:rsidP="00794664">
      <w:pPr>
        <w:jc w:val="center"/>
        <w:rPr>
          <w:rFonts w:ascii="Verdana" w:eastAsia="Malgun Gothic" w:hAnsi="Verdana" w:cs="Arial"/>
          <w:b/>
          <w:sz w:val="18"/>
          <w:szCs w:val="18"/>
          <w:lang w:val="el-GR"/>
        </w:rPr>
      </w:pPr>
    </w:p>
    <w:p w14:paraId="6FAA1B8A" w14:textId="77777777" w:rsidR="00794664" w:rsidRPr="00A12E81" w:rsidRDefault="00794664" w:rsidP="00794664">
      <w:pPr>
        <w:jc w:val="center"/>
        <w:rPr>
          <w:rFonts w:ascii="Verdana" w:eastAsia="Malgun Gothic" w:hAnsi="Verdana" w:cs="Arial"/>
          <w:b/>
          <w:sz w:val="18"/>
          <w:szCs w:val="18"/>
          <w:lang w:val="el-GR"/>
        </w:rPr>
      </w:pPr>
    </w:p>
    <w:p w14:paraId="2CF0225E" w14:textId="77777777" w:rsidR="00794664" w:rsidRPr="00A12E81" w:rsidRDefault="00794664" w:rsidP="00794664">
      <w:pPr>
        <w:jc w:val="center"/>
        <w:rPr>
          <w:rFonts w:ascii="Verdana" w:eastAsia="Malgun Gothic" w:hAnsi="Verdana" w:cs="Arial"/>
          <w:b/>
          <w:sz w:val="24"/>
          <w:szCs w:val="24"/>
          <w:lang w:val="el-GR"/>
        </w:rPr>
      </w:pPr>
      <w:r w:rsidRPr="00A12E81">
        <w:rPr>
          <w:rFonts w:ascii="Verdana" w:eastAsia="Malgun Gothic" w:hAnsi="Verdana" w:cs="Arial"/>
          <w:b/>
          <w:sz w:val="24"/>
          <w:szCs w:val="24"/>
          <w:lang w:val="el-GR"/>
        </w:rPr>
        <w:t>ΔΕΛΤΙΟ ΤΥΠΟΥ</w:t>
      </w:r>
    </w:p>
    <w:p w14:paraId="1363334A" w14:textId="6BEF77CA" w:rsidR="00794664" w:rsidRDefault="00794664" w:rsidP="00794664">
      <w:pPr>
        <w:rPr>
          <w:rFonts w:ascii="Verdana" w:eastAsia="Malgun Gothic" w:hAnsi="Verdana" w:cs="Arial"/>
          <w:sz w:val="18"/>
          <w:szCs w:val="18"/>
          <w:lang w:val="el-GR"/>
        </w:rPr>
      </w:pPr>
    </w:p>
    <w:p w14:paraId="5CD3678F" w14:textId="77777777" w:rsidR="00794664" w:rsidRPr="00A12E81" w:rsidRDefault="00794664" w:rsidP="00794664">
      <w:pPr>
        <w:rPr>
          <w:rFonts w:ascii="Verdana" w:eastAsia="Malgun Gothic" w:hAnsi="Verdana" w:cs="Arial"/>
          <w:sz w:val="18"/>
          <w:szCs w:val="18"/>
          <w:lang w:val="el-GR"/>
        </w:rPr>
      </w:pPr>
    </w:p>
    <w:p w14:paraId="5FB347C4" w14:textId="35F1D3E9" w:rsidR="00794664" w:rsidRPr="00A12E81" w:rsidRDefault="00794664" w:rsidP="00794664">
      <w:pPr>
        <w:pStyle w:val="Heading6"/>
        <w:tabs>
          <w:tab w:val="clear" w:pos="6840"/>
        </w:tabs>
        <w:jc w:val="left"/>
        <w:rPr>
          <w:rFonts w:ascii="Verdana" w:eastAsia="Malgun Gothic" w:hAnsi="Verdana" w:cs="Arial"/>
          <w:szCs w:val="22"/>
        </w:rPr>
      </w:pPr>
      <w:r w:rsidRPr="00A12E81">
        <w:rPr>
          <w:rFonts w:ascii="Verdana" w:hAnsi="Verdana"/>
          <w:b w:val="0"/>
          <w:szCs w:val="22"/>
          <w:shd w:val="clear" w:color="auto" w:fill="FFFFFF"/>
        </w:rPr>
        <w:t xml:space="preserve">ΔΕΙΚΤΗΣ ΑΞΙΑΣ </w:t>
      </w:r>
      <w:r>
        <w:rPr>
          <w:rFonts w:ascii="Verdana" w:hAnsi="Verdana"/>
          <w:b w:val="0"/>
          <w:szCs w:val="22"/>
          <w:shd w:val="clear" w:color="auto" w:fill="FFFFFF"/>
        </w:rPr>
        <w:t xml:space="preserve">ΚΥΚΛΟΥ ΕΡΓΑΣΙΩΝ ΣΤΟΥΣ ΚΛΑΔΟΥΣ ΤΟΥ ΧΟΝΔΡΙΚΟΥ </w:t>
      </w:r>
      <w:r w:rsidRPr="00153F88">
        <w:rPr>
          <w:rFonts w:ascii="Verdana" w:hAnsi="Verdana"/>
          <w:b w:val="0"/>
          <w:szCs w:val="22"/>
          <w:shd w:val="clear" w:color="auto" w:fill="FFFFFF"/>
        </w:rPr>
        <w:t>ΕΜΠΟΡΙΟΥ</w:t>
      </w:r>
      <w:r>
        <w:rPr>
          <w:rFonts w:ascii="Verdana" w:hAnsi="Verdana"/>
          <w:b w:val="0"/>
          <w:szCs w:val="22"/>
          <w:shd w:val="clear" w:color="auto" w:fill="FFFFFF"/>
        </w:rPr>
        <w:t xml:space="preserve"> ΚΑΙ ΤΟΥ ΕΜΠΟΡΙΟΥ/</w:t>
      </w:r>
      <w:r w:rsidRPr="00153F88">
        <w:rPr>
          <w:rFonts w:ascii="Verdana" w:hAnsi="Verdana"/>
          <w:b w:val="0"/>
          <w:szCs w:val="22"/>
          <w:shd w:val="clear" w:color="auto" w:fill="FFFFFF"/>
        </w:rPr>
        <w:t>ΕΠΙΣΚΕΥΗΣ ΜΗΧΑΝΟΚΙΝΗΤΩΝ ΟΧΗΜΑΤΩΝ</w:t>
      </w:r>
      <w:r w:rsidRPr="00A12E81">
        <w:rPr>
          <w:rFonts w:ascii="Verdana" w:hAnsi="Verdana"/>
          <w:b w:val="0"/>
          <w:szCs w:val="22"/>
          <w:shd w:val="clear" w:color="auto" w:fill="FFFFFF"/>
        </w:rPr>
        <w:t>:</w:t>
      </w:r>
      <w:r w:rsidRPr="00A12E81">
        <w:rPr>
          <w:rFonts w:ascii="Verdana" w:hAnsi="Verdana"/>
          <w:szCs w:val="22"/>
          <w:shd w:val="clear" w:color="auto" w:fill="FFFFFF"/>
        </w:rPr>
        <w:t xml:space="preserve"> </w:t>
      </w:r>
      <w:r w:rsidR="007470DD">
        <w:rPr>
          <w:rFonts w:ascii="Verdana" w:hAnsi="Verdana"/>
          <w:szCs w:val="22"/>
          <w:shd w:val="clear" w:color="auto" w:fill="FFFFFF"/>
        </w:rPr>
        <w:t>3</w:t>
      </w:r>
      <w:r>
        <w:rPr>
          <w:rFonts w:ascii="Verdana" w:hAnsi="Verdana"/>
          <w:szCs w:val="22"/>
          <w:shd w:val="clear" w:color="auto" w:fill="FFFFFF"/>
        </w:rPr>
        <w:t>ο</w:t>
      </w:r>
      <w:r w:rsidRPr="00A12E81">
        <w:rPr>
          <w:rFonts w:ascii="Verdana" w:hAnsi="Verdana"/>
          <w:szCs w:val="22"/>
          <w:shd w:val="clear" w:color="auto" w:fill="FFFFFF"/>
        </w:rPr>
        <w:t xml:space="preserve"> ΤΡΙΜΗΝΟ 202</w:t>
      </w:r>
      <w:r w:rsidR="00BE1BF1">
        <w:rPr>
          <w:rFonts w:ascii="Verdana" w:hAnsi="Verdana"/>
          <w:szCs w:val="22"/>
          <w:shd w:val="clear" w:color="auto" w:fill="FFFFFF"/>
        </w:rPr>
        <w:t>5</w:t>
      </w:r>
    </w:p>
    <w:p w14:paraId="7BD518A5" w14:textId="3538B76F" w:rsidR="00794664" w:rsidRDefault="00794664" w:rsidP="00794664">
      <w:pPr>
        <w:rPr>
          <w:rFonts w:ascii="Verdana" w:eastAsia="Malgun Gothic" w:hAnsi="Verdana" w:cs="Arial"/>
          <w:sz w:val="18"/>
          <w:szCs w:val="18"/>
          <w:lang w:val="el-GR"/>
        </w:rPr>
      </w:pPr>
    </w:p>
    <w:p w14:paraId="5BE1F909" w14:textId="77777777" w:rsidR="00794664" w:rsidRPr="00CF640D" w:rsidRDefault="00794664" w:rsidP="00794664">
      <w:pPr>
        <w:rPr>
          <w:rFonts w:ascii="Verdana" w:eastAsia="Malgun Gothic" w:hAnsi="Verdana" w:cs="Arial"/>
          <w:sz w:val="18"/>
          <w:szCs w:val="18"/>
          <w:lang w:val="el-GR"/>
        </w:rPr>
      </w:pPr>
    </w:p>
    <w:p w14:paraId="391F681B" w14:textId="71312F6A" w:rsidR="00794664" w:rsidRPr="0039343D" w:rsidRDefault="00794664" w:rsidP="00794664">
      <w:pPr>
        <w:jc w:val="center"/>
        <w:rPr>
          <w:rFonts w:ascii="Verdana" w:eastAsia="Malgun Gothic" w:hAnsi="Verdana" w:cs="Arial"/>
          <w:b/>
          <w:lang w:val="el-GR"/>
        </w:rPr>
      </w:pPr>
      <w:r w:rsidRPr="0039343D">
        <w:rPr>
          <w:rFonts w:ascii="Verdana" w:eastAsia="Malgun Gothic" w:hAnsi="Verdana" w:cs="Arial"/>
          <w:b/>
          <w:lang w:val="el-GR"/>
        </w:rPr>
        <w:t xml:space="preserve">Ετήσια </w:t>
      </w:r>
      <w:r w:rsidR="001F0CBF" w:rsidRPr="0039343D">
        <w:rPr>
          <w:rFonts w:ascii="Verdana" w:eastAsia="Malgun Gothic" w:hAnsi="Verdana" w:cs="Arial"/>
          <w:b/>
          <w:lang w:val="el-GR"/>
        </w:rPr>
        <w:t>Μ</w:t>
      </w:r>
      <w:r w:rsidRPr="0039343D">
        <w:rPr>
          <w:rFonts w:ascii="Verdana" w:eastAsia="Malgun Gothic" w:hAnsi="Verdana" w:cs="Arial"/>
          <w:b/>
          <w:lang w:val="el-GR"/>
        </w:rPr>
        <w:t xml:space="preserve">εταβολή </w:t>
      </w:r>
      <w:r w:rsidR="00130C5F" w:rsidRPr="0039343D">
        <w:rPr>
          <w:rFonts w:ascii="Verdana" w:eastAsia="Malgun Gothic" w:hAnsi="Verdana" w:cs="Arial"/>
          <w:b/>
          <w:lang w:val="el-GR"/>
        </w:rPr>
        <w:t>+</w:t>
      </w:r>
      <w:r w:rsidR="00A57B0D" w:rsidRPr="0039343D">
        <w:rPr>
          <w:rFonts w:ascii="Verdana" w:eastAsia="Malgun Gothic" w:hAnsi="Verdana" w:cs="Arial"/>
          <w:b/>
          <w:lang w:val="el-GR"/>
        </w:rPr>
        <w:t>4</w:t>
      </w:r>
      <w:r w:rsidRPr="0039343D">
        <w:rPr>
          <w:rFonts w:ascii="Verdana" w:eastAsia="Malgun Gothic" w:hAnsi="Verdana" w:cs="Arial"/>
          <w:b/>
          <w:lang w:val="el-GR"/>
        </w:rPr>
        <w:t>,</w:t>
      </w:r>
      <w:r w:rsidR="0039343D" w:rsidRPr="0039343D">
        <w:rPr>
          <w:rFonts w:ascii="Verdana" w:eastAsia="Malgun Gothic" w:hAnsi="Verdana" w:cs="Arial"/>
          <w:b/>
          <w:lang w:val="el-GR"/>
        </w:rPr>
        <w:t>8</w:t>
      </w:r>
      <w:r w:rsidRPr="0039343D">
        <w:rPr>
          <w:rFonts w:ascii="Verdana" w:eastAsia="Malgun Gothic" w:hAnsi="Verdana" w:cs="Arial"/>
          <w:b/>
          <w:lang w:val="el-GR"/>
        </w:rPr>
        <w:t>% στο Χονδρικό Εμπόριο και +</w:t>
      </w:r>
      <w:r w:rsidR="003151B6" w:rsidRPr="0039343D">
        <w:rPr>
          <w:rFonts w:ascii="Verdana" w:eastAsia="Malgun Gothic" w:hAnsi="Verdana" w:cs="Arial"/>
          <w:b/>
          <w:lang w:val="el-GR"/>
        </w:rPr>
        <w:t>7</w:t>
      </w:r>
      <w:r w:rsidRPr="0039343D">
        <w:rPr>
          <w:rFonts w:ascii="Verdana" w:eastAsia="Malgun Gothic" w:hAnsi="Verdana" w:cs="Arial"/>
          <w:b/>
          <w:lang w:val="el-GR"/>
        </w:rPr>
        <w:t>,</w:t>
      </w:r>
      <w:r w:rsidR="0039343D" w:rsidRPr="0039343D">
        <w:rPr>
          <w:rFonts w:ascii="Verdana" w:eastAsia="Malgun Gothic" w:hAnsi="Verdana" w:cs="Arial"/>
          <w:b/>
          <w:lang w:val="el-GR"/>
        </w:rPr>
        <w:t>6</w:t>
      </w:r>
      <w:r w:rsidRPr="0039343D">
        <w:rPr>
          <w:rFonts w:ascii="Verdana" w:eastAsia="Malgun Gothic" w:hAnsi="Verdana" w:cs="Arial"/>
          <w:b/>
          <w:lang w:val="el-GR"/>
        </w:rPr>
        <w:t>% στα Οχήματα</w:t>
      </w:r>
    </w:p>
    <w:p w14:paraId="04E99886" w14:textId="071BB4B3" w:rsidR="00794664" w:rsidRPr="006C7981" w:rsidRDefault="00794664" w:rsidP="00794664">
      <w:pPr>
        <w:jc w:val="center"/>
        <w:rPr>
          <w:rFonts w:ascii="Verdana" w:eastAsia="Malgun Gothic" w:hAnsi="Verdana" w:cs="Arial"/>
          <w:b/>
          <w:sz w:val="18"/>
          <w:szCs w:val="18"/>
          <w:lang w:val="el-GR"/>
        </w:rPr>
      </w:pPr>
    </w:p>
    <w:p w14:paraId="4CEFF61E" w14:textId="77777777" w:rsidR="00794664" w:rsidRPr="006C7981" w:rsidRDefault="00794664" w:rsidP="00794664">
      <w:pPr>
        <w:jc w:val="center"/>
        <w:rPr>
          <w:rFonts w:ascii="Verdana" w:eastAsia="Malgun Gothic" w:hAnsi="Verdana" w:cs="Arial"/>
          <w:b/>
          <w:sz w:val="18"/>
          <w:szCs w:val="18"/>
          <w:lang w:val="el-GR"/>
        </w:rPr>
      </w:pPr>
    </w:p>
    <w:p w14:paraId="108CEF73" w14:textId="657DA3A1" w:rsidR="00794664" w:rsidRPr="003151B6" w:rsidRDefault="00794664" w:rsidP="00794664">
      <w:pPr>
        <w:jc w:val="both"/>
        <w:rPr>
          <w:rFonts w:ascii="Verdana" w:hAnsi="Verdana"/>
          <w:sz w:val="18"/>
          <w:szCs w:val="18"/>
          <w:shd w:val="clear" w:color="auto" w:fill="FFFFFF"/>
          <w:lang w:val="el-GR"/>
        </w:rPr>
      </w:pPr>
      <w:r w:rsidRPr="003151B6">
        <w:rPr>
          <w:rFonts w:ascii="Verdana" w:hAnsi="Verdana"/>
          <w:sz w:val="18"/>
          <w:szCs w:val="18"/>
          <w:shd w:val="clear" w:color="auto" w:fill="FFFFFF"/>
          <w:lang w:val="el-GR"/>
        </w:rPr>
        <w:t>Ο Δείκτης Αξίας Κύκλου Εργασιών Χονδρικού Εμπορίου (Κλάδος 46) κατά το</w:t>
      </w:r>
      <w:r w:rsidR="00BE1BF1" w:rsidRPr="003151B6">
        <w:rPr>
          <w:rFonts w:ascii="Verdana" w:hAnsi="Verdana"/>
          <w:sz w:val="18"/>
          <w:szCs w:val="18"/>
          <w:shd w:val="clear" w:color="auto" w:fill="FFFFFF"/>
          <w:lang w:val="el-GR"/>
        </w:rPr>
        <w:t xml:space="preserve"> </w:t>
      </w:r>
      <w:r w:rsidR="007470DD" w:rsidRPr="003151B6">
        <w:rPr>
          <w:rFonts w:ascii="Verdana" w:hAnsi="Verdana"/>
          <w:sz w:val="18"/>
          <w:szCs w:val="18"/>
          <w:shd w:val="clear" w:color="auto" w:fill="FFFFFF"/>
          <w:lang w:val="el-GR"/>
        </w:rPr>
        <w:t xml:space="preserve">τρίτο </w:t>
      </w:r>
      <w:r w:rsidRPr="003151B6">
        <w:rPr>
          <w:rFonts w:ascii="Verdana" w:hAnsi="Verdana"/>
          <w:sz w:val="18"/>
          <w:szCs w:val="18"/>
          <w:shd w:val="clear" w:color="auto" w:fill="FFFFFF"/>
          <w:lang w:val="el-GR"/>
        </w:rPr>
        <w:t>τρίμηνο</w:t>
      </w:r>
      <w:r w:rsidR="00111957" w:rsidRPr="003151B6">
        <w:rPr>
          <w:rFonts w:ascii="Verdana" w:hAnsi="Verdana"/>
          <w:sz w:val="18"/>
          <w:szCs w:val="18"/>
          <w:shd w:val="clear" w:color="auto" w:fill="FFFFFF"/>
          <w:lang w:val="el-GR"/>
        </w:rPr>
        <w:t xml:space="preserve"> </w:t>
      </w:r>
      <w:r w:rsidRPr="003151B6">
        <w:rPr>
          <w:rFonts w:ascii="Verdana" w:hAnsi="Verdana"/>
          <w:sz w:val="18"/>
          <w:szCs w:val="18"/>
          <w:shd w:val="clear" w:color="auto" w:fill="FFFFFF"/>
          <w:lang w:val="el-GR"/>
        </w:rPr>
        <w:t>του</w:t>
      </w:r>
      <w:r w:rsidR="00111957" w:rsidRPr="003151B6">
        <w:rPr>
          <w:rFonts w:ascii="Verdana" w:hAnsi="Verdana"/>
          <w:sz w:val="18"/>
          <w:szCs w:val="18"/>
          <w:shd w:val="clear" w:color="auto" w:fill="FFFFFF"/>
          <w:lang w:val="el-GR"/>
        </w:rPr>
        <w:t xml:space="preserve"> </w:t>
      </w:r>
      <w:r w:rsidRPr="003151B6">
        <w:rPr>
          <w:rFonts w:ascii="Verdana" w:hAnsi="Verdana"/>
          <w:sz w:val="18"/>
          <w:szCs w:val="18"/>
          <w:shd w:val="clear" w:color="auto" w:fill="FFFFFF"/>
          <w:lang w:val="el-GR"/>
        </w:rPr>
        <w:t>202</w:t>
      </w:r>
      <w:r w:rsidR="00BE1BF1" w:rsidRPr="003151B6">
        <w:rPr>
          <w:rFonts w:ascii="Verdana" w:hAnsi="Verdana"/>
          <w:sz w:val="18"/>
          <w:szCs w:val="18"/>
          <w:shd w:val="clear" w:color="auto" w:fill="FFFFFF"/>
          <w:lang w:val="el-GR"/>
        </w:rPr>
        <w:t>5</w:t>
      </w:r>
      <w:r w:rsidRPr="003151B6">
        <w:rPr>
          <w:rFonts w:ascii="Verdana" w:hAnsi="Verdana"/>
          <w:sz w:val="18"/>
          <w:szCs w:val="18"/>
          <w:shd w:val="clear" w:color="auto" w:fill="FFFFFF"/>
          <w:lang w:val="el-GR"/>
        </w:rPr>
        <w:t xml:space="preserve"> </w:t>
      </w:r>
      <w:r w:rsidR="00130C5F" w:rsidRPr="0039343D">
        <w:rPr>
          <w:rFonts w:ascii="Verdana" w:hAnsi="Verdana"/>
          <w:sz w:val="18"/>
          <w:szCs w:val="18"/>
          <w:shd w:val="clear" w:color="auto" w:fill="FFFFFF"/>
          <w:lang w:val="el-GR"/>
        </w:rPr>
        <w:t>αυξήθηκε</w:t>
      </w:r>
      <w:r w:rsidRPr="0039343D">
        <w:rPr>
          <w:rFonts w:ascii="Verdana" w:hAnsi="Verdana"/>
          <w:sz w:val="18"/>
          <w:szCs w:val="18"/>
          <w:shd w:val="clear" w:color="auto" w:fill="FFFFFF"/>
          <w:lang w:val="el-GR"/>
        </w:rPr>
        <w:t xml:space="preserve"> κατά </w:t>
      </w:r>
      <w:r w:rsidR="00A57B0D" w:rsidRPr="0039343D">
        <w:rPr>
          <w:rFonts w:ascii="Verdana" w:hAnsi="Verdana"/>
          <w:sz w:val="18"/>
          <w:szCs w:val="18"/>
          <w:shd w:val="clear" w:color="auto" w:fill="FFFFFF"/>
          <w:lang w:val="el-GR"/>
        </w:rPr>
        <w:t>4</w:t>
      </w:r>
      <w:r w:rsidRPr="0039343D">
        <w:rPr>
          <w:rFonts w:ascii="Verdana" w:hAnsi="Verdana"/>
          <w:sz w:val="18"/>
          <w:szCs w:val="18"/>
          <w:shd w:val="clear" w:color="auto" w:fill="FFFFFF"/>
          <w:lang w:val="el-GR"/>
        </w:rPr>
        <w:t>,</w:t>
      </w:r>
      <w:r w:rsidR="0039343D" w:rsidRPr="0039343D">
        <w:rPr>
          <w:rFonts w:ascii="Verdana" w:hAnsi="Verdana"/>
          <w:sz w:val="18"/>
          <w:szCs w:val="18"/>
          <w:shd w:val="clear" w:color="auto" w:fill="FFFFFF"/>
          <w:lang w:val="el-GR"/>
        </w:rPr>
        <w:t>8</w:t>
      </w:r>
      <w:r w:rsidRPr="0039343D">
        <w:rPr>
          <w:rFonts w:ascii="Verdana" w:hAnsi="Verdana"/>
          <w:sz w:val="18"/>
          <w:szCs w:val="18"/>
          <w:shd w:val="clear" w:color="auto" w:fill="FFFFFF"/>
          <w:lang w:val="el-GR"/>
        </w:rPr>
        <w:t xml:space="preserve">% σε σύγκριση </w:t>
      </w:r>
      <w:r w:rsidRPr="003151B6">
        <w:rPr>
          <w:rFonts w:ascii="Verdana" w:hAnsi="Verdana"/>
          <w:sz w:val="18"/>
          <w:szCs w:val="18"/>
          <w:shd w:val="clear" w:color="auto" w:fill="FFFFFF"/>
          <w:lang w:val="el-GR"/>
        </w:rPr>
        <w:t xml:space="preserve">με το αντίστοιχο τρίμηνο του προηγούμενου έτους. Κατά το ίδιο τρίμηνο, ο Δείκτης Αξίας Κύκλου Εργασιών Εμπορίου και Επισκευής Μηχανοκίνητων Οχημάτων (Κλάδος 45) </w:t>
      </w:r>
      <w:r w:rsidRPr="0039343D">
        <w:rPr>
          <w:rFonts w:ascii="Verdana" w:hAnsi="Verdana"/>
          <w:sz w:val="18"/>
          <w:szCs w:val="18"/>
          <w:shd w:val="clear" w:color="auto" w:fill="FFFFFF"/>
          <w:lang w:val="el-GR"/>
        </w:rPr>
        <w:t xml:space="preserve">αυξήθηκε κατά </w:t>
      </w:r>
      <w:r w:rsidR="003151B6" w:rsidRPr="0039343D">
        <w:rPr>
          <w:rFonts w:ascii="Verdana" w:hAnsi="Verdana"/>
          <w:sz w:val="18"/>
          <w:szCs w:val="18"/>
          <w:shd w:val="clear" w:color="auto" w:fill="FFFFFF"/>
          <w:lang w:val="el-GR"/>
        </w:rPr>
        <w:t>7</w:t>
      </w:r>
      <w:r w:rsidRPr="0039343D">
        <w:rPr>
          <w:rFonts w:ascii="Verdana" w:hAnsi="Verdana"/>
          <w:sz w:val="18"/>
          <w:szCs w:val="18"/>
          <w:shd w:val="clear" w:color="auto" w:fill="FFFFFF"/>
          <w:lang w:val="el-GR"/>
        </w:rPr>
        <w:t>,</w:t>
      </w:r>
      <w:r w:rsidR="0039343D" w:rsidRPr="0039343D">
        <w:rPr>
          <w:rFonts w:ascii="Verdana" w:hAnsi="Verdana"/>
          <w:sz w:val="18"/>
          <w:szCs w:val="18"/>
          <w:shd w:val="clear" w:color="auto" w:fill="FFFFFF"/>
          <w:lang w:val="el-GR"/>
        </w:rPr>
        <w:t>6</w:t>
      </w:r>
      <w:r w:rsidRPr="0039343D">
        <w:rPr>
          <w:rFonts w:ascii="Verdana" w:hAnsi="Verdana"/>
          <w:sz w:val="18"/>
          <w:szCs w:val="18"/>
          <w:shd w:val="clear" w:color="auto" w:fill="FFFFFF"/>
          <w:lang w:val="el-GR"/>
        </w:rPr>
        <w:t xml:space="preserve">% σε </w:t>
      </w:r>
      <w:r w:rsidRPr="003151B6">
        <w:rPr>
          <w:rFonts w:ascii="Verdana" w:hAnsi="Verdana"/>
          <w:sz w:val="18"/>
          <w:szCs w:val="18"/>
          <w:shd w:val="clear" w:color="auto" w:fill="FFFFFF"/>
          <w:lang w:val="el-GR"/>
        </w:rPr>
        <w:t>σύγκριση με το αντίστοιχο τρίμηνο του προηγούμενου έτους.</w:t>
      </w:r>
    </w:p>
    <w:p w14:paraId="09CACD0C" w14:textId="77777777" w:rsidR="00794664" w:rsidRPr="00CF640D" w:rsidRDefault="00794664" w:rsidP="00794664">
      <w:pPr>
        <w:jc w:val="both"/>
        <w:rPr>
          <w:rFonts w:ascii="Verdana" w:hAnsi="Verdana"/>
          <w:sz w:val="18"/>
          <w:szCs w:val="18"/>
          <w:shd w:val="clear" w:color="auto" w:fill="FFFFFF"/>
          <w:lang w:val="el-GR"/>
        </w:rPr>
      </w:pPr>
    </w:p>
    <w:p w14:paraId="4428F6AA" w14:textId="433F9AC4" w:rsidR="00794664" w:rsidRPr="00F220D7" w:rsidRDefault="00794664" w:rsidP="00BB7ED8">
      <w:pPr>
        <w:jc w:val="center"/>
        <w:rPr>
          <w:rFonts w:ascii="Verdana" w:hAnsi="Verdana"/>
          <w:sz w:val="18"/>
          <w:szCs w:val="18"/>
          <w:shd w:val="clear" w:color="auto" w:fill="FFFFFF"/>
          <w:lang w:val="el-GR"/>
        </w:rPr>
      </w:pPr>
    </w:p>
    <w:p w14:paraId="728B9F29" w14:textId="0D008D17" w:rsidR="00794664" w:rsidRDefault="00DE4E6E" w:rsidP="00794664">
      <w:pPr>
        <w:jc w:val="center"/>
        <w:rPr>
          <w:rFonts w:ascii="Verdana" w:eastAsia="Malgun Gothic" w:hAnsi="Verdana" w:cs="Arial"/>
          <w:sz w:val="18"/>
          <w:szCs w:val="18"/>
          <w:lang w:val="el-GR"/>
        </w:rPr>
      </w:pPr>
      <w:r>
        <w:rPr>
          <w:rFonts w:ascii="Verdana" w:eastAsia="Malgun Gothic" w:hAnsi="Verdana" w:cs="Arial"/>
          <w:noProof/>
          <w:sz w:val="18"/>
          <w:szCs w:val="18"/>
          <w:lang w:val="el-GR"/>
        </w:rPr>
        <w:drawing>
          <wp:inline distT="0" distB="0" distL="0" distR="0" wp14:anchorId="67123A46" wp14:editId="4F4B0B62">
            <wp:extent cx="6078220" cy="4395470"/>
            <wp:effectExtent l="0" t="0" r="0" b="5080"/>
            <wp:docPr id="20905752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4395470"/>
                    </a:xfrm>
                    <a:prstGeom prst="rect">
                      <a:avLst/>
                    </a:prstGeom>
                    <a:noFill/>
                  </pic:spPr>
                </pic:pic>
              </a:graphicData>
            </a:graphic>
          </wp:inline>
        </w:drawing>
      </w:r>
    </w:p>
    <w:p w14:paraId="7165EC11" w14:textId="653060B5" w:rsidR="00794664" w:rsidRDefault="00794664" w:rsidP="00794664">
      <w:pPr>
        <w:rPr>
          <w:rFonts w:ascii="Verdana" w:eastAsia="Malgun Gothic" w:hAnsi="Verdana" w:cs="Arial"/>
          <w:sz w:val="18"/>
          <w:szCs w:val="18"/>
          <w:lang w:val="el-GR"/>
        </w:rPr>
      </w:pPr>
    </w:p>
    <w:p w14:paraId="10DB29F0" w14:textId="42E48925" w:rsidR="00EF3CF2" w:rsidRDefault="00EF3CF2" w:rsidP="00794664">
      <w:pPr>
        <w:rPr>
          <w:rFonts w:ascii="Verdana" w:eastAsia="Malgun Gothic" w:hAnsi="Verdana" w:cs="Arial"/>
          <w:sz w:val="18"/>
          <w:szCs w:val="18"/>
          <w:lang w:val="el-GR"/>
        </w:rPr>
      </w:pPr>
    </w:p>
    <w:p w14:paraId="770F9847" w14:textId="77777777" w:rsidR="00EF3CF2" w:rsidRDefault="00EF3CF2" w:rsidP="00794664">
      <w:pPr>
        <w:rPr>
          <w:rFonts w:ascii="Verdana" w:eastAsia="Malgun Gothic" w:hAnsi="Verdana" w:cs="Arial"/>
          <w:sz w:val="18"/>
          <w:szCs w:val="18"/>
          <w:lang w:val="el-G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3231"/>
        <w:gridCol w:w="1468"/>
        <w:gridCol w:w="273"/>
        <w:gridCol w:w="1613"/>
        <w:gridCol w:w="1559"/>
      </w:tblGrid>
      <w:tr w:rsidR="00057236" w:rsidRPr="00057236" w14:paraId="32C66796" w14:textId="77777777" w:rsidTr="00057236">
        <w:trPr>
          <w:trHeight w:val="227"/>
          <w:jc w:val="center"/>
        </w:trPr>
        <w:tc>
          <w:tcPr>
            <w:tcW w:w="1212" w:type="dxa"/>
            <w:tcBorders>
              <w:top w:val="nil"/>
              <w:left w:val="nil"/>
              <w:bottom w:val="single" w:sz="4" w:space="0" w:color="366092"/>
              <w:right w:val="nil"/>
            </w:tcBorders>
            <w:vAlign w:val="center"/>
          </w:tcPr>
          <w:p w14:paraId="027E50EA" w14:textId="77777777" w:rsidR="00DF2137" w:rsidRPr="00057236" w:rsidRDefault="00DF2137" w:rsidP="000A0A7C">
            <w:pPr>
              <w:rPr>
                <w:rFonts w:ascii="Verdana" w:eastAsia="Malgun Gothic" w:hAnsi="Verdana" w:cs="Arial"/>
                <w:b/>
                <w:color w:val="366092"/>
                <w:sz w:val="18"/>
                <w:szCs w:val="18"/>
                <w:lang w:val="el-GR"/>
              </w:rPr>
            </w:pPr>
            <w:r w:rsidRPr="00057236">
              <w:rPr>
                <w:rFonts w:ascii="Verdana" w:eastAsia="Malgun Gothic" w:hAnsi="Verdana" w:cs="Arial"/>
                <w:b/>
                <w:color w:val="366092"/>
                <w:sz w:val="18"/>
                <w:szCs w:val="18"/>
                <w:lang w:val="el-GR"/>
              </w:rPr>
              <w:lastRenderedPageBreak/>
              <w:t>Πίνακας</w:t>
            </w:r>
            <w:r w:rsidRPr="00057236">
              <w:rPr>
                <w:rFonts w:ascii="Verdana" w:eastAsia="Malgun Gothic" w:hAnsi="Verdana" w:cs="Arial"/>
                <w:b/>
                <w:color w:val="366092"/>
                <w:sz w:val="18"/>
                <w:szCs w:val="18"/>
              </w:rPr>
              <w:t xml:space="preserve"> </w:t>
            </w:r>
            <w:r w:rsidRPr="00057236">
              <w:rPr>
                <w:rFonts w:ascii="Verdana" w:eastAsia="Malgun Gothic" w:hAnsi="Verdana" w:cs="Arial"/>
                <w:b/>
                <w:color w:val="366092"/>
                <w:sz w:val="18"/>
                <w:szCs w:val="18"/>
                <w:lang w:val="el-GR"/>
              </w:rPr>
              <w:t>1</w:t>
            </w:r>
          </w:p>
        </w:tc>
        <w:tc>
          <w:tcPr>
            <w:tcW w:w="3231" w:type="dxa"/>
            <w:tcBorders>
              <w:top w:val="nil"/>
              <w:left w:val="nil"/>
              <w:bottom w:val="single" w:sz="4" w:space="0" w:color="366092"/>
              <w:right w:val="nil"/>
            </w:tcBorders>
            <w:vAlign w:val="center"/>
          </w:tcPr>
          <w:p w14:paraId="42F2D1B6" w14:textId="77777777" w:rsidR="00DF2137" w:rsidRPr="00057236" w:rsidRDefault="00DF2137" w:rsidP="000A0A7C">
            <w:pPr>
              <w:jc w:val="center"/>
              <w:rPr>
                <w:rFonts w:ascii="Verdana" w:eastAsia="Malgun Gothic" w:hAnsi="Verdana" w:cs="Arial"/>
                <w:b/>
                <w:color w:val="366092"/>
                <w:sz w:val="18"/>
                <w:szCs w:val="18"/>
                <w:lang w:val="el-GR"/>
              </w:rPr>
            </w:pPr>
          </w:p>
        </w:tc>
        <w:tc>
          <w:tcPr>
            <w:tcW w:w="1468" w:type="dxa"/>
            <w:tcBorders>
              <w:top w:val="nil"/>
              <w:left w:val="nil"/>
              <w:bottom w:val="single" w:sz="4" w:space="0" w:color="366092"/>
              <w:right w:val="nil"/>
            </w:tcBorders>
            <w:vAlign w:val="center"/>
          </w:tcPr>
          <w:p w14:paraId="78640F81" w14:textId="77777777" w:rsidR="00DF2137" w:rsidRPr="00057236" w:rsidRDefault="00DF2137" w:rsidP="000A0A7C">
            <w:pPr>
              <w:jc w:val="center"/>
              <w:rPr>
                <w:rFonts w:ascii="Verdana" w:eastAsia="Malgun Gothic" w:hAnsi="Verdana" w:cs="Arial"/>
                <w:b/>
                <w:color w:val="366092"/>
                <w:sz w:val="18"/>
                <w:szCs w:val="18"/>
                <w:lang w:val="el-GR"/>
              </w:rPr>
            </w:pPr>
          </w:p>
        </w:tc>
        <w:tc>
          <w:tcPr>
            <w:tcW w:w="273" w:type="dxa"/>
            <w:tcBorders>
              <w:top w:val="nil"/>
              <w:left w:val="nil"/>
              <w:bottom w:val="single" w:sz="4" w:space="0" w:color="366092"/>
              <w:right w:val="nil"/>
            </w:tcBorders>
          </w:tcPr>
          <w:p w14:paraId="31B3B748" w14:textId="77777777" w:rsidR="00DF2137" w:rsidRPr="00057236" w:rsidRDefault="00DF2137" w:rsidP="000A0A7C">
            <w:pPr>
              <w:rPr>
                <w:rFonts w:ascii="Verdana" w:eastAsia="Malgun Gothic" w:hAnsi="Verdana" w:cs="Arial"/>
                <w:color w:val="366092"/>
                <w:sz w:val="18"/>
                <w:szCs w:val="18"/>
                <w:lang w:val="el-GR"/>
              </w:rPr>
            </w:pPr>
          </w:p>
        </w:tc>
        <w:tc>
          <w:tcPr>
            <w:tcW w:w="3172" w:type="dxa"/>
            <w:gridSpan w:val="2"/>
            <w:tcBorders>
              <w:top w:val="nil"/>
              <w:left w:val="nil"/>
              <w:bottom w:val="single" w:sz="4" w:space="0" w:color="366092"/>
              <w:right w:val="nil"/>
            </w:tcBorders>
            <w:vAlign w:val="center"/>
          </w:tcPr>
          <w:p w14:paraId="568B22E4" w14:textId="77777777" w:rsidR="00DF2137" w:rsidRPr="00057236" w:rsidRDefault="00DF2137" w:rsidP="000A0A7C">
            <w:pPr>
              <w:jc w:val="center"/>
              <w:rPr>
                <w:rFonts w:ascii="Verdana" w:eastAsia="Malgun Gothic" w:hAnsi="Verdana" w:cs="Arial"/>
                <w:b/>
                <w:color w:val="366092"/>
                <w:sz w:val="18"/>
                <w:szCs w:val="18"/>
                <w:lang w:val="el-GR"/>
              </w:rPr>
            </w:pPr>
          </w:p>
        </w:tc>
      </w:tr>
      <w:tr w:rsidR="00057236" w:rsidRPr="00057236" w14:paraId="2471FF3D" w14:textId="77777777" w:rsidTr="00BB7ED8">
        <w:trPr>
          <w:trHeight w:val="454"/>
          <w:jc w:val="center"/>
        </w:trPr>
        <w:tc>
          <w:tcPr>
            <w:tcW w:w="1212" w:type="dxa"/>
            <w:vMerge w:val="restart"/>
            <w:tcBorders>
              <w:top w:val="single" w:sz="4" w:space="0" w:color="366092"/>
              <w:left w:val="nil"/>
              <w:bottom w:val="single" w:sz="4" w:space="0" w:color="365F91"/>
              <w:right w:val="nil"/>
            </w:tcBorders>
            <w:vAlign w:val="center"/>
          </w:tcPr>
          <w:p w14:paraId="0080A868" w14:textId="77777777" w:rsidR="00DF2137" w:rsidRPr="00057236" w:rsidRDefault="00DF2137" w:rsidP="000A0A7C">
            <w:pPr>
              <w:jc w:val="center"/>
              <w:rPr>
                <w:rFonts w:ascii="Verdana" w:eastAsia="Malgun Gothic" w:hAnsi="Verdana" w:cs="Arial"/>
                <w:b/>
                <w:color w:val="366092"/>
                <w:sz w:val="18"/>
                <w:szCs w:val="18"/>
                <w:lang w:val="el-GR"/>
              </w:rPr>
            </w:pPr>
            <w:r w:rsidRPr="00057236">
              <w:rPr>
                <w:rFonts w:ascii="Verdana" w:eastAsia="Malgun Gothic" w:hAnsi="Verdana" w:cs="Arial"/>
                <w:b/>
                <w:color w:val="366092"/>
                <w:sz w:val="18"/>
                <w:szCs w:val="18"/>
                <w:lang w:val="el-GR"/>
              </w:rPr>
              <w:t>Κώδικας</w:t>
            </w:r>
          </w:p>
          <w:p w14:paraId="62C9591F" w14:textId="77777777" w:rsidR="00DF2137" w:rsidRPr="00057236" w:rsidRDefault="00DF2137" w:rsidP="000A0A7C">
            <w:pPr>
              <w:jc w:val="center"/>
              <w:rPr>
                <w:rFonts w:ascii="Verdana" w:eastAsia="Malgun Gothic" w:hAnsi="Verdana" w:cs="Arial"/>
                <w:b/>
                <w:color w:val="366092"/>
                <w:sz w:val="18"/>
                <w:szCs w:val="18"/>
              </w:rPr>
            </w:pPr>
            <w:r w:rsidRPr="00057236">
              <w:rPr>
                <w:rFonts w:ascii="Verdana" w:eastAsia="Malgun Gothic" w:hAnsi="Verdana" w:cs="Arial"/>
                <w:b/>
                <w:color w:val="366092"/>
                <w:sz w:val="18"/>
                <w:szCs w:val="18"/>
              </w:rPr>
              <w:t>(</w:t>
            </w:r>
            <w:r w:rsidRPr="00057236">
              <w:rPr>
                <w:rFonts w:ascii="Verdana" w:eastAsia="Malgun Gothic" w:hAnsi="Verdana" w:cs="Arial"/>
                <w:b/>
                <w:color w:val="366092"/>
                <w:sz w:val="18"/>
                <w:szCs w:val="18"/>
                <w:lang w:val="el-GR"/>
              </w:rPr>
              <w:t xml:space="preserve">NACE </w:t>
            </w:r>
            <w:proofErr w:type="spellStart"/>
            <w:r w:rsidRPr="00057236">
              <w:rPr>
                <w:rFonts w:ascii="Verdana" w:eastAsia="Malgun Gothic" w:hAnsi="Verdana" w:cs="Arial"/>
                <w:b/>
                <w:color w:val="366092"/>
                <w:sz w:val="18"/>
                <w:szCs w:val="18"/>
                <w:lang w:val="el-GR"/>
              </w:rPr>
              <w:t>Αναθ</w:t>
            </w:r>
            <w:proofErr w:type="spellEnd"/>
            <w:r w:rsidRPr="00057236">
              <w:rPr>
                <w:rFonts w:ascii="Verdana" w:eastAsia="Malgun Gothic" w:hAnsi="Verdana" w:cs="Arial"/>
                <w:b/>
                <w:color w:val="366092"/>
                <w:sz w:val="18"/>
                <w:szCs w:val="18"/>
                <w:lang w:val="el-GR"/>
              </w:rPr>
              <w:t>. 2</w:t>
            </w:r>
            <w:r w:rsidRPr="00057236">
              <w:rPr>
                <w:rFonts w:ascii="Verdana" w:eastAsia="Malgun Gothic" w:hAnsi="Verdana" w:cs="Arial"/>
                <w:b/>
                <w:color w:val="366092"/>
                <w:sz w:val="18"/>
                <w:szCs w:val="18"/>
              </w:rPr>
              <w:t>)</w:t>
            </w:r>
          </w:p>
        </w:tc>
        <w:tc>
          <w:tcPr>
            <w:tcW w:w="3231" w:type="dxa"/>
            <w:vMerge w:val="restart"/>
            <w:tcBorders>
              <w:top w:val="single" w:sz="4" w:space="0" w:color="366092"/>
              <w:left w:val="nil"/>
              <w:bottom w:val="single" w:sz="4" w:space="0" w:color="365F91"/>
              <w:right w:val="nil"/>
            </w:tcBorders>
            <w:vAlign w:val="center"/>
          </w:tcPr>
          <w:p w14:paraId="616CF512" w14:textId="77777777" w:rsidR="00DF2137" w:rsidRPr="00057236" w:rsidRDefault="00DF2137" w:rsidP="000A0A7C">
            <w:pPr>
              <w:jc w:val="center"/>
              <w:rPr>
                <w:rFonts w:ascii="Verdana" w:eastAsia="Malgun Gothic" w:hAnsi="Verdana" w:cs="Arial"/>
                <w:b/>
                <w:color w:val="366092"/>
                <w:sz w:val="18"/>
                <w:szCs w:val="18"/>
                <w:lang w:val="el-GR"/>
              </w:rPr>
            </w:pPr>
            <w:r w:rsidRPr="00057236">
              <w:rPr>
                <w:rFonts w:ascii="Verdana" w:eastAsia="Malgun Gothic" w:hAnsi="Verdana" w:cs="Arial"/>
                <w:b/>
                <w:color w:val="366092"/>
                <w:sz w:val="18"/>
                <w:szCs w:val="18"/>
                <w:lang w:val="el-GR"/>
              </w:rPr>
              <w:t>Οικονομική</w:t>
            </w:r>
          </w:p>
          <w:p w14:paraId="2C028DAE" w14:textId="77777777" w:rsidR="00DF2137" w:rsidRPr="00057236" w:rsidRDefault="00DF2137" w:rsidP="000A0A7C">
            <w:pPr>
              <w:jc w:val="center"/>
              <w:rPr>
                <w:rFonts w:ascii="Verdana" w:eastAsia="Malgun Gothic" w:hAnsi="Verdana" w:cs="Arial"/>
                <w:b/>
                <w:color w:val="366092"/>
                <w:sz w:val="18"/>
                <w:szCs w:val="18"/>
                <w:lang w:val="el-GR"/>
              </w:rPr>
            </w:pPr>
            <w:r w:rsidRPr="00057236">
              <w:rPr>
                <w:rFonts w:ascii="Verdana" w:eastAsia="Malgun Gothic" w:hAnsi="Verdana" w:cs="Arial"/>
                <w:b/>
                <w:color w:val="366092"/>
                <w:sz w:val="18"/>
                <w:szCs w:val="18"/>
                <w:lang w:val="el-GR"/>
              </w:rPr>
              <w:t>Δραστηριότητα</w:t>
            </w:r>
          </w:p>
        </w:tc>
        <w:tc>
          <w:tcPr>
            <w:tcW w:w="1468" w:type="dxa"/>
            <w:tcBorders>
              <w:top w:val="single" w:sz="4" w:space="0" w:color="366092"/>
              <w:left w:val="nil"/>
              <w:bottom w:val="single" w:sz="4" w:space="0" w:color="366092"/>
              <w:right w:val="nil"/>
            </w:tcBorders>
            <w:vAlign w:val="center"/>
          </w:tcPr>
          <w:p w14:paraId="79021364" w14:textId="45466099" w:rsidR="00DF2137" w:rsidRPr="00057236" w:rsidRDefault="00DF2137" w:rsidP="000A0A7C">
            <w:pPr>
              <w:jc w:val="center"/>
              <w:rPr>
                <w:rFonts w:ascii="Verdana" w:eastAsia="Malgun Gothic" w:hAnsi="Verdana" w:cs="Arial"/>
                <w:b/>
                <w:color w:val="366092"/>
                <w:sz w:val="18"/>
                <w:szCs w:val="18"/>
                <w:lang w:val="el-GR"/>
              </w:rPr>
            </w:pPr>
            <w:r w:rsidRPr="00057236">
              <w:rPr>
                <w:rFonts w:ascii="Verdana" w:eastAsia="Malgun Gothic" w:hAnsi="Verdana" w:cs="Arial"/>
                <w:b/>
                <w:color w:val="366092"/>
                <w:sz w:val="18"/>
                <w:szCs w:val="18"/>
                <w:lang w:val="el-GR"/>
              </w:rPr>
              <w:t>Δείκτης (20</w:t>
            </w:r>
            <w:r w:rsidR="00312652" w:rsidRPr="00057236">
              <w:rPr>
                <w:rFonts w:ascii="Verdana" w:eastAsia="Malgun Gothic" w:hAnsi="Verdana" w:cs="Arial"/>
                <w:b/>
                <w:color w:val="366092"/>
                <w:sz w:val="18"/>
                <w:szCs w:val="18"/>
              </w:rPr>
              <w:t>21</w:t>
            </w:r>
            <w:r w:rsidRPr="00057236">
              <w:rPr>
                <w:rFonts w:ascii="Verdana" w:eastAsia="Malgun Gothic" w:hAnsi="Verdana" w:cs="Arial"/>
                <w:b/>
                <w:color w:val="366092"/>
                <w:sz w:val="18"/>
                <w:szCs w:val="18"/>
                <w:lang w:val="el-GR"/>
              </w:rPr>
              <w:t>=100)</w:t>
            </w:r>
          </w:p>
        </w:tc>
        <w:tc>
          <w:tcPr>
            <w:tcW w:w="273" w:type="dxa"/>
            <w:vMerge w:val="restart"/>
            <w:tcBorders>
              <w:top w:val="single" w:sz="4" w:space="0" w:color="366092"/>
              <w:left w:val="nil"/>
              <w:right w:val="nil"/>
            </w:tcBorders>
          </w:tcPr>
          <w:p w14:paraId="5FAED298" w14:textId="669BD64B" w:rsidR="00DF2137" w:rsidRPr="00057236" w:rsidRDefault="00DF2137" w:rsidP="000A0A7C">
            <w:pPr>
              <w:rPr>
                <w:rFonts w:ascii="Verdana" w:eastAsia="Malgun Gothic" w:hAnsi="Verdana" w:cs="Arial"/>
                <w:color w:val="366092"/>
                <w:sz w:val="18"/>
                <w:szCs w:val="18"/>
                <w:lang w:val="el-GR"/>
              </w:rPr>
            </w:pPr>
          </w:p>
        </w:tc>
        <w:tc>
          <w:tcPr>
            <w:tcW w:w="3172" w:type="dxa"/>
            <w:gridSpan w:val="2"/>
            <w:tcBorders>
              <w:top w:val="single" w:sz="4" w:space="0" w:color="366092"/>
              <w:left w:val="nil"/>
              <w:bottom w:val="single" w:sz="4" w:space="0" w:color="366092"/>
              <w:right w:val="nil"/>
            </w:tcBorders>
            <w:vAlign w:val="center"/>
          </w:tcPr>
          <w:p w14:paraId="50D20761" w14:textId="77777777" w:rsidR="00DF2137" w:rsidRPr="00057236" w:rsidRDefault="00DF2137" w:rsidP="000A0A7C">
            <w:pPr>
              <w:jc w:val="center"/>
              <w:rPr>
                <w:rFonts w:ascii="Verdana" w:eastAsia="Malgun Gothic" w:hAnsi="Verdana" w:cs="Arial"/>
                <w:color w:val="366092"/>
                <w:sz w:val="18"/>
                <w:szCs w:val="18"/>
                <w:lang w:val="el-GR"/>
              </w:rPr>
            </w:pPr>
            <w:r w:rsidRPr="00057236">
              <w:rPr>
                <w:rFonts w:ascii="Verdana" w:eastAsia="Malgun Gothic" w:hAnsi="Verdana" w:cs="Arial"/>
                <w:b/>
                <w:color w:val="366092"/>
                <w:sz w:val="18"/>
                <w:szCs w:val="18"/>
                <w:lang w:val="el-GR"/>
              </w:rPr>
              <w:t>Ποσοστιαία Μεταβολή (%)</w:t>
            </w:r>
          </w:p>
        </w:tc>
      </w:tr>
      <w:tr w:rsidR="00057236" w:rsidRPr="00057236" w14:paraId="4D223117" w14:textId="77777777" w:rsidTr="00BB7ED8">
        <w:trPr>
          <w:trHeight w:val="510"/>
          <w:jc w:val="center"/>
        </w:trPr>
        <w:tc>
          <w:tcPr>
            <w:tcW w:w="1212" w:type="dxa"/>
            <w:vMerge/>
            <w:tcBorders>
              <w:top w:val="single" w:sz="4" w:space="0" w:color="365F91"/>
              <w:left w:val="nil"/>
              <w:bottom w:val="single" w:sz="4" w:space="0" w:color="366092"/>
              <w:right w:val="nil"/>
            </w:tcBorders>
          </w:tcPr>
          <w:p w14:paraId="44598952" w14:textId="77777777" w:rsidR="00DF2137" w:rsidRPr="00057236" w:rsidRDefault="00DF2137" w:rsidP="000A0A7C">
            <w:pPr>
              <w:jc w:val="both"/>
              <w:rPr>
                <w:rFonts w:ascii="Verdana" w:eastAsia="Malgun Gothic" w:hAnsi="Verdana" w:cs="Arial"/>
                <w:color w:val="366092"/>
                <w:sz w:val="18"/>
                <w:szCs w:val="18"/>
                <w:lang w:val="el-GR"/>
              </w:rPr>
            </w:pPr>
          </w:p>
        </w:tc>
        <w:tc>
          <w:tcPr>
            <w:tcW w:w="3231" w:type="dxa"/>
            <w:vMerge/>
            <w:tcBorders>
              <w:top w:val="single" w:sz="4" w:space="0" w:color="365F91"/>
              <w:left w:val="nil"/>
              <w:bottom w:val="single" w:sz="4" w:space="0" w:color="366092"/>
              <w:right w:val="nil"/>
            </w:tcBorders>
          </w:tcPr>
          <w:p w14:paraId="39F5F78A" w14:textId="77777777" w:rsidR="00DF2137" w:rsidRPr="00057236" w:rsidRDefault="00DF2137" w:rsidP="000A0A7C">
            <w:pPr>
              <w:jc w:val="both"/>
              <w:rPr>
                <w:rFonts w:ascii="Verdana" w:eastAsia="Malgun Gothic" w:hAnsi="Verdana" w:cs="Arial"/>
                <w:color w:val="366092"/>
                <w:sz w:val="18"/>
                <w:szCs w:val="18"/>
                <w:lang w:val="el-GR"/>
              </w:rPr>
            </w:pPr>
          </w:p>
        </w:tc>
        <w:tc>
          <w:tcPr>
            <w:tcW w:w="1468" w:type="dxa"/>
            <w:tcBorders>
              <w:top w:val="single" w:sz="4" w:space="0" w:color="366092"/>
              <w:left w:val="nil"/>
              <w:bottom w:val="single" w:sz="4" w:space="0" w:color="366092"/>
              <w:right w:val="nil"/>
            </w:tcBorders>
            <w:vAlign w:val="center"/>
          </w:tcPr>
          <w:p w14:paraId="731C8C58" w14:textId="6F9F4804" w:rsidR="00BA76D0" w:rsidRPr="00057236" w:rsidRDefault="007470DD" w:rsidP="000A0A7C">
            <w:pPr>
              <w:jc w:val="center"/>
              <w:rPr>
                <w:rFonts w:ascii="Verdana" w:hAnsi="Verdana" w:cs="Calibri"/>
                <w:b/>
                <w:bCs/>
                <w:color w:val="366092"/>
                <w:sz w:val="18"/>
                <w:szCs w:val="18"/>
                <w:lang w:val="el-GR"/>
              </w:rPr>
            </w:pPr>
            <w:r w:rsidRPr="00057236">
              <w:rPr>
                <w:rFonts w:ascii="Verdana" w:hAnsi="Verdana" w:cs="Calibri"/>
                <w:b/>
                <w:bCs/>
                <w:color w:val="366092"/>
                <w:sz w:val="18"/>
                <w:szCs w:val="18"/>
                <w:lang w:val="el-GR"/>
              </w:rPr>
              <w:t>Ιουλ</w:t>
            </w:r>
            <w:r w:rsidR="004A5E5C" w:rsidRPr="00057236">
              <w:rPr>
                <w:rFonts w:ascii="Verdana" w:hAnsi="Verdana" w:cs="Calibri"/>
                <w:b/>
                <w:bCs/>
                <w:color w:val="366092"/>
                <w:sz w:val="18"/>
                <w:szCs w:val="18"/>
                <w:lang w:val="el-GR"/>
              </w:rPr>
              <w:t>-</w:t>
            </w:r>
            <w:r w:rsidRPr="00057236">
              <w:rPr>
                <w:rFonts w:ascii="Verdana" w:hAnsi="Verdana" w:cs="Calibri"/>
                <w:b/>
                <w:bCs/>
                <w:color w:val="366092"/>
                <w:sz w:val="18"/>
                <w:szCs w:val="18"/>
                <w:lang w:val="el-GR"/>
              </w:rPr>
              <w:t>Σεπ</w:t>
            </w:r>
          </w:p>
          <w:p w14:paraId="2C26406D" w14:textId="7AE64777" w:rsidR="00DF2137" w:rsidRPr="00057236" w:rsidRDefault="0081266A" w:rsidP="000A0A7C">
            <w:pPr>
              <w:jc w:val="center"/>
              <w:rPr>
                <w:rFonts w:ascii="Verdana" w:eastAsia="Malgun Gothic" w:hAnsi="Verdana" w:cs="Arial"/>
                <w:b/>
                <w:color w:val="366092"/>
                <w:sz w:val="18"/>
                <w:szCs w:val="18"/>
              </w:rPr>
            </w:pPr>
            <w:r w:rsidRPr="00057236">
              <w:rPr>
                <w:rFonts w:ascii="Verdana" w:hAnsi="Verdana" w:cs="Calibri"/>
                <w:b/>
                <w:bCs/>
                <w:color w:val="366092"/>
                <w:sz w:val="18"/>
                <w:szCs w:val="18"/>
                <w:lang w:val="el-GR"/>
              </w:rPr>
              <w:t xml:space="preserve"> 202</w:t>
            </w:r>
            <w:r w:rsidR="00BE1BF1" w:rsidRPr="00057236">
              <w:rPr>
                <w:rFonts w:ascii="Verdana" w:hAnsi="Verdana" w:cs="Calibri"/>
                <w:b/>
                <w:bCs/>
                <w:color w:val="366092"/>
                <w:sz w:val="18"/>
                <w:szCs w:val="18"/>
                <w:lang w:val="el-GR"/>
              </w:rPr>
              <w:t>5</w:t>
            </w:r>
          </w:p>
        </w:tc>
        <w:tc>
          <w:tcPr>
            <w:tcW w:w="273" w:type="dxa"/>
            <w:vMerge/>
            <w:tcBorders>
              <w:left w:val="nil"/>
              <w:bottom w:val="single" w:sz="4" w:space="0" w:color="366092"/>
              <w:right w:val="nil"/>
            </w:tcBorders>
          </w:tcPr>
          <w:p w14:paraId="52826086" w14:textId="77777777" w:rsidR="00DF2137" w:rsidRPr="00057236" w:rsidRDefault="00DF2137" w:rsidP="000A0A7C">
            <w:pPr>
              <w:jc w:val="center"/>
              <w:rPr>
                <w:rFonts w:ascii="Verdana" w:eastAsia="Malgun Gothic" w:hAnsi="Verdana" w:cs="Arial"/>
                <w:b/>
                <w:color w:val="366092"/>
                <w:sz w:val="18"/>
                <w:szCs w:val="18"/>
                <w:lang w:val="el-GR"/>
              </w:rPr>
            </w:pPr>
          </w:p>
        </w:tc>
        <w:tc>
          <w:tcPr>
            <w:tcW w:w="1613" w:type="dxa"/>
            <w:tcBorders>
              <w:top w:val="single" w:sz="4" w:space="0" w:color="366092"/>
              <w:left w:val="nil"/>
              <w:bottom w:val="single" w:sz="4" w:space="0" w:color="366092"/>
              <w:right w:val="nil"/>
            </w:tcBorders>
            <w:vAlign w:val="center"/>
          </w:tcPr>
          <w:p w14:paraId="06576B93" w14:textId="7399E899" w:rsidR="00DF2137" w:rsidRPr="00057236" w:rsidRDefault="007470DD" w:rsidP="00873F5B">
            <w:pPr>
              <w:jc w:val="center"/>
              <w:rPr>
                <w:rFonts w:ascii="Verdana" w:eastAsia="Malgun Gothic" w:hAnsi="Verdana" w:cs="Arial"/>
                <w:b/>
                <w:color w:val="366092"/>
                <w:sz w:val="18"/>
                <w:szCs w:val="18"/>
                <w:lang w:val="el-GR"/>
              </w:rPr>
            </w:pPr>
            <w:r w:rsidRPr="00057236">
              <w:rPr>
                <w:rFonts w:ascii="Verdana" w:hAnsi="Verdana" w:cs="Calibri"/>
                <w:b/>
                <w:bCs/>
                <w:color w:val="366092"/>
                <w:sz w:val="18"/>
                <w:szCs w:val="18"/>
                <w:lang w:val="el-GR"/>
              </w:rPr>
              <w:t>Ιουλ</w:t>
            </w:r>
            <w:r w:rsidR="004A5E5C" w:rsidRPr="00057236">
              <w:rPr>
                <w:rFonts w:ascii="Verdana" w:hAnsi="Verdana" w:cs="Calibri"/>
                <w:b/>
                <w:bCs/>
                <w:color w:val="366092"/>
                <w:sz w:val="18"/>
                <w:szCs w:val="18"/>
                <w:lang w:val="el-GR"/>
              </w:rPr>
              <w:t>-</w:t>
            </w:r>
            <w:r w:rsidRPr="00057236">
              <w:rPr>
                <w:rFonts w:ascii="Verdana" w:hAnsi="Verdana" w:cs="Calibri"/>
                <w:b/>
                <w:bCs/>
                <w:color w:val="366092"/>
                <w:sz w:val="18"/>
                <w:szCs w:val="18"/>
                <w:lang w:val="el-GR"/>
              </w:rPr>
              <w:t>Σεπ</w:t>
            </w:r>
            <w:r w:rsidR="004C7206" w:rsidRPr="00057236">
              <w:rPr>
                <w:rFonts w:ascii="Verdana" w:hAnsi="Verdana" w:cs="Calibri"/>
                <w:b/>
                <w:bCs/>
                <w:color w:val="366092"/>
                <w:sz w:val="18"/>
                <w:szCs w:val="18"/>
                <w:lang w:val="el-GR"/>
              </w:rPr>
              <w:t xml:space="preserve"> </w:t>
            </w:r>
            <w:r w:rsidR="0081266A" w:rsidRPr="00057236">
              <w:rPr>
                <w:rFonts w:ascii="Verdana" w:hAnsi="Verdana" w:cs="Calibri"/>
                <w:b/>
                <w:bCs/>
                <w:color w:val="366092"/>
                <w:sz w:val="18"/>
                <w:szCs w:val="18"/>
                <w:lang w:val="el-GR"/>
              </w:rPr>
              <w:t>202</w:t>
            </w:r>
            <w:r w:rsidR="00BE1BF1" w:rsidRPr="00057236">
              <w:rPr>
                <w:rFonts w:ascii="Verdana" w:hAnsi="Verdana" w:cs="Calibri"/>
                <w:b/>
                <w:bCs/>
                <w:color w:val="366092"/>
                <w:sz w:val="18"/>
                <w:szCs w:val="18"/>
                <w:lang w:val="el-GR"/>
              </w:rPr>
              <w:t>5</w:t>
            </w:r>
            <w:r w:rsidR="0081266A" w:rsidRPr="00057236">
              <w:rPr>
                <w:rFonts w:ascii="Verdana" w:hAnsi="Verdana" w:cs="Calibri"/>
                <w:b/>
                <w:bCs/>
                <w:color w:val="366092"/>
                <w:sz w:val="18"/>
                <w:szCs w:val="18"/>
                <w:lang w:val="el-GR"/>
              </w:rPr>
              <w:t>/202</w:t>
            </w:r>
            <w:r w:rsidR="00BE1BF1" w:rsidRPr="00057236">
              <w:rPr>
                <w:rFonts w:ascii="Verdana" w:hAnsi="Verdana" w:cs="Calibri"/>
                <w:b/>
                <w:bCs/>
                <w:color w:val="366092"/>
                <w:sz w:val="18"/>
                <w:szCs w:val="18"/>
                <w:lang w:val="el-GR"/>
              </w:rPr>
              <w:t>4</w:t>
            </w:r>
          </w:p>
        </w:tc>
        <w:tc>
          <w:tcPr>
            <w:tcW w:w="1559" w:type="dxa"/>
            <w:tcBorders>
              <w:top w:val="single" w:sz="4" w:space="0" w:color="366092"/>
              <w:left w:val="nil"/>
              <w:bottom w:val="single" w:sz="4" w:space="0" w:color="366092"/>
              <w:right w:val="nil"/>
            </w:tcBorders>
            <w:vAlign w:val="center"/>
          </w:tcPr>
          <w:p w14:paraId="76A5AE72" w14:textId="631477D6" w:rsidR="00DF2137" w:rsidRPr="00057236" w:rsidRDefault="00157BA4" w:rsidP="0081266A">
            <w:pPr>
              <w:jc w:val="center"/>
              <w:rPr>
                <w:rFonts w:ascii="Verdana" w:eastAsia="Malgun Gothic" w:hAnsi="Verdana" w:cs="Arial"/>
                <w:color w:val="366092"/>
                <w:sz w:val="18"/>
                <w:szCs w:val="18"/>
                <w:lang w:val="el-GR"/>
              </w:rPr>
            </w:pPr>
            <w:r w:rsidRPr="00057236">
              <w:rPr>
                <w:rFonts w:ascii="Verdana" w:hAnsi="Verdana" w:cs="Calibri"/>
                <w:b/>
                <w:bCs/>
                <w:color w:val="366092"/>
                <w:sz w:val="18"/>
                <w:szCs w:val="18"/>
                <w:lang w:val="el-GR"/>
              </w:rPr>
              <w:t>Ιαν-</w:t>
            </w:r>
            <w:r w:rsidR="007470DD" w:rsidRPr="00057236">
              <w:rPr>
                <w:rFonts w:ascii="Verdana" w:hAnsi="Verdana" w:cs="Calibri"/>
                <w:b/>
                <w:bCs/>
                <w:color w:val="366092"/>
                <w:sz w:val="18"/>
                <w:szCs w:val="18"/>
                <w:lang w:val="el-GR"/>
              </w:rPr>
              <w:t>Σεπ</w:t>
            </w:r>
            <w:r w:rsidRPr="00057236">
              <w:rPr>
                <w:rFonts w:ascii="Verdana" w:hAnsi="Verdana" w:cs="Calibri"/>
                <w:b/>
                <w:bCs/>
                <w:color w:val="366092"/>
                <w:sz w:val="18"/>
                <w:szCs w:val="18"/>
                <w:lang w:val="el-GR"/>
              </w:rPr>
              <w:t xml:space="preserve"> 2025/2024</w:t>
            </w:r>
          </w:p>
        </w:tc>
      </w:tr>
      <w:tr w:rsidR="00057236" w:rsidRPr="00057236" w14:paraId="0F7DC4BF" w14:textId="77777777" w:rsidTr="00BB7ED8">
        <w:trPr>
          <w:trHeight w:val="624"/>
          <w:jc w:val="center"/>
        </w:trPr>
        <w:tc>
          <w:tcPr>
            <w:tcW w:w="1212" w:type="dxa"/>
            <w:tcBorders>
              <w:top w:val="single" w:sz="4" w:space="0" w:color="366092"/>
              <w:left w:val="nil"/>
              <w:bottom w:val="nil"/>
              <w:right w:val="nil"/>
            </w:tcBorders>
            <w:vAlign w:val="center"/>
          </w:tcPr>
          <w:p w14:paraId="33C22BED" w14:textId="77777777" w:rsidR="00CC4B81" w:rsidRPr="00057236" w:rsidRDefault="00CC4B81" w:rsidP="00CC4B81">
            <w:pPr>
              <w:jc w:val="cente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45.1</w:t>
            </w:r>
          </w:p>
        </w:tc>
        <w:tc>
          <w:tcPr>
            <w:tcW w:w="3231" w:type="dxa"/>
            <w:tcBorders>
              <w:top w:val="single" w:sz="4" w:space="0" w:color="366092"/>
              <w:left w:val="nil"/>
              <w:bottom w:val="nil"/>
              <w:right w:val="nil"/>
            </w:tcBorders>
            <w:vAlign w:val="center"/>
          </w:tcPr>
          <w:p w14:paraId="3B1C0481" w14:textId="77777777" w:rsidR="00CC4B81" w:rsidRPr="00057236" w:rsidRDefault="00CC4B81" w:rsidP="00CC4B81">
            <w:pP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Πώληση μηχανοκίνητων οχημάτων</w:t>
            </w:r>
          </w:p>
        </w:tc>
        <w:tc>
          <w:tcPr>
            <w:tcW w:w="1468" w:type="dxa"/>
            <w:tcBorders>
              <w:top w:val="single" w:sz="4" w:space="0" w:color="366092"/>
              <w:left w:val="nil"/>
              <w:bottom w:val="nil"/>
              <w:right w:val="nil"/>
            </w:tcBorders>
            <w:vAlign w:val="center"/>
          </w:tcPr>
          <w:p w14:paraId="3CE5A7CC" w14:textId="67C7D82C" w:rsidR="00CC4B81" w:rsidRPr="00057236" w:rsidRDefault="00AA7A9D" w:rsidP="00CC4B81">
            <w:pPr>
              <w:ind w:right="340"/>
              <w:jc w:val="right"/>
              <w:rPr>
                <w:rFonts w:ascii="Verdana" w:hAnsi="Verdana"/>
                <w:color w:val="366092"/>
                <w:sz w:val="18"/>
                <w:szCs w:val="18"/>
              </w:rPr>
            </w:pPr>
            <w:r w:rsidRPr="00057236">
              <w:rPr>
                <w:rFonts w:ascii="Verdana" w:hAnsi="Verdana"/>
                <w:color w:val="366092"/>
                <w:sz w:val="18"/>
                <w:szCs w:val="18"/>
              </w:rPr>
              <w:t>165,6</w:t>
            </w:r>
          </w:p>
        </w:tc>
        <w:tc>
          <w:tcPr>
            <w:tcW w:w="273" w:type="dxa"/>
            <w:tcBorders>
              <w:top w:val="single" w:sz="4" w:space="0" w:color="366092"/>
              <w:left w:val="nil"/>
              <w:bottom w:val="nil"/>
              <w:right w:val="nil"/>
            </w:tcBorders>
            <w:vAlign w:val="center"/>
          </w:tcPr>
          <w:p w14:paraId="51631C44" w14:textId="77777777" w:rsidR="00CC4B81" w:rsidRPr="00057236" w:rsidRDefault="00CC4B81" w:rsidP="00CC4B81">
            <w:pPr>
              <w:jc w:val="right"/>
              <w:rPr>
                <w:rFonts w:ascii="Verdana" w:eastAsia="Times New Roman" w:hAnsi="Verdana" w:cs="Arial"/>
                <w:color w:val="366092"/>
                <w:sz w:val="18"/>
                <w:szCs w:val="18"/>
                <w:lang w:val="el-GR"/>
              </w:rPr>
            </w:pPr>
          </w:p>
        </w:tc>
        <w:tc>
          <w:tcPr>
            <w:tcW w:w="1613" w:type="dxa"/>
            <w:tcBorders>
              <w:top w:val="single" w:sz="4" w:space="0" w:color="366092"/>
              <w:left w:val="nil"/>
              <w:bottom w:val="nil"/>
              <w:right w:val="nil"/>
            </w:tcBorders>
            <w:vAlign w:val="center"/>
          </w:tcPr>
          <w:p w14:paraId="624050C4" w14:textId="32F62760" w:rsidR="00CC4B81" w:rsidRPr="00057236" w:rsidRDefault="00AA7A9D" w:rsidP="00CC4B81">
            <w:pPr>
              <w:ind w:right="680"/>
              <w:jc w:val="right"/>
              <w:rPr>
                <w:rFonts w:ascii="Verdana" w:hAnsi="Verdana"/>
                <w:color w:val="366092"/>
                <w:sz w:val="18"/>
                <w:szCs w:val="18"/>
              </w:rPr>
            </w:pPr>
            <w:r w:rsidRPr="00057236">
              <w:rPr>
                <w:rFonts w:ascii="Verdana" w:hAnsi="Verdana"/>
                <w:color w:val="366092"/>
                <w:sz w:val="18"/>
                <w:szCs w:val="18"/>
              </w:rPr>
              <w:t>10,5</w:t>
            </w:r>
          </w:p>
        </w:tc>
        <w:tc>
          <w:tcPr>
            <w:tcW w:w="1559" w:type="dxa"/>
            <w:tcBorders>
              <w:top w:val="single" w:sz="4" w:space="0" w:color="366092"/>
              <w:left w:val="nil"/>
              <w:bottom w:val="nil"/>
              <w:right w:val="nil"/>
            </w:tcBorders>
            <w:vAlign w:val="center"/>
          </w:tcPr>
          <w:p w14:paraId="586756E7" w14:textId="73786A6B" w:rsidR="00CC4B81" w:rsidRPr="00057236" w:rsidRDefault="00AA7A9D" w:rsidP="00C578E2">
            <w:pPr>
              <w:ind w:right="624"/>
              <w:jc w:val="right"/>
              <w:rPr>
                <w:rFonts w:ascii="Verdana" w:hAnsi="Verdana"/>
                <w:color w:val="366092"/>
                <w:sz w:val="18"/>
                <w:szCs w:val="18"/>
              </w:rPr>
            </w:pPr>
            <w:r w:rsidRPr="00057236">
              <w:rPr>
                <w:rFonts w:ascii="Verdana" w:hAnsi="Verdana"/>
                <w:color w:val="366092"/>
                <w:sz w:val="18"/>
                <w:szCs w:val="18"/>
              </w:rPr>
              <w:t>1,4</w:t>
            </w:r>
          </w:p>
        </w:tc>
      </w:tr>
      <w:tr w:rsidR="00057236" w:rsidRPr="00057236" w14:paraId="01960CF2" w14:textId="77777777" w:rsidTr="00157BA4">
        <w:trPr>
          <w:trHeight w:val="624"/>
          <w:jc w:val="center"/>
        </w:trPr>
        <w:tc>
          <w:tcPr>
            <w:tcW w:w="1212" w:type="dxa"/>
            <w:tcBorders>
              <w:top w:val="nil"/>
              <w:left w:val="nil"/>
              <w:bottom w:val="nil"/>
              <w:right w:val="nil"/>
            </w:tcBorders>
            <w:vAlign w:val="center"/>
          </w:tcPr>
          <w:p w14:paraId="66F18B48" w14:textId="77777777" w:rsidR="00CC4B81" w:rsidRPr="00057236" w:rsidRDefault="00CC4B81" w:rsidP="00CC4B81">
            <w:pPr>
              <w:jc w:val="cente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45.2</w:t>
            </w:r>
          </w:p>
        </w:tc>
        <w:tc>
          <w:tcPr>
            <w:tcW w:w="3231" w:type="dxa"/>
            <w:tcBorders>
              <w:top w:val="nil"/>
              <w:left w:val="nil"/>
              <w:bottom w:val="nil"/>
              <w:right w:val="nil"/>
            </w:tcBorders>
            <w:vAlign w:val="center"/>
          </w:tcPr>
          <w:p w14:paraId="5B793653" w14:textId="77777777" w:rsidR="00CC4B81" w:rsidRPr="00057236" w:rsidRDefault="00CC4B81" w:rsidP="00CC4B81">
            <w:pP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Συντήρηση και επισκευή μηχανοκίνητων οχημάτων</w:t>
            </w:r>
          </w:p>
        </w:tc>
        <w:tc>
          <w:tcPr>
            <w:tcW w:w="1468" w:type="dxa"/>
            <w:tcBorders>
              <w:top w:val="nil"/>
              <w:left w:val="nil"/>
              <w:bottom w:val="nil"/>
              <w:right w:val="nil"/>
            </w:tcBorders>
            <w:vAlign w:val="center"/>
          </w:tcPr>
          <w:p w14:paraId="542600F1" w14:textId="4AE1F791" w:rsidR="00CC4B81" w:rsidRPr="00057236" w:rsidRDefault="00AA7A9D" w:rsidP="00CC4B81">
            <w:pPr>
              <w:ind w:right="340"/>
              <w:jc w:val="right"/>
              <w:rPr>
                <w:rFonts w:ascii="Verdana" w:hAnsi="Verdana"/>
                <w:color w:val="366092"/>
                <w:sz w:val="18"/>
                <w:szCs w:val="18"/>
              </w:rPr>
            </w:pPr>
            <w:r w:rsidRPr="00057236">
              <w:rPr>
                <w:rFonts w:ascii="Verdana" w:hAnsi="Verdana"/>
                <w:color w:val="366092"/>
                <w:sz w:val="18"/>
                <w:szCs w:val="18"/>
              </w:rPr>
              <w:t>140,4</w:t>
            </w:r>
          </w:p>
        </w:tc>
        <w:tc>
          <w:tcPr>
            <w:tcW w:w="273" w:type="dxa"/>
            <w:tcBorders>
              <w:top w:val="nil"/>
              <w:left w:val="nil"/>
              <w:bottom w:val="nil"/>
              <w:right w:val="nil"/>
            </w:tcBorders>
            <w:vAlign w:val="center"/>
          </w:tcPr>
          <w:p w14:paraId="50FF01E1" w14:textId="77777777" w:rsidR="00CC4B81" w:rsidRPr="00057236" w:rsidRDefault="00CC4B81" w:rsidP="00CC4B81">
            <w:pPr>
              <w:jc w:val="right"/>
              <w:rPr>
                <w:rFonts w:ascii="Verdana" w:eastAsia="Times New Roman" w:hAnsi="Verdana" w:cs="Arial"/>
                <w:color w:val="366092"/>
                <w:sz w:val="18"/>
                <w:szCs w:val="18"/>
                <w:lang w:val="el-GR"/>
              </w:rPr>
            </w:pPr>
          </w:p>
        </w:tc>
        <w:tc>
          <w:tcPr>
            <w:tcW w:w="1613" w:type="dxa"/>
            <w:tcBorders>
              <w:top w:val="nil"/>
              <w:left w:val="nil"/>
              <w:bottom w:val="nil"/>
              <w:right w:val="nil"/>
            </w:tcBorders>
            <w:vAlign w:val="center"/>
          </w:tcPr>
          <w:p w14:paraId="61F7F6E5" w14:textId="1D841E1E" w:rsidR="00CC4B81" w:rsidRPr="00057236" w:rsidRDefault="00AA7A9D" w:rsidP="00CC4B81">
            <w:pPr>
              <w:ind w:right="680"/>
              <w:jc w:val="right"/>
              <w:rPr>
                <w:rFonts w:ascii="Verdana" w:hAnsi="Verdana"/>
                <w:color w:val="366092"/>
                <w:sz w:val="18"/>
                <w:szCs w:val="18"/>
              </w:rPr>
            </w:pPr>
            <w:r w:rsidRPr="00057236">
              <w:rPr>
                <w:rFonts w:ascii="Verdana" w:hAnsi="Verdana"/>
                <w:color w:val="366092"/>
                <w:sz w:val="18"/>
                <w:szCs w:val="18"/>
              </w:rPr>
              <w:t>4,8</w:t>
            </w:r>
          </w:p>
        </w:tc>
        <w:tc>
          <w:tcPr>
            <w:tcW w:w="1559" w:type="dxa"/>
            <w:tcBorders>
              <w:top w:val="nil"/>
              <w:left w:val="nil"/>
              <w:bottom w:val="nil"/>
              <w:right w:val="nil"/>
            </w:tcBorders>
            <w:vAlign w:val="center"/>
          </w:tcPr>
          <w:p w14:paraId="00C78716" w14:textId="6421391F" w:rsidR="00CC4B81" w:rsidRPr="00057236" w:rsidRDefault="00AA7A9D" w:rsidP="00C578E2">
            <w:pPr>
              <w:ind w:right="624"/>
              <w:jc w:val="right"/>
              <w:rPr>
                <w:rFonts w:ascii="Verdana" w:hAnsi="Verdana"/>
                <w:color w:val="366092"/>
                <w:sz w:val="18"/>
                <w:szCs w:val="18"/>
              </w:rPr>
            </w:pPr>
            <w:r w:rsidRPr="00057236">
              <w:rPr>
                <w:rFonts w:ascii="Verdana" w:hAnsi="Verdana"/>
                <w:color w:val="366092"/>
                <w:sz w:val="18"/>
                <w:szCs w:val="18"/>
              </w:rPr>
              <w:t>6,1</w:t>
            </w:r>
          </w:p>
        </w:tc>
      </w:tr>
      <w:tr w:rsidR="00057236" w:rsidRPr="00057236" w14:paraId="69DF769F" w14:textId="77777777" w:rsidTr="00157BA4">
        <w:trPr>
          <w:trHeight w:val="624"/>
          <w:jc w:val="center"/>
        </w:trPr>
        <w:tc>
          <w:tcPr>
            <w:tcW w:w="1212" w:type="dxa"/>
            <w:tcBorders>
              <w:top w:val="nil"/>
              <w:left w:val="nil"/>
              <w:bottom w:val="nil"/>
              <w:right w:val="nil"/>
            </w:tcBorders>
            <w:vAlign w:val="center"/>
          </w:tcPr>
          <w:p w14:paraId="747B4AFF" w14:textId="77777777" w:rsidR="00CC4B81" w:rsidRPr="00057236" w:rsidRDefault="00CC4B81" w:rsidP="00CC4B81">
            <w:pPr>
              <w:jc w:val="cente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45.3</w:t>
            </w:r>
          </w:p>
        </w:tc>
        <w:tc>
          <w:tcPr>
            <w:tcW w:w="3231" w:type="dxa"/>
            <w:tcBorders>
              <w:top w:val="nil"/>
              <w:left w:val="nil"/>
              <w:bottom w:val="nil"/>
              <w:right w:val="nil"/>
            </w:tcBorders>
            <w:vAlign w:val="center"/>
          </w:tcPr>
          <w:p w14:paraId="38F90EFC" w14:textId="77777777" w:rsidR="00CC4B81" w:rsidRPr="00057236" w:rsidRDefault="00CC4B81" w:rsidP="00CC4B81">
            <w:pP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Πώληση μερών και εξαρτημάτων μηχανοκίνητων οχημάτων</w:t>
            </w:r>
          </w:p>
        </w:tc>
        <w:tc>
          <w:tcPr>
            <w:tcW w:w="1468" w:type="dxa"/>
            <w:tcBorders>
              <w:top w:val="nil"/>
              <w:left w:val="nil"/>
              <w:bottom w:val="nil"/>
              <w:right w:val="nil"/>
            </w:tcBorders>
            <w:vAlign w:val="center"/>
          </w:tcPr>
          <w:p w14:paraId="45C0ABE5" w14:textId="67322821" w:rsidR="00CC4B81" w:rsidRPr="00057236" w:rsidRDefault="00AA7A9D" w:rsidP="00CC4B81">
            <w:pPr>
              <w:ind w:right="340"/>
              <w:jc w:val="right"/>
              <w:rPr>
                <w:rFonts w:ascii="Verdana" w:hAnsi="Verdana"/>
                <w:color w:val="366092"/>
                <w:sz w:val="18"/>
                <w:szCs w:val="18"/>
              </w:rPr>
            </w:pPr>
            <w:r w:rsidRPr="00057236">
              <w:rPr>
                <w:rFonts w:ascii="Verdana" w:hAnsi="Verdana"/>
                <w:color w:val="366092"/>
                <w:sz w:val="18"/>
                <w:szCs w:val="18"/>
              </w:rPr>
              <w:t>147,7</w:t>
            </w:r>
          </w:p>
        </w:tc>
        <w:tc>
          <w:tcPr>
            <w:tcW w:w="273" w:type="dxa"/>
            <w:tcBorders>
              <w:top w:val="nil"/>
              <w:left w:val="nil"/>
              <w:bottom w:val="nil"/>
              <w:right w:val="nil"/>
            </w:tcBorders>
            <w:vAlign w:val="center"/>
          </w:tcPr>
          <w:p w14:paraId="0B8F3B93" w14:textId="77777777" w:rsidR="00CC4B81" w:rsidRPr="00057236" w:rsidRDefault="00CC4B81" w:rsidP="00CC4B81">
            <w:pPr>
              <w:jc w:val="right"/>
              <w:rPr>
                <w:rFonts w:ascii="Verdana" w:eastAsia="Times New Roman" w:hAnsi="Verdana" w:cs="Arial"/>
                <w:color w:val="366092"/>
                <w:sz w:val="18"/>
                <w:szCs w:val="18"/>
                <w:lang w:val="el-GR"/>
              </w:rPr>
            </w:pPr>
          </w:p>
        </w:tc>
        <w:tc>
          <w:tcPr>
            <w:tcW w:w="1613" w:type="dxa"/>
            <w:tcBorders>
              <w:top w:val="nil"/>
              <w:left w:val="nil"/>
              <w:bottom w:val="nil"/>
              <w:right w:val="nil"/>
            </w:tcBorders>
            <w:vAlign w:val="center"/>
          </w:tcPr>
          <w:p w14:paraId="10ED1F8B" w14:textId="0DFDCE00" w:rsidR="00CC4B81" w:rsidRPr="00057236" w:rsidRDefault="00AA7A9D" w:rsidP="00CC4B81">
            <w:pPr>
              <w:ind w:right="680"/>
              <w:jc w:val="right"/>
              <w:rPr>
                <w:rFonts w:ascii="Verdana" w:hAnsi="Verdana"/>
                <w:color w:val="366092"/>
                <w:sz w:val="18"/>
                <w:szCs w:val="18"/>
              </w:rPr>
            </w:pPr>
            <w:r w:rsidRPr="00057236">
              <w:rPr>
                <w:rFonts w:ascii="Verdana" w:hAnsi="Verdana"/>
                <w:color w:val="366092"/>
                <w:sz w:val="18"/>
                <w:szCs w:val="18"/>
              </w:rPr>
              <w:t>3,3</w:t>
            </w:r>
          </w:p>
        </w:tc>
        <w:tc>
          <w:tcPr>
            <w:tcW w:w="1559" w:type="dxa"/>
            <w:tcBorders>
              <w:top w:val="nil"/>
              <w:left w:val="nil"/>
              <w:bottom w:val="nil"/>
              <w:right w:val="nil"/>
            </w:tcBorders>
            <w:vAlign w:val="center"/>
          </w:tcPr>
          <w:p w14:paraId="73DFC041" w14:textId="25B99A69" w:rsidR="00CC4B81" w:rsidRPr="00057236" w:rsidRDefault="00AA7A9D" w:rsidP="00C578E2">
            <w:pPr>
              <w:ind w:right="624"/>
              <w:jc w:val="right"/>
              <w:rPr>
                <w:rFonts w:ascii="Verdana" w:hAnsi="Verdana"/>
                <w:color w:val="366092"/>
                <w:sz w:val="18"/>
                <w:szCs w:val="18"/>
              </w:rPr>
            </w:pPr>
            <w:r w:rsidRPr="00057236">
              <w:rPr>
                <w:rFonts w:ascii="Verdana" w:hAnsi="Verdana"/>
                <w:color w:val="366092"/>
                <w:sz w:val="18"/>
                <w:szCs w:val="18"/>
              </w:rPr>
              <w:t>6,7</w:t>
            </w:r>
          </w:p>
        </w:tc>
      </w:tr>
      <w:tr w:rsidR="00057236" w:rsidRPr="00057236" w14:paraId="37CCE63D" w14:textId="77777777" w:rsidTr="00157BA4">
        <w:trPr>
          <w:trHeight w:val="851"/>
          <w:jc w:val="center"/>
        </w:trPr>
        <w:tc>
          <w:tcPr>
            <w:tcW w:w="1212" w:type="dxa"/>
            <w:tcBorders>
              <w:top w:val="nil"/>
              <w:left w:val="nil"/>
              <w:bottom w:val="nil"/>
              <w:right w:val="nil"/>
            </w:tcBorders>
            <w:vAlign w:val="center"/>
          </w:tcPr>
          <w:p w14:paraId="3CD69917" w14:textId="77777777" w:rsidR="00CC4B81" w:rsidRPr="00057236" w:rsidRDefault="00CC4B81" w:rsidP="00CC4B81">
            <w:pPr>
              <w:jc w:val="cente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45.4</w:t>
            </w:r>
          </w:p>
        </w:tc>
        <w:tc>
          <w:tcPr>
            <w:tcW w:w="3231" w:type="dxa"/>
            <w:tcBorders>
              <w:top w:val="nil"/>
              <w:left w:val="nil"/>
              <w:bottom w:val="nil"/>
              <w:right w:val="nil"/>
            </w:tcBorders>
            <w:vAlign w:val="center"/>
          </w:tcPr>
          <w:p w14:paraId="0FBBCD57" w14:textId="77777777" w:rsidR="00CC4B81" w:rsidRPr="00057236" w:rsidRDefault="00CC4B81" w:rsidP="00CC4B81">
            <w:pP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Πώληση, συντήρηση και επισκευή μοτοσικλετών και των μερών και εξαρτημάτων τους</w:t>
            </w:r>
          </w:p>
        </w:tc>
        <w:tc>
          <w:tcPr>
            <w:tcW w:w="1468" w:type="dxa"/>
            <w:tcBorders>
              <w:top w:val="nil"/>
              <w:left w:val="nil"/>
              <w:bottom w:val="nil"/>
              <w:right w:val="nil"/>
            </w:tcBorders>
            <w:vAlign w:val="center"/>
          </w:tcPr>
          <w:p w14:paraId="32C14F1C" w14:textId="18B18CB2" w:rsidR="00CC4B81" w:rsidRPr="00057236" w:rsidRDefault="00AA7A9D" w:rsidP="00CC4B81">
            <w:pPr>
              <w:ind w:right="340"/>
              <w:jc w:val="right"/>
              <w:rPr>
                <w:rFonts w:ascii="Verdana" w:hAnsi="Verdana"/>
                <w:color w:val="366092"/>
                <w:sz w:val="18"/>
                <w:szCs w:val="18"/>
              </w:rPr>
            </w:pPr>
            <w:r w:rsidRPr="00057236">
              <w:rPr>
                <w:rFonts w:ascii="Verdana" w:hAnsi="Verdana"/>
                <w:color w:val="366092"/>
                <w:sz w:val="18"/>
                <w:szCs w:val="18"/>
              </w:rPr>
              <w:t>164,3</w:t>
            </w:r>
          </w:p>
        </w:tc>
        <w:tc>
          <w:tcPr>
            <w:tcW w:w="273" w:type="dxa"/>
            <w:tcBorders>
              <w:top w:val="nil"/>
              <w:left w:val="nil"/>
              <w:bottom w:val="nil"/>
              <w:right w:val="nil"/>
            </w:tcBorders>
            <w:vAlign w:val="center"/>
          </w:tcPr>
          <w:p w14:paraId="3D04AA1B" w14:textId="77777777" w:rsidR="00CC4B81" w:rsidRPr="00057236" w:rsidRDefault="00CC4B81" w:rsidP="00CC4B81">
            <w:pPr>
              <w:jc w:val="right"/>
              <w:rPr>
                <w:rFonts w:ascii="Verdana" w:eastAsia="Times New Roman" w:hAnsi="Verdana" w:cs="Arial"/>
                <w:color w:val="366092"/>
                <w:sz w:val="18"/>
                <w:szCs w:val="18"/>
                <w:lang w:val="el-GR"/>
              </w:rPr>
            </w:pPr>
          </w:p>
        </w:tc>
        <w:tc>
          <w:tcPr>
            <w:tcW w:w="1613" w:type="dxa"/>
            <w:tcBorders>
              <w:top w:val="nil"/>
              <w:left w:val="nil"/>
              <w:bottom w:val="nil"/>
              <w:right w:val="nil"/>
            </w:tcBorders>
            <w:vAlign w:val="center"/>
          </w:tcPr>
          <w:p w14:paraId="76FEABD7" w14:textId="574C1ECD" w:rsidR="00CC4B81" w:rsidRPr="00057236" w:rsidRDefault="00AA7A9D" w:rsidP="00CC4B81">
            <w:pPr>
              <w:ind w:right="680"/>
              <w:jc w:val="right"/>
              <w:rPr>
                <w:rFonts w:ascii="Verdana" w:hAnsi="Verdana"/>
                <w:color w:val="366092"/>
                <w:sz w:val="18"/>
                <w:szCs w:val="18"/>
              </w:rPr>
            </w:pPr>
            <w:r w:rsidRPr="00057236">
              <w:rPr>
                <w:rFonts w:ascii="Verdana" w:hAnsi="Verdana"/>
                <w:color w:val="366092"/>
                <w:sz w:val="18"/>
                <w:szCs w:val="18"/>
              </w:rPr>
              <w:t>0,9</w:t>
            </w:r>
          </w:p>
        </w:tc>
        <w:tc>
          <w:tcPr>
            <w:tcW w:w="1559" w:type="dxa"/>
            <w:tcBorders>
              <w:top w:val="nil"/>
              <w:left w:val="nil"/>
              <w:bottom w:val="nil"/>
              <w:right w:val="nil"/>
            </w:tcBorders>
            <w:vAlign w:val="center"/>
          </w:tcPr>
          <w:p w14:paraId="231355BD" w14:textId="1E7BB00F" w:rsidR="00CC4B81" w:rsidRPr="00057236" w:rsidRDefault="00AA7A9D" w:rsidP="00C578E2">
            <w:pPr>
              <w:ind w:right="624"/>
              <w:jc w:val="right"/>
              <w:rPr>
                <w:rFonts w:ascii="Verdana" w:hAnsi="Verdana"/>
                <w:color w:val="366092"/>
                <w:sz w:val="18"/>
                <w:szCs w:val="18"/>
              </w:rPr>
            </w:pPr>
            <w:r w:rsidRPr="00057236">
              <w:rPr>
                <w:rFonts w:ascii="Verdana" w:hAnsi="Verdana"/>
                <w:color w:val="366092"/>
                <w:sz w:val="18"/>
                <w:szCs w:val="18"/>
              </w:rPr>
              <w:t>23,5</w:t>
            </w:r>
          </w:p>
        </w:tc>
      </w:tr>
      <w:tr w:rsidR="00057236" w:rsidRPr="00057236" w14:paraId="52E2B5A1" w14:textId="77777777" w:rsidTr="00057236">
        <w:trPr>
          <w:trHeight w:val="113"/>
          <w:jc w:val="center"/>
        </w:trPr>
        <w:tc>
          <w:tcPr>
            <w:tcW w:w="1212" w:type="dxa"/>
            <w:tcBorders>
              <w:top w:val="nil"/>
              <w:left w:val="nil"/>
              <w:bottom w:val="single" w:sz="4" w:space="0" w:color="366092"/>
              <w:right w:val="nil"/>
            </w:tcBorders>
            <w:vAlign w:val="center"/>
          </w:tcPr>
          <w:p w14:paraId="4AA97CF0" w14:textId="77777777" w:rsidR="00CC4B81" w:rsidRPr="00057236" w:rsidRDefault="00CC4B81" w:rsidP="00CC4B81">
            <w:pPr>
              <w:jc w:val="center"/>
              <w:rPr>
                <w:rFonts w:ascii="Verdana" w:eastAsia="Times New Roman" w:hAnsi="Verdana" w:cs="Arial"/>
                <w:b/>
                <w:bCs/>
                <w:color w:val="366092"/>
                <w:sz w:val="18"/>
                <w:szCs w:val="18"/>
                <w:lang w:val="el-GR"/>
              </w:rPr>
            </w:pPr>
          </w:p>
        </w:tc>
        <w:tc>
          <w:tcPr>
            <w:tcW w:w="3231" w:type="dxa"/>
            <w:tcBorders>
              <w:top w:val="nil"/>
              <w:left w:val="nil"/>
              <w:bottom w:val="single" w:sz="4" w:space="0" w:color="366092"/>
              <w:right w:val="nil"/>
            </w:tcBorders>
            <w:vAlign w:val="center"/>
          </w:tcPr>
          <w:p w14:paraId="632AE7AA" w14:textId="77777777" w:rsidR="00CC4B81" w:rsidRPr="00057236" w:rsidRDefault="00CC4B81" w:rsidP="00CC4B81">
            <w:pPr>
              <w:rPr>
                <w:rFonts w:ascii="Verdana" w:eastAsia="Times New Roman" w:hAnsi="Verdana" w:cs="Arial"/>
                <w:b/>
                <w:bCs/>
                <w:color w:val="366092"/>
                <w:sz w:val="18"/>
                <w:szCs w:val="18"/>
                <w:lang w:val="el-GR"/>
              </w:rPr>
            </w:pPr>
          </w:p>
        </w:tc>
        <w:tc>
          <w:tcPr>
            <w:tcW w:w="1468" w:type="dxa"/>
            <w:tcBorders>
              <w:top w:val="nil"/>
              <w:left w:val="nil"/>
              <w:bottom w:val="single" w:sz="4" w:space="0" w:color="366092"/>
              <w:right w:val="nil"/>
            </w:tcBorders>
            <w:vAlign w:val="center"/>
          </w:tcPr>
          <w:p w14:paraId="000654DB" w14:textId="77777777" w:rsidR="00CC4B81" w:rsidRPr="00057236" w:rsidRDefault="00CC4B81" w:rsidP="00CC4B81">
            <w:pPr>
              <w:ind w:right="340"/>
              <w:jc w:val="right"/>
              <w:rPr>
                <w:rFonts w:ascii="Verdana" w:hAnsi="Verdana"/>
                <w:b/>
                <w:color w:val="366092"/>
                <w:sz w:val="18"/>
                <w:szCs w:val="18"/>
                <w:lang w:val="el-GR"/>
              </w:rPr>
            </w:pPr>
          </w:p>
        </w:tc>
        <w:tc>
          <w:tcPr>
            <w:tcW w:w="273" w:type="dxa"/>
            <w:tcBorders>
              <w:top w:val="nil"/>
              <w:left w:val="nil"/>
              <w:bottom w:val="single" w:sz="4" w:space="0" w:color="366092"/>
              <w:right w:val="nil"/>
            </w:tcBorders>
            <w:vAlign w:val="center"/>
          </w:tcPr>
          <w:p w14:paraId="0DF1FED9" w14:textId="77777777" w:rsidR="00CC4B81" w:rsidRPr="00057236" w:rsidRDefault="00CC4B81" w:rsidP="00CC4B81">
            <w:pPr>
              <w:jc w:val="right"/>
              <w:rPr>
                <w:rFonts w:ascii="Verdana" w:eastAsia="Times New Roman" w:hAnsi="Verdana" w:cs="Arial"/>
                <w:b/>
                <w:bCs/>
                <w:color w:val="366092"/>
                <w:sz w:val="18"/>
                <w:szCs w:val="18"/>
                <w:lang w:val="el-GR"/>
              </w:rPr>
            </w:pPr>
          </w:p>
        </w:tc>
        <w:tc>
          <w:tcPr>
            <w:tcW w:w="1613" w:type="dxa"/>
            <w:tcBorders>
              <w:top w:val="nil"/>
              <w:left w:val="nil"/>
              <w:bottom w:val="single" w:sz="4" w:space="0" w:color="366092"/>
              <w:right w:val="nil"/>
            </w:tcBorders>
            <w:vAlign w:val="center"/>
          </w:tcPr>
          <w:p w14:paraId="17CA8189" w14:textId="77777777" w:rsidR="00CC4B81" w:rsidRPr="00057236" w:rsidRDefault="00CC4B81" w:rsidP="00CC4B81">
            <w:pPr>
              <w:jc w:val="right"/>
              <w:rPr>
                <w:rFonts w:ascii="Verdana" w:hAnsi="Verdana"/>
                <w:b/>
                <w:color w:val="366092"/>
                <w:sz w:val="18"/>
                <w:szCs w:val="18"/>
                <w:lang w:val="el-GR"/>
              </w:rPr>
            </w:pPr>
          </w:p>
        </w:tc>
        <w:tc>
          <w:tcPr>
            <w:tcW w:w="1559" w:type="dxa"/>
            <w:tcBorders>
              <w:top w:val="nil"/>
              <w:left w:val="nil"/>
              <w:bottom w:val="single" w:sz="4" w:space="0" w:color="366092"/>
              <w:right w:val="nil"/>
            </w:tcBorders>
            <w:vAlign w:val="center"/>
          </w:tcPr>
          <w:p w14:paraId="4ED81677" w14:textId="77777777" w:rsidR="00CC4B81" w:rsidRPr="00057236" w:rsidRDefault="00CC4B81" w:rsidP="00C578E2">
            <w:pPr>
              <w:ind w:right="624"/>
              <w:jc w:val="right"/>
              <w:rPr>
                <w:rFonts w:ascii="Verdana" w:hAnsi="Verdana"/>
                <w:color w:val="366092"/>
                <w:sz w:val="18"/>
                <w:szCs w:val="18"/>
                <w:lang w:val="el-GR"/>
              </w:rPr>
            </w:pPr>
          </w:p>
        </w:tc>
      </w:tr>
      <w:tr w:rsidR="00057236" w:rsidRPr="00057236" w14:paraId="4936FA83" w14:textId="77777777" w:rsidTr="00BB7ED8">
        <w:trPr>
          <w:trHeight w:val="1304"/>
          <w:jc w:val="center"/>
        </w:trPr>
        <w:tc>
          <w:tcPr>
            <w:tcW w:w="1212" w:type="dxa"/>
            <w:tcBorders>
              <w:top w:val="single" w:sz="4" w:space="0" w:color="366092"/>
              <w:left w:val="nil"/>
              <w:bottom w:val="single" w:sz="4" w:space="0" w:color="366092"/>
              <w:right w:val="nil"/>
            </w:tcBorders>
            <w:vAlign w:val="center"/>
          </w:tcPr>
          <w:p w14:paraId="5E5EC66A" w14:textId="77777777" w:rsidR="00CC4B81" w:rsidRPr="00057236" w:rsidRDefault="00CC4B81" w:rsidP="00CC4B81">
            <w:pPr>
              <w:jc w:val="center"/>
              <w:rPr>
                <w:rFonts w:ascii="Verdana" w:eastAsia="Times New Roman" w:hAnsi="Verdana" w:cs="Arial"/>
                <w:b/>
                <w:bCs/>
                <w:color w:val="366092"/>
                <w:sz w:val="18"/>
                <w:szCs w:val="18"/>
                <w:lang w:val="el-GR"/>
              </w:rPr>
            </w:pPr>
            <w:r w:rsidRPr="00057236">
              <w:rPr>
                <w:rFonts w:ascii="Verdana" w:eastAsia="Times New Roman" w:hAnsi="Verdana" w:cs="Arial"/>
                <w:b/>
                <w:bCs/>
                <w:color w:val="366092"/>
                <w:sz w:val="18"/>
                <w:szCs w:val="18"/>
                <w:lang w:val="el-GR"/>
              </w:rPr>
              <w:t>45</w:t>
            </w:r>
          </w:p>
        </w:tc>
        <w:tc>
          <w:tcPr>
            <w:tcW w:w="3231" w:type="dxa"/>
            <w:tcBorders>
              <w:top w:val="single" w:sz="4" w:space="0" w:color="366092"/>
              <w:left w:val="nil"/>
              <w:bottom w:val="single" w:sz="4" w:space="0" w:color="366092"/>
              <w:right w:val="nil"/>
            </w:tcBorders>
            <w:vAlign w:val="center"/>
          </w:tcPr>
          <w:p w14:paraId="74EEC40B" w14:textId="77777777" w:rsidR="00CC4B81" w:rsidRPr="00057236" w:rsidRDefault="00CC4B81" w:rsidP="00CC4B81">
            <w:pPr>
              <w:rPr>
                <w:rFonts w:ascii="Verdana" w:eastAsia="Times New Roman" w:hAnsi="Verdana" w:cs="Arial"/>
                <w:b/>
                <w:bCs/>
                <w:color w:val="366092"/>
                <w:sz w:val="18"/>
                <w:szCs w:val="18"/>
                <w:lang w:val="el-GR"/>
              </w:rPr>
            </w:pPr>
            <w:r w:rsidRPr="00057236">
              <w:rPr>
                <w:rFonts w:ascii="Verdana" w:eastAsia="Times New Roman" w:hAnsi="Verdana" w:cs="Arial"/>
                <w:b/>
                <w:bCs/>
                <w:color w:val="366092"/>
                <w:sz w:val="18"/>
                <w:szCs w:val="18"/>
                <w:lang w:val="el-GR"/>
              </w:rPr>
              <w:t>ΧΟΝΔΡΙΚΟ ΚΑΙ ΛΙΑΝΙΚΟ ΕΜΠΟΡΙΟ ΚΑΙ ΕΠΙΣΚΕΥΗ ΜΗΧΑΝΟΚΙΝΗΤΩΝ ΟΧΗΜΑΤΩΝ ΚΑΙ ΜΟΤΟΣΙΚΛΕΤΩΝ</w:t>
            </w:r>
          </w:p>
        </w:tc>
        <w:tc>
          <w:tcPr>
            <w:tcW w:w="1468" w:type="dxa"/>
            <w:tcBorders>
              <w:top w:val="single" w:sz="4" w:space="0" w:color="366092"/>
              <w:left w:val="nil"/>
              <w:bottom w:val="single" w:sz="4" w:space="0" w:color="366092"/>
              <w:right w:val="nil"/>
            </w:tcBorders>
            <w:vAlign w:val="center"/>
          </w:tcPr>
          <w:p w14:paraId="06E3DDA6" w14:textId="0536B9EC" w:rsidR="00CC4B81" w:rsidRPr="00057236" w:rsidRDefault="00AA7A9D" w:rsidP="00CC4B81">
            <w:pPr>
              <w:ind w:right="340"/>
              <w:jc w:val="right"/>
              <w:rPr>
                <w:rFonts w:ascii="Verdana" w:hAnsi="Verdana"/>
                <w:b/>
                <w:color w:val="366092"/>
                <w:sz w:val="18"/>
                <w:szCs w:val="18"/>
              </w:rPr>
            </w:pPr>
            <w:r w:rsidRPr="00057236">
              <w:rPr>
                <w:rFonts w:ascii="Verdana" w:hAnsi="Verdana"/>
                <w:b/>
                <w:color w:val="366092"/>
                <w:sz w:val="18"/>
                <w:szCs w:val="18"/>
              </w:rPr>
              <w:t>156,2</w:t>
            </w:r>
          </w:p>
        </w:tc>
        <w:tc>
          <w:tcPr>
            <w:tcW w:w="273" w:type="dxa"/>
            <w:tcBorders>
              <w:top w:val="single" w:sz="4" w:space="0" w:color="366092"/>
              <w:left w:val="nil"/>
              <w:bottom w:val="single" w:sz="4" w:space="0" w:color="366092"/>
              <w:right w:val="nil"/>
            </w:tcBorders>
            <w:vAlign w:val="center"/>
          </w:tcPr>
          <w:p w14:paraId="6EBAE253" w14:textId="77777777" w:rsidR="00CC4B81" w:rsidRPr="00057236" w:rsidRDefault="00CC4B81" w:rsidP="00CC4B81">
            <w:pPr>
              <w:jc w:val="right"/>
              <w:rPr>
                <w:rFonts w:ascii="Verdana" w:eastAsia="Times New Roman" w:hAnsi="Verdana" w:cs="Arial"/>
                <w:b/>
                <w:bCs/>
                <w:color w:val="366092"/>
                <w:sz w:val="18"/>
                <w:szCs w:val="18"/>
                <w:lang w:val="el-GR"/>
              </w:rPr>
            </w:pPr>
          </w:p>
        </w:tc>
        <w:tc>
          <w:tcPr>
            <w:tcW w:w="1613" w:type="dxa"/>
            <w:tcBorders>
              <w:top w:val="single" w:sz="4" w:space="0" w:color="366092"/>
              <w:left w:val="nil"/>
              <w:bottom w:val="single" w:sz="4" w:space="0" w:color="366092"/>
              <w:right w:val="nil"/>
            </w:tcBorders>
            <w:vAlign w:val="center"/>
          </w:tcPr>
          <w:p w14:paraId="12896CC3" w14:textId="3DF52571" w:rsidR="00CC4B81" w:rsidRPr="00057236" w:rsidRDefault="00AA7A9D" w:rsidP="00CC4B81">
            <w:pPr>
              <w:ind w:right="680"/>
              <w:jc w:val="right"/>
              <w:rPr>
                <w:rFonts w:ascii="Verdana" w:hAnsi="Verdana"/>
                <w:b/>
                <w:color w:val="366092"/>
                <w:sz w:val="18"/>
                <w:szCs w:val="18"/>
              </w:rPr>
            </w:pPr>
            <w:r w:rsidRPr="00057236">
              <w:rPr>
                <w:rFonts w:ascii="Verdana" w:hAnsi="Verdana"/>
                <w:b/>
                <w:color w:val="366092"/>
                <w:sz w:val="18"/>
                <w:szCs w:val="18"/>
              </w:rPr>
              <w:t>7,6</w:t>
            </w:r>
          </w:p>
        </w:tc>
        <w:tc>
          <w:tcPr>
            <w:tcW w:w="1559" w:type="dxa"/>
            <w:tcBorders>
              <w:top w:val="single" w:sz="4" w:space="0" w:color="366092"/>
              <w:left w:val="nil"/>
              <w:bottom w:val="single" w:sz="4" w:space="0" w:color="366092"/>
              <w:right w:val="nil"/>
            </w:tcBorders>
            <w:vAlign w:val="center"/>
          </w:tcPr>
          <w:p w14:paraId="3D1E29D1" w14:textId="395FC023" w:rsidR="00CC4B81" w:rsidRPr="00057236" w:rsidRDefault="00AA7A9D" w:rsidP="00C578E2">
            <w:pPr>
              <w:ind w:right="624"/>
              <w:jc w:val="right"/>
              <w:rPr>
                <w:rFonts w:ascii="Verdana" w:hAnsi="Verdana"/>
                <w:b/>
                <w:bCs/>
                <w:color w:val="366092"/>
                <w:sz w:val="18"/>
                <w:szCs w:val="18"/>
              </w:rPr>
            </w:pPr>
            <w:r w:rsidRPr="00057236">
              <w:rPr>
                <w:rFonts w:ascii="Verdana" w:hAnsi="Verdana"/>
                <w:b/>
                <w:bCs/>
                <w:color w:val="366092"/>
                <w:sz w:val="18"/>
                <w:szCs w:val="18"/>
              </w:rPr>
              <w:t>3,7</w:t>
            </w:r>
          </w:p>
        </w:tc>
      </w:tr>
    </w:tbl>
    <w:p w14:paraId="1E360637" w14:textId="1999278D" w:rsidR="00794664" w:rsidRDefault="00794664" w:rsidP="00794664">
      <w:pPr>
        <w:rPr>
          <w:rFonts w:ascii="Verdana" w:eastAsia="Malgun Gothic" w:hAnsi="Verdana" w:cs="Arial"/>
          <w:sz w:val="18"/>
          <w:szCs w:val="18"/>
          <w:lang w:val="el-GR"/>
        </w:rPr>
      </w:pPr>
    </w:p>
    <w:p w14:paraId="2C403D79" w14:textId="6C30573F" w:rsidR="00794664" w:rsidRDefault="00794664" w:rsidP="00794664">
      <w:pPr>
        <w:tabs>
          <w:tab w:val="left" w:pos="1080"/>
          <w:tab w:val="left" w:pos="6840"/>
        </w:tabs>
        <w:jc w:val="center"/>
        <w:rPr>
          <w:rFonts w:ascii="Verdana" w:eastAsia="Malgun Gothic" w:hAnsi="Verdana" w:cs="Arial"/>
          <w:b/>
          <w:sz w:val="18"/>
          <w:szCs w:val="18"/>
          <w:u w:val="single"/>
          <w:lang w:val="el-GR"/>
        </w:rPr>
      </w:pPr>
    </w:p>
    <w:p w14:paraId="1FF9BD33" w14:textId="77777777" w:rsidR="00FA1B71" w:rsidRPr="00A12E81" w:rsidRDefault="00FA1B71" w:rsidP="00794664">
      <w:pPr>
        <w:tabs>
          <w:tab w:val="left" w:pos="1080"/>
          <w:tab w:val="left" w:pos="6840"/>
        </w:tabs>
        <w:jc w:val="center"/>
        <w:rPr>
          <w:rFonts w:ascii="Verdana" w:eastAsia="Malgun Gothic" w:hAnsi="Verdana" w:cs="Arial"/>
          <w:b/>
          <w:sz w:val="18"/>
          <w:szCs w:val="18"/>
          <w:u w:val="single"/>
          <w:lang w:val="el-GR"/>
        </w:rPr>
      </w:pPr>
    </w:p>
    <w:p w14:paraId="3A6FD714" w14:textId="42474CEE" w:rsidR="00794664" w:rsidRDefault="00794664" w:rsidP="00794664">
      <w:pPr>
        <w:jc w:val="both"/>
        <w:rPr>
          <w:rFonts w:ascii="Verdana" w:eastAsia="Malgun Gothic" w:hAnsi="Verdana" w:cs="Arial"/>
          <w:sz w:val="18"/>
          <w:szCs w:val="18"/>
          <w:lang w:val="el-GR"/>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3231"/>
        <w:gridCol w:w="1468"/>
        <w:gridCol w:w="273"/>
        <w:gridCol w:w="1471"/>
        <w:gridCol w:w="1559"/>
      </w:tblGrid>
      <w:tr w:rsidR="00057236" w:rsidRPr="00057236" w14:paraId="2D0715F2" w14:textId="77777777" w:rsidTr="00057236">
        <w:trPr>
          <w:trHeight w:val="227"/>
          <w:jc w:val="center"/>
        </w:trPr>
        <w:tc>
          <w:tcPr>
            <w:tcW w:w="1212" w:type="dxa"/>
            <w:tcBorders>
              <w:top w:val="nil"/>
              <w:left w:val="nil"/>
              <w:bottom w:val="single" w:sz="4" w:space="0" w:color="366092"/>
              <w:right w:val="nil"/>
            </w:tcBorders>
            <w:vAlign w:val="center"/>
          </w:tcPr>
          <w:p w14:paraId="7748E418" w14:textId="77777777" w:rsidR="00CC747D" w:rsidRPr="00057236" w:rsidRDefault="00CC747D" w:rsidP="000A0A7C">
            <w:pPr>
              <w:rPr>
                <w:rFonts w:ascii="Verdana" w:eastAsia="Malgun Gothic" w:hAnsi="Verdana" w:cs="Arial"/>
                <w:b/>
                <w:color w:val="366092"/>
                <w:sz w:val="18"/>
                <w:szCs w:val="18"/>
              </w:rPr>
            </w:pPr>
            <w:r w:rsidRPr="00057236">
              <w:rPr>
                <w:rFonts w:ascii="Verdana" w:eastAsia="Malgun Gothic" w:hAnsi="Verdana" w:cs="Arial"/>
                <w:b/>
                <w:color w:val="366092"/>
                <w:sz w:val="18"/>
                <w:szCs w:val="18"/>
                <w:lang w:val="el-GR"/>
              </w:rPr>
              <w:t>Πίνακας</w:t>
            </w:r>
            <w:r w:rsidRPr="00057236">
              <w:rPr>
                <w:rFonts w:ascii="Verdana" w:eastAsia="Malgun Gothic" w:hAnsi="Verdana" w:cs="Arial"/>
                <w:b/>
                <w:color w:val="366092"/>
                <w:sz w:val="18"/>
                <w:szCs w:val="18"/>
              </w:rPr>
              <w:t xml:space="preserve"> 2</w:t>
            </w:r>
          </w:p>
        </w:tc>
        <w:tc>
          <w:tcPr>
            <w:tcW w:w="3231" w:type="dxa"/>
            <w:tcBorders>
              <w:top w:val="nil"/>
              <w:left w:val="nil"/>
              <w:bottom w:val="single" w:sz="4" w:space="0" w:color="366092"/>
              <w:right w:val="nil"/>
            </w:tcBorders>
            <w:vAlign w:val="center"/>
          </w:tcPr>
          <w:p w14:paraId="42635ED6" w14:textId="77777777" w:rsidR="00CC747D" w:rsidRPr="00057236" w:rsidRDefault="00CC747D" w:rsidP="000A0A7C">
            <w:pPr>
              <w:jc w:val="center"/>
              <w:rPr>
                <w:rFonts w:ascii="Verdana" w:eastAsia="Malgun Gothic" w:hAnsi="Verdana" w:cs="Arial"/>
                <w:b/>
                <w:color w:val="366092"/>
                <w:sz w:val="18"/>
                <w:szCs w:val="18"/>
                <w:lang w:val="el-GR"/>
              </w:rPr>
            </w:pPr>
          </w:p>
        </w:tc>
        <w:tc>
          <w:tcPr>
            <w:tcW w:w="1468" w:type="dxa"/>
            <w:tcBorders>
              <w:top w:val="nil"/>
              <w:left w:val="nil"/>
              <w:bottom w:val="single" w:sz="4" w:space="0" w:color="366092"/>
              <w:right w:val="nil"/>
            </w:tcBorders>
            <w:vAlign w:val="center"/>
          </w:tcPr>
          <w:p w14:paraId="793A03CB" w14:textId="77777777" w:rsidR="00CC747D" w:rsidRPr="00057236" w:rsidRDefault="00CC747D" w:rsidP="000A0A7C">
            <w:pPr>
              <w:jc w:val="center"/>
              <w:rPr>
                <w:rFonts w:ascii="Verdana" w:eastAsia="Malgun Gothic" w:hAnsi="Verdana" w:cs="Arial"/>
                <w:b/>
                <w:color w:val="366092"/>
                <w:sz w:val="18"/>
                <w:szCs w:val="18"/>
                <w:lang w:val="el-GR"/>
              </w:rPr>
            </w:pPr>
          </w:p>
        </w:tc>
        <w:tc>
          <w:tcPr>
            <w:tcW w:w="273" w:type="dxa"/>
            <w:tcBorders>
              <w:top w:val="nil"/>
              <w:left w:val="nil"/>
              <w:bottom w:val="single" w:sz="4" w:space="0" w:color="366092"/>
              <w:right w:val="nil"/>
            </w:tcBorders>
          </w:tcPr>
          <w:p w14:paraId="41B06A99" w14:textId="77777777" w:rsidR="00CC747D" w:rsidRPr="00057236" w:rsidRDefault="00CC747D" w:rsidP="000A0A7C">
            <w:pPr>
              <w:rPr>
                <w:rFonts w:ascii="Verdana" w:eastAsia="Malgun Gothic" w:hAnsi="Verdana" w:cs="Arial"/>
                <w:color w:val="366092"/>
                <w:sz w:val="18"/>
                <w:szCs w:val="18"/>
                <w:lang w:val="el-GR"/>
              </w:rPr>
            </w:pPr>
          </w:p>
        </w:tc>
        <w:tc>
          <w:tcPr>
            <w:tcW w:w="3030" w:type="dxa"/>
            <w:gridSpan w:val="2"/>
            <w:tcBorders>
              <w:top w:val="nil"/>
              <w:left w:val="nil"/>
              <w:bottom w:val="single" w:sz="4" w:space="0" w:color="366092"/>
              <w:right w:val="nil"/>
            </w:tcBorders>
            <w:vAlign w:val="center"/>
          </w:tcPr>
          <w:p w14:paraId="27F64022" w14:textId="77777777" w:rsidR="00CC747D" w:rsidRPr="00057236" w:rsidRDefault="00CC747D" w:rsidP="000A0A7C">
            <w:pPr>
              <w:jc w:val="center"/>
              <w:rPr>
                <w:rFonts w:ascii="Verdana" w:eastAsia="Malgun Gothic" w:hAnsi="Verdana" w:cs="Arial"/>
                <w:b/>
                <w:color w:val="366092"/>
                <w:sz w:val="18"/>
                <w:szCs w:val="18"/>
                <w:lang w:val="el-GR"/>
              </w:rPr>
            </w:pPr>
          </w:p>
        </w:tc>
      </w:tr>
      <w:tr w:rsidR="00057236" w:rsidRPr="00057236" w14:paraId="47A971B5" w14:textId="77777777" w:rsidTr="00057236">
        <w:trPr>
          <w:trHeight w:val="454"/>
          <w:jc w:val="center"/>
        </w:trPr>
        <w:tc>
          <w:tcPr>
            <w:tcW w:w="1212" w:type="dxa"/>
            <w:vMerge w:val="restart"/>
            <w:tcBorders>
              <w:top w:val="single" w:sz="4" w:space="0" w:color="366092"/>
              <w:left w:val="nil"/>
              <w:bottom w:val="single" w:sz="4" w:space="0" w:color="366092"/>
              <w:right w:val="nil"/>
            </w:tcBorders>
            <w:vAlign w:val="center"/>
          </w:tcPr>
          <w:p w14:paraId="03E1A43C" w14:textId="77777777" w:rsidR="00CC747D" w:rsidRPr="00057236" w:rsidRDefault="00CC747D" w:rsidP="000A0A7C">
            <w:pPr>
              <w:jc w:val="center"/>
              <w:rPr>
                <w:rFonts w:ascii="Verdana" w:eastAsia="Malgun Gothic" w:hAnsi="Verdana" w:cs="Arial"/>
                <w:b/>
                <w:color w:val="366092"/>
                <w:sz w:val="18"/>
                <w:szCs w:val="18"/>
                <w:lang w:val="el-GR"/>
              </w:rPr>
            </w:pPr>
            <w:r w:rsidRPr="00057236">
              <w:rPr>
                <w:rFonts w:ascii="Verdana" w:eastAsia="Malgun Gothic" w:hAnsi="Verdana" w:cs="Arial"/>
                <w:b/>
                <w:color w:val="366092"/>
                <w:sz w:val="18"/>
                <w:szCs w:val="18"/>
                <w:lang w:val="el-GR"/>
              </w:rPr>
              <w:t>Κώδικας</w:t>
            </w:r>
          </w:p>
          <w:p w14:paraId="02663192" w14:textId="77777777" w:rsidR="00CC747D" w:rsidRPr="00057236" w:rsidRDefault="00CC747D" w:rsidP="000A0A7C">
            <w:pPr>
              <w:jc w:val="center"/>
              <w:rPr>
                <w:rFonts w:ascii="Verdana" w:eastAsia="Malgun Gothic" w:hAnsi="Verdana" w:cs="Arial"/>
                <w:b/>
                <w:color w:val="366092"/>
                <w:sz w:val="18"/>
                <w:szCs w:val="18"/>
              </w:rPr>
            </w:pPr>
            <w:r w:rsidRPr="00057236">
              <w:rPr>
                <w:rFonts w:ascii="Verdana" w:eastAsia="Malgun Gothic" w:hAnsi="Verdana" w:cs="Arial"/>
                <w:b/>
                <w:color w:val="366092"/>
                <w:sz w:val="18"/>
                <w:szCs w:val="18"/>
              </w:rPr>
              <w:t>(</w:t>
            </w:r>
            <w:r w:rsidRPr="00057236">
              <w:rPr>
                <w:rFonts w:ascii="Verdana" w:eastAsia="Malgun Gothic" w:hAnsi="Verdana" w:cs="Arial"/>
                <w:b/>
                <w:color w:val="366092"/>
                <w:sz w:val="18"/>
                <w:szCs w:val="18"/>
                <w:lang w:val="el-GR"/>
              </w:rPr>
              <w:t xml:space="preserve">NACE </w:t>
            </w:r>
            <w:proofErr w:type="spellStart"/>
            <w:r w:rsidRPr="00057236">
              <w:rPr>
                <w:rFonts w:ascii="Verdana" w:eastAsia="Malgun Gothic" w:hAnsi="Verdana" w:cs="Arial"/>
                <w:b/>
                <w:color w:val="366092"/>
                <w:sz w:val="18"/>
                <w:szCs w:val="18"/>
                <w:lang w:val="el-GR"/>
              </w:rPr>
              <w:t>Αναθ</w:t>
            </w:r>
            <w:proofErr w:type="spellEnd"/>
            <w:r w:rsidRPr="00057236">
              <w:rPr>
                <w:rFonts w:ascii="Verdana" w:eastAsia="Malgun Gothic" w:hAnsi="Verdana" w:cs="Arial"/>
                <w:b/>
                <w:color w:val="366092"/>
                <w:sz w:val="18"/>
                <w:szCs w:val="18"/>
                <w:lang w:val="el-GR"/>
              </w:rPr>
              <w:t>. 2</w:t>
            </w:r>
            <w:r w:rsidRPr="00057236">
              <w:rPr>
                <w:rFonts w:ascii="Verdana" w:eastAsia="Malgun Gothic" w:hAnsi="Verdana" w:cs="Arial"/>
                <w:b/>
                <w:color w:val="366092"/>
                <w:sz w:val="18"/>
                <w:szCs w:val="18"/>
              </w:rPr>
              <w:t>)</w:t>
            </w:r>
          </w:p>
        </w:tc>
        <w:tc>
          <w:tcPr>
            <w:tcW w:w="3231" w:type="dxa"/>
            <w:vMerge w:val="restart"/>
            <w:tcBorders>
              <w:top w:val="single" w:sz="4" w:space="0" w:color="366092"/>
              <w:left w:val="nil"/>
              <w:bottom w:val="single" w:sz="4" w:space="0" w:color="365F91"/>
              <w:right w:val="nil"/>
            </w:tcBorders>
            <w:vAlign w:val="center"/>
          </w:tcPr>
          <w:p w14:paraId="2588621E" w14:textId="77777777" w:rsidR="00CC747D" w:rsidRPr="00057236" w:rsidRDefault="00CC747D" w:rsidP="000A0A7C">
            <w:pPr>
              <w:jc w:val="center"/>
              <w:rPr>
                <w:rFonts w:ascii="Verdana" w:eastAsia="Malgun Gothic" w:hAnsi="Verdana" w:cs="Arial"/>
                <w:b/>
                <w:color w:val="366092"/>
                <w:sz w:val="18"/>
                <w:szCs w:val="18"/>
                <w:lang w:val="el-GR"/>
              </w:rPr>
            </w:pPr>
            <w:r w:rsidRPr="00057236">
              <w:rPr>
                <w:rFonts w:ascii="Verdana" w:eastAsia="Malgun Gothic" w:hAnsi="Verdana" w:cs="Arial"/>
                <w:b/>
                <w:color w:val="366092"/>
                <w:sz w:val="18"/>
                <w:szCs w:val="18"/>
                <w:lang w:val="el-GR"/>
              </w:rPr>
              <w:t>Οικονομική</w:t>
            </w:r>
          </w:p>
          <w:p w14:paraId="7C28D597" w14:textId="77777777" w:rsidR="00CC747D" w:rsidRPr="00057236" w:rsidRDefault="00CC747D" w:rsidP="000A0A7C">
            <w:pPr>
              <w:jc w:val="center"/>
              <w:rPr>
                <w:rFonts w:ascii="Verdana" w:eastAsia="Malgun Gothic" w:hAnsi="Verdana" w:cs="Arial"/>
                <w:b/>
                <w:color w:val="366092"/>
                <w:sz w:val="18"/>
                <w:szCs w:val="18"/>
                <w:lang w:val="el-GR"/>
              </w:rPr>
            </w:pPr>
            <w:r w:rsidRPr="00057236">
              <w:rPr>
                <w:rFonts w:ascii="Verdana" w:eastAsia="Malgun Gothic" w:hAnsi="Verdana" w:cs="Arial"/>
                <w:b/>
                <w:color w:val="366092"/>
                <w:sz w:val="18"/>
                <w:szCs w:val="18"/>
                <w:lang w:val="el-GR"/>
              </w:rPr>
              <w:t>Δραστηριότητα</w:t>
            </w:r>
          </w:p>
        </w:tc>
        <w:tc>
          <w:tcPr>
            <w:tcW w:w="1468" w:type="dxa"/>
            <w:tcBorders>
              <w:top w:val="single" w:sz="4" w:space="0" w:color="366092"/>
              <w:left w:val="nil"/>
              <w:bottom w:val="single" w:sz="4" w:space="0" w:color="366092"/>
              <w:right w:val="nil"/>
            </w:tcBorders>
            <w:vAlign w:val="center"/>
          </w:tcPr>
          <w:p w14:paraId="4596F7A5" w14:textId="689434FC" w:rsidR="00CC747D" w:rsidRPr="00057236" w:rsidRDefault="00CC747D" w:rsidP="000A0A7C">
            <w:pPr>
              <w:jc w:val="center"/>
              <w:rPr>
                <w:rFonts w:ascii="Verdana" w:eastAsia="Malgun Gothic" w:hAnsi="Verdana" w:cs="Arial"/>
                <w:b/>
                <w:color w:val="366092"/>
                <w:sz w:val="18"/>
                <w:szCs w:val="18"/>
                <w:lang w:val="el-GR"/>
              </w:rPr>
            </w:pPr>
            <w:r w:rsidRPr="00057236">
              <w:rPr>
                <w:rFonts w:ascii="Verdana" w:eastAsia="Malgun Gothic" w:hAnsi="Verdana" w:cs="Arial"/>
                <w:b/>
                <w:color w:val="366092"/>
                <w:sz w:val="18"/>
                <w:szCs w:val="18"/>
                <w:lang w:val="el-GR"/>
              </w:rPr>
              <w:t>Δείκτης (20</w:t>
            </w:r>
            <w:r w:rsidR="00312652" w:rsidRPr="00057236">
              <w:rPr>
                <w:rFonts w:ascii="Verdana" w:eastAsia="Malgun Gothic" w:hAnsi="Verdana" w:cs="Arial"/>
                <w:b/>
                <w:color w:val="366092"/>
                <w:sz w:val="18"/>
                <w:szCs w:val="18"/>
              </w:rPr>
              <w:t>21</w:t>
            </w:r>
            <w:r w:rsidRPr="00057236">
              <w:rPr>
                <w:rFonts w:ascii="Verdana" w:eastAsia="Malgun Gothic" w:hAnsi="Verdana" w:cs="Arial"/>
                <w:b/>
                <w:color w:val="366092"/>
                <w:sz w:val="18"/>
                <w:szCs w:val="18"/>
                <w:lang w:val="el-GR"/>
              </w:rPr>
              <w:t>=100)</w:t>
            </w:r>
          </w:p>
        </w:tc>
        <w:tc>
          <w:tcPr>
            <w:tcW w:w="273" w:type="dxa"/>
            <w:vMerge w:val="restart"/>
            <w:tcBorders>
              <w:top w:val="single" w:sz="4" w:space="0" w:color="366092"/>
              <w:left w:val="nil"/>
              <w:right w:val="nil"/>
            </w:tcBorders>
          </w:tcPr>
          <w:p w14:paraId="4BA73D19" w14:textId="77777777" w:rsidR="00CC747D" w:rsidRPr="00057236" w:rsidRDefault="00CC747D" w:rsidP="000A0A7C">
            <w:pPr>
              <w:rPr>
                <w:rFonts w:ascii="Verdana" w:eastAsia="Malgun Gothic" w:hAnsi="Verdana" w:cs="Arial"/>
                <w:color w:val="366092"/>
                <w:sz w:val="18"/>
                <w:szCs w:val="18"/>
                <w:lang w:val="el-GR"/>
              </w:rPr>
            </w:pPr>
          </w:p>
        </w:tc>
        <w:tc>
          <w:tcPr>
            <w:tcW w:w="3030" w:type="dxa"/>
            <w:gridSpan w:val="2"/>
            <w:tcBorders>
              <w:top w:val="single" w:sz="4" w:space="0" w:color="366092"/>
              <w:left w:val="nil"/>
              <w:bottom w:val="single" w:sz="4" w:space="0" w:color="366092"/>
              <w:right w:val="nil"/>
            </w:tcBorders>
            <w:vAlign w:val="center"/>
          </w:tcPr>
          <w:p w14:paraId="69DFBED9" w14:textId="77777777" w:rsidR="00CC747D" w:rsidRPr="00057236" w:rsidRDefault="00CC747D" w:rsidP="000A0A7C">
            <w:pPr>
              <w:jc w:val="center"/>
              <w:rPr>
                <w:rFonts w:ascii="Verdana" w:eastAsia="Malgun Gothic" w:hAnsi="Verdana" w:cs="Arial"/>
                <w:color w:val="366092"/>
                <w:sz w:val="18"/>
                <w:szCs w:val="18"/>
                <w:lang w:val="el-GR"/>
              </w:rPr>
            </w:pPr>
            <w:r w:rsidRPr="00057236">
              <w:rPr>
                <w:rFonts w:ascii="Verdana" w:eastAsia="Malgun Gothic" w:hAnsi="Verdana" w:cs="Arial"/>
                <w:b/>
                <w:color w:val="366092"/>
                <w:sz w:val="18"/>
                <w:szCs w:val="18"/>
                <w:lang w:val="el-GR"/>
              </w:rPr>
              <w:t>Ποσοστιαία Μεταβολή (%)</w:t>
            </w:r>
          </w:p>
        </w:tc>
      </w:tr>
      <w:tr w:rsidR="00057236" w:rsidRPr="00057236" w14:paraId="3F639762" w14:textId="77777777" w:rsidTr="008F0C83">
        <w:trPr>
          <w:trHeight w:val="510"/>
          <w:jc w:val="center"/>
        </w:trPr>
        <w:tc>
          <w:tcPr>
            <w:tcW w:w="1212" w:type="dxa"/>
            <w:vMerge/>
            <w:tcBorders>
              <w:top w:val="single" w:sz="4" w:space="0" w:color="365F91"/>
              <w:left w:val="nil"/>
              <w:bottom w:val="single" w:sz="4" w:space="0" w:color="366092"/>
              <w:right w:val="nil"/>
            </w:tcBorders>
          </w:tcPr>
          <w:p w14:paraId="4A7C15A7" w14:textId="77777777" w:rsidR="00D84C04" w:rsidRPr="00057236" w:rsidRDefault="00D84C04" w:rsidP="00D84C04">
            <w:pPr>
              <w:jc w:val="both"/>
              <w:rPr>
                <w:rFonts w:ascii="Verdana" w:eastAsia="Malgun Gothic" w:hAnsi="Verdana" w:cs="Arial"/>
                <w:color w:val="366092"/>
                <w:sz w:val="18"/>
                <w:szCs w:val="18"/>
                <w:lang w:val="el-GR"/>
              </w:rPr>
            </w:pPr>
          </w:p>
        </w:tc>
        <w:tc>
          <w:tcPr>
            <w:tcW w:w="3231" w:type="dxa"/>
            <w:vMerge/>
            <w:tcBorders>
              <w:top w:val="single" w:sz="4" w:space="0" w:color="365F91"/>
              <w:left w:val="nil"/>
              <w:bottom w:val="single" w:sz="4" w:space="0" w:color="366092"/>
              <w:right w:val="nil"/>
            </w:tcBorders>
          </w:tcPr>
          <w:p w14:paraId="15578CE6" w14:textId="77777777" w:rsidR="00D84C04" w:rsidRPr="00057236" w:rsidRDefault="00D84C04" w:rsidP="00D84C04">
            <w:pPr>
              <w:jc w:val="both"/>
              <w:rPr>
                <w:rFonts w:ascii="Verdana" w:eastAsia="Malgun Gothic" w:hAnsi="Verdana" w:cs="Arial"/>
                <w:color w:val="366092"/>
                <w:sz w:val="18"/>
                <w:szCs w:val="18"/>
                <w:lang w:val="el-GR"/>
              </w:rPr>
            </w:pPr>
          </w:p>
        </w:tc>
        <w:tc>
          <w:tcPr>
            <w:tcW w:w="1468" w:type="dxa"/>
            <w:tcBorders>
              <w:top w:val="single" w:sz="4" w:space="0" w:color="366092"/>
              <w:left w:val="nil"/>
              <w:bottom w:val="single" w:sz="4" w:space="0" w:color="366092"/>
              <w:right w:val="nil"/>
            </w:tcBorders>
            <w:vAlign w:val="center"/>
          </w:tcPr>
          <w:p w14:paraId="7C0A927F" w14:textId="77777777" w:rsidR="007470DD" w:rsidRPr="00057236" w:rsidRDefault="007470DD" w:rsidP="007470DD">
            <w:pPr>
              <w:jc w:val="center"/>
              <w:rPr>
                <w:rFonts w:ascii="Verdana" w:hAnsi="Verdana" w:cs="Calibri"/>
                <w:b/>
                <w:bCs/>
                <w:color w:val="366092"/>
                <w:sz w:val="18"/>
                <w:szCs w:val="18"/>
                <w:lang w:val="el-GR"/>
              </w:rPr>
            </w:pPr>
            <w:r w:rsidRPr="00057236">
              <w:rPr>
                <w:rFonts w:ascii="Verdana" w:hAnsi="Verdana" w:cs="Calibri"/>
                <w:b/>
                <w:bCs/>
                <w:color w:val="366092"/>
                <w:sz w:val="18"/>
                <w:szCs w:val="18"/>
                <w:lang w:val="el-GR"/>
              </w:rPr>
              <w:t>Ιουλ-Σεπ</w:t>
            </w:r>
          </w:p>
          <w:p w14:paraId="5AC5163D" w14:textId="178FD9C5" w:rsidR="00D84C04" w:rsidRPr="00057236" w:rsidRDefault="005934B4" w:rsidP="005934B4">
            <w:pPr>
              <w:jc w:val="center"/>
              <w:rPr>
                <w:rFonts w:ascii="Verdana" w:eastAsia="Malgun Gothic" w:hAnsi="Verdana" w:cs="Arial"/>
                <w:b/>
                <w:color w:val="366092"/>
                <w:sz w:val="18"/>
                <w:szCs w:val="18"/>
              </w:rPr>
            </w:pPr>
            <w:r w:rsidRPr="00057236">
              <w:rPr>
                <w:rFonts w:ascii="Verdana" w:hAnsi="Verdana" w:cs="Calibri"/>
                <w:b/>
                <w:bCs/>
                <w:color w:val="366092"/>
                <w:sz w:val="18"/>
                <w:szCs w:val="18"/>
                <w:lang w:val="el-GR"/>
              </w:rPr>
              <w:t xml:space="preserve"> 2025</w:t>
            </w:r>
          </w:p>
        </w:tc>
        <w:tc>
          <w:tcPr>
            <w:tcW w:w="273" w:type="dxa"/>
            <w:vMerge/>
            <w:tcBorders>
              <w:left w:val="nil"/>
              <w:bottom w:val="single" w:sz="4" w:space="0" w:color="366092"/>
              <w:right w:val="nil"/>
            </w:tcBorders>
          </w:tcPr>
          <w:p w14:paraId="55F31553" w14:textId="77777777" w:rsidR="00D84C04" w:rsidRPr="00057236" w:rsidRDefault="00D84C04" w:rsidP="00D84C04">
            <w:pPr>
              <w:jc w:val="center"/>
              <w:rPr>
                <w:rFonts w:ascii="Verdana" w:eastAsia="Malgun Gothic" w:hAnsi="Verdana" w:cs="Arial"/>
                <w:b/>
                <w:color w:val="366092"/>
                <w:sz w:val="18"/>
                <w:szCs w:val="18"/>
                <w:lang w:val="el-GR"/>
              </w:rPr>
            </w:pPr>
          </w:p>
        </w:tc>
        <w:tc>
          <w:tcPr>
            <w:tcW w:w="1471" w:type="dxa"/>
            <w:tcBorders>
              <w:top w:val="single" w:sz="4" w:space="0" w:color="366092"/>
              <w:left w:val="nil"/>
              <w:bottom w:val="single" w:sz="4" w:space="0" w:color="366092"/>
              <w:right w:val="nil"/>
            </w:tcBorders>
            <w:vAlign w:val="center"/>
          </w:tcPr>
          <w:p w14:paraId="52A037EB" w14:textId="585C6270" w:rsidR="00D84C04" w:rsidRPr="00057236" w:rsidRDefault="007470DD" w:rsidP="00D84C04">
            <w:pPr>
              <w:jc w:val="center"/>
              <w:rPr>
                <w:rFonts w:ascii="Verdana" w:eastAsia="Malgun Gothic" w:hAnsi="Verdana" w:cs="Arial"/>
                <w:b/>
                <w:color w:val="366092"/>
                <w:sz w:val="18"/>
                <w:szCs w:val="18"/>
                <w:lang w:val="el-GR"/>
              </w:rPr>
            </w:pPr>
            <w:r w:rsidRPr="00057236">
              <w:rPr>
                <w:rFonts w:ascii="Verdana" w:hAnsi="Verdana" w:cs="Calibri"/>
                <w:b/>
                <w:bCs/>
                <w:color w:val="366092"/>
                <w:sz w:val="18"/>
                <w:szCs w:val="18"/>
                <w:lang w:val="el-GR"/>
              </w:rPr>
              <w:t>Ιουλ-Σεπ</w:t>
            </w:r>
            <w:r w:rsidR="005934B4" w:rsidRPr="00057236">
              <w:rPr>
                <w:rFonts w:ascii="Verdana" w:hAnsi="Verdana" w:cs="Calibri"/>
                <w:b/>
                <w:bCs/>
                <w:color w:val="366092"/>
                <w:sz w:val="18"/>
                <w:szCs w:val="18"/>
                <w:lang w:val="el-GR"/>
              </w:rPr>
              <w:t xml:space="preserve"> 2025/2024</w:t>
            </w:r>
          </w:p>
        </w:tc>
        <w:tc>
          <w:tcPr>
            <w:tcW w:w="1559" w:type="dxa"/>
            <w:tcBorders>
              <w:top w:val="single" w:sz="4" w:space="0" w:color="366092"/>
              <w:left w:val="nil"/>
              <w:bottom w:val="single" w:sz="4" w:space="0" w:color="366092"/>
              <w:right w:val="nil"/>
            </w:tcBorders>
            <w:vAlign w:val="center"/>
          </w:tcPr>
          <w:p w14:paraId="4F74656B" w14:textId="6FF74376" w:rsidR="00D84C04" w:rsidRPr="00057236" w:rsidRDefault="00157BA4" w:rsidP="00D84C04">
            <w:pPr>
              <w:jc w:val="center"/>
              <w:rPr>
                <w:rFonts w:ascii="Verdana" w:eastAsia="Malgun Gothic" w:hAnsi="Verdana" w:cs="Arial"/>
                <w:color w:val="366092"/>
                <w:sz w:val="18"/>
                <w:szCs w:val="18"/>
                <w:lang w:val="el-GR"/>
              </w:rPr>
            </w:pPr>
            <w:r w:rsidRPr="00057236">
              <w:rPr>
                <w:rFonts w:ascii="Verdana" w:hAnsi="Verdana" w:cs="Calibri"/>
                <w:b/>
                <w:bCs/>
                <w:color w:val="366092"/>
                <w:sz w:val="18"/>
                <w:szCs w:val="18"/>
                <w:lang w:val="el-GR"/>
              </w:rPr>
              <w:t>Ιαν-</w:t>
            </w:r>
            <w:r w:rsidR="007470DD" w:rsidRPr="00057236">
              <w:rPr>
                <w:rFonts w:ascii="Verdana" w:hAnsi="Verdana" w:cs="Calibri"/>
                <w:b/>
                <w:bCs/>
                <w:color w:val="366092"/>
                <w:sz w:val="18"/>
                <w:szCs w:val="18"/>
                <w:lang w:val="el-GR"/>
              </w:rPr>
              <w:t xml:space="preserve"> Σεπ</w:t>
            </w:r>
            <w:r w:rsidRPr="00057236">
              <w:rPr>
                <w:rFonts w:ascii="Verdana" w:hAnsi="Verdana" w:cs="Calibri"/>
                <w:b/>
                <w:bCs/>
                <w:color w:val="366092"/>
                <w:sz w:val="18"/>
                <w:szCs w:val="18"/>
                <w:lang w:val="el-GR"/>
              </w:rPr>
              <w:t xml:space="preserve"> 2025/2024</w:t>
            </w:r>
          </w:p>
        </w:tc>
      </w:tr>
      <w:tr w:rsidR="00057236" w:rsidRPr="00057236" w14:paraId="29FCDEC6" w14:textId="77777777" w:rsidTr="008F0C83">
        <w:trPr>
          <w:trHeight w:val="624"/>
          <w:jc w:val="center"/>
        </w:trPr>
        <w:tc>
          <w:tcPr>
            <w:tcW w:w="1212" w:type="dxa"/>
            <w:tcBorders>
              <w:top w:val="single" w:sz="4" w:space="0" w:color="366092"/>
              <w:left w:val="nil"/>
              <w:bottom w:val="nil"/>
              <w:right w:val="nil"/>
            </w:tcBorders>
            <w:vAlign w:val="center"/>
          </w:tcPr>
          <w:p w14:paraId="6AB35873" w14:textId="77777777" w:rsidR="00D84C04" w:rsidRPr="00057236" w:rsidRDefault="00D84C04" w:rsidP="00D84C04">
            <w:pPr>
              <w:jc w:val="cente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46.1</w:t>
            </w:r>
          </w:p>
        </w:tc>
        <w:tc>
          <w:tcPr>
            <w:tcW w:w="3231" w:type="dxa"/>
            <w:tcBorders>
              <w:top w:val="single" w:sz="4" w:space="0" w:color="366092"/>
              <w:left w:val="nil"/>
              <w:bottom w:val="nil"/>
              <w:right w:val="nil"/>
            </w:tcBorders>
            <w:vAlign w:val="center"/>
          </w:tcPr>
          <w:p w14:paraId="7D552969" w14:textId="77777777" w:rsidR="00D84C04" w:rsidRPr="00057236" w:rsidRDefault="00D84C04" w:rsidP="00D84C04">
            <w:pP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Χονδρικό εμπόριο έναντι αμοιβής ή βάσει σύμβασης</w:t>
            </w:r>
          </w:p>
        </w:tc>
        <w:tc>
          <w:tcPr>
            <w:tcW w:w="1468" w:type="dxa"/>
            <w:tcBorders>
              <w:top w:val="single" w:sz="4" w:space="0" w:color="366092"/>
              <w:left w:val="nil"/>
              <w:bottom w:val="nil"/>
              <w:right w:val="nil"/>
            </w:tcBorders>
            <w:vAlign w:val="center"/>
          </w:tcPr>
          <w:p w14:paraId="4722A817" w14:textId="7CB2A10B" w:rsidR="00D84C04" w:rsidRPr="00057236" w:rsidRDefault="00AA7A9D" w:rsidP="00D84C04">
            <w:pPr>
              <w:ind w:right="340"/>
              <w:jc w:val="right"/>
              <w:rPr>
                <w:rFonts w:ascii="Verdana" w:hAnsi="Verdana"/>
                <w:color w:val="366092"/>
                <w:sz w:val="18"/>
                <w:szCs w:val="18"/>
              </w:rPr>
            </w:pPr>
            <w:r w:rsidRPr="00057236">
              <w:rPr>
                <w:rFonts w:ascii="Verdana" w:hAnsi="Verdana"/>
                <w:color w:val="366092"/>
                <w:sz w:val="18"/>
                <w:szCs w:val="18"/>
              </w:rPr>
              <w:t>88,8</w:t>
            </w:r>
          </w:p>
        </w:tc>
        <w:tc>
          <w:tcPr>
            <w:tcW w:w="273" w:type="dxa"/>
            <w:tcBorders>
              <w:top w:val="single" w:sz="4" w:space="0" w:color="366092"/>
              <w:left w:val="nil"/>
              <w:bottom w:val="nil"/>
              <w:right w:val="nil"/>
            </w:tcBorders>
            <w:vAlign w:val="center"/>
          </w:tcPr>
          <w:p w14:paraId="17975971" w14:textId="77777777" w:rsidR="00D84C04" w:rsidRPr="00057236" w:rsidRDefault="00D84C04" w:rsidP="00D84C04">
            <w:pPr>
              <w:jc w:val="right"/>
              <w:rPr>
                <w:rFonts w:ascii="Verdana" w:eastAsia="Times New Roman" w:hAnsi="Verdana" w:cs="Arial"/>
                <w:color w:val="366092"/>
                <w:sz w:val="18"/>
                <w:szCs w:val="18"/>
                <w:lang w:val="el-GR"/>
              </w:rPr>
            </w:pPr>
          </w:p>
        </w:tc>
        <w:tc>
          <w:tcPr>
            <w:tcW w:w="1471" w:type="dxa"/>
            <w:tcBorders>
              <w:top w:val="single" w:sz="4" w:space="0" w:color="366092"/>
              <w:left w:val="nil"/>
              <w:bottom w:val="nil"/>
              <w:right w:val="nil"/>
            </w:tcBorders>
            <w:vAlign w:val="center"/>
          </w:tcPr>
          <w:p w14:paraId="244F0AC9" w14:textId="4C593AAD" w:rsidR="00D84C04" w:rsidRPr="00057236" w:rsidRDefault="00AA7A9D" w:rsidP="00D84C04">
            <w:pPr>
              <w:ind w:right="624"/>
              <w:jc w:val="right"/>
              <w:rPr>
                <w:rFonts w:ascii="Verdana" w:hAnsi="Verdana"/>
                <w:color w:val="366092"/>
                <w:sz w:val="18"/>
                <w:szCs w:val="18"/>
              </w:rPr>
            </w:pPr>
            <w:r w:rsidRPr="00057236">
              <w:rPr>
                <w:rFonts w:ascii="Verdana" w:hAnsi="Verdana"/>
                <w:color w:val="366092"/>
                <w:sz w:val="18"/>
                <w:szCs w:val="18"/>
              </w:rPr>
              <w:t>-5,1</w:t>
            </w:r>
          </w:p>
        </w:tc>
        <w:tc>
          <w:tcPr>
            <w:tcW w:w="1559" w:type="dxa"/>
            <w:tcBorders>
              <w:top w:val="single" w:sz="4" w:space="0" w:color="366092"/>
              <w:left w:val="nil"/>
              <w:bottom w:val="nil"/>
              <w:right w:val="nil"/>
            </w:tcBorders>
            <w:vAlign w:val="center"/>
          </w:tcPr>
          <w:p w14:paraId="075D867B" w14:textId="50BDC47A" w:rsidR="00D84C04" w:rsidRPr="00057236" w:rsidRDefault="00AA7A9D" w:rsidP="00C91132">
            <w:pPr>
              <w:ind w:right="624"/>
              <w:jc w:val="right"/>
              <w:rPr>
                <w:rFonts w:ascii="Verdana" w:hAnsi="Verdana"/>
                <w:color w:val="366092"/>
                <w:sz w:val="18"/>
                <w:szCs w:val="18"/>
              </w:rPr>
            </w:pPr>
            <w:r w:rsidRPr="00057236">
              <w:rPr>
                <w:rFonts w:ascii="Verdana" w:hAnsi="Verdana"/>
                <w:color w:val="366092"/>
                <w:sz w:val="18"/>
                <w:szCs w:val="18"/>
              </w:rPr>
              <w:t>-9,6</w:t>
            </w:r>
          </w:p>
        </w:tc>
      </w:tr>
      <w:tr w:rsidR="00057236" w:rsidRPr="00057236" w14:paraId="225A9FC7" w14:textId="77777777" w:rsidTr="00157BA4">
        <w:trPr>
          <w:trHeight w:val="851"/>
          <w:jc w:val="center"/>
        </w:trPr>
        <w:tc>
          <w:tcPr>
            <w:tcW w:w="1212" w:type="dxa"/>
            <w:tcBorders>
              <w:top w:val="nil"/>
              <w:left w:val="nil"/>
              <w:bottom w:val="nil"/>
              <w:right w:val="nil"/>
            </w:tcBorders>
            <w:vAlign w:val="center"/>
          </w:tcPr>
          <w:p w14:paraId="64FB0D59" w14:textId="77777777" w:rsidR="00D84C04" w:rsidRPr="00057236" w:rsidRDefault="00D84C04" w:rsidP="00D84C04">
            <w:pPr>
              <w:jc w:val="cente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46.2</w:t>
            </w:r>
          </w:p>
        </w:tc>
        <w:tc>
          <w:tcPr>
            <w:tcW w:w="3231" w:type="dxa"/>
            <w:tcBorders>
              <w:top w:val="nil"/>
              <w:left w:val="nil"/>
              <w:bottom w:val="nil"/>
              <w:right w:val="nil"/>
            </w:tcBorders>
            <w:vAlign w:val="center"/>
          </w:tcPr>
          <w:p w14:paraId="0E3BEABF" w14:textId="77777777" w:rsidR="00D84C04" w:rsidRPr="00057236" w:rsidRDefault="00D84C04" w:rsidP="00D84C04">
            <w:pP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Χονδρικό εμπόριο ακατέργαστων γεωργικών πρώτων υλών και ζώντων ζώων</w:t>
            </w:r>
          </w:p>
        </w:tc>
        <w:tc>
          <w:tcPr>
            <w:tcW w:w="1468" w:type="dxa"/>
            <w:tcBorders>
              <w:top w:val="nil"/>
              <w:left w:val="nil"/>
              <w:bottom w:val="nil"/>
              <w:right w:val="nil"/>
            </w:tcBorders>
            <w:vAlign w:val="center"/>
          </w:tcPr>
          <w:p w14:paraId="2BA96BF1" w14:textId="57B806AD" w:rsidR="00D84C04" w:rsidRPr="00057236" w:rsidRDefault="00AA7A9D" w:rsidP="00D84C04">
            <w:pPr>
              <w:ind w:right="340"/>
              <w:jc w:val="right"/>
              <w:rPr>
                <w:rFonts w:ascii="Verdana" w:hAnsi="Verdana"/>
                <w:color w:val="366092"/>
                <w:sz w:val="18"/>
                <w:szCs w:val="18"/>
              </w:rPr>
            </w:pPr>
            <w:r w:rsidRPr="00057236">
              <w:rPr>
                <w:rFonts w:ascii="Verdana" w:hAnsi="Verdana"/>
                <w:color w:val="366092"/>
                <w:sz w:val="18"/>
                <w:szCs w:val="18"/>
              </w:rPr>
              <w:t>87,1</w:t>
            </w:r>
          </w:p>
        </w:tc>
        <w:tc>
          <w:tcPr>
            <w:tcW w:w="273" w:type="dxa"/>
            <w:tcBorders>
              <w:top w:val="nil"/>
              <w:left w:val="nil"/>
              <w:bottom w:val="nil"/>
              <w:right w:val="nil"/>
            </w:tcBorders>
            <w:vAlign w:val="center"/>
          </w:tcPr>
          <w:p w14:paraId="1D9ECC21" w14:textId="77777777" w:rsidR="00D84C04" w:rsidRPr="00057236" w:rsidRDefault="00D84C04" w:rsidP="00D84C04">
            <w:pPr>
              <w:jc w:val="right"/>
              <w:rPr>
                <w:rFonts w:ascii="Verdana" w:eastAsia="Times New Roman" w:hAnsi="Verdana" w:cs="Arial"/>
                <w:color w:val="366092"/>
                <w:sz w:val="18"/>
                <w:szCs w:val="18"/>
                <w:lang w:val="el-GR"/>
              </w:rPr>
            </w:pPr>
          </w:p>
        </w:tc>
        <w:tc>
          <w:tcPr>
            <w:tcW w:w="1471" w:type="dxa"/>
            <w:tcBorders>
              <w:top w:val="nil"/>
              <w:left w:val="nil"/>
              <w:bottom w:val="nil"/>
              <w:right w:val="nil"/>
            </w:tcBorders>
            <w:vAlign w:val="center"/>
          </w:tcPr>
          <w:p w14:paraId="7009BDB7" w14:textId="3AB881E7" w:rsidR="00D84C04" w:rsidRPr="00057236" w:rsidRDefault="00AA7A9D" w:rsidP="00D84C04">
            <w:pPr>
              <w:ind w:right="624"/>
              <w:jc w:val="right"/>
              <w:rPr>
                <w:rFonts w:ascii="Verdana" w:hAnsi="Verdana"/>
                <w:color w:val="366092"/>
                <w:sz w:val="18"/>
                <w:szCs w:val="18"/>
              </w:rPr>
            </w:pPr>
            <w:r w:rsidRPr="00057236">
              <w:rPr>
                <w:rFonts w:ascii="Verdana" w:hAnsi="Verdana"/>
                <w:color w:val="366092"/>
                <w:sz w:val="18"/>
                <w:szCs w:val="18"/>
              </w:rPr>
              <w:t>7,7</w:t>
            </w:r>
          </w:p>
        </w:tc>
        <w:tc>
          <w:tcPr>
            <w:tcW w:w="1559" w:type="dxa"/>
            <w:tcBorders>
              <w:top w:val="nil"/>
              <w:left w:val="nil"/>
              <w:bottom w:val="nil"/>
              <w:right w:val="nil"/>
            </w:tcBorders>
            <w:vAlign w:val="center"/>
          </w:tcPr>
          <w:p w14:paraId="40C00A5E" w14:textId="0AC4CE2A" w:rsidR="00D84C04" w:rsidRPr="00057236" w:rsidRDefault="00AA7A9D" w:rsidP="00C91132">
            <w:pPr>
              <w:ind w:right="624"/>
              <w:jc w:val="right"/>
              <w:rPr>
                <w:rFonts w:ascii="Verdana" w:hAnsi="Verdana"/>
                <w:color w:val="366092"/>
                <w:sz w:val="18"/>
                <w:szCs w:val="18"/>
              </w:rPr>
            </w:pPr>
            <w:r w:rsidRPr="00057236">
              <w:rPr>
                <w:rFonts w:ascii="Verdana" w:hAnsi="Verdana"/>
                <w:color w:val="366092"/>
                <w:sz w:val="18"/>
                <w:szCs w:val="18"/>
              </w:rPr>
              <w:t>6,2</w:t>
            </w:r>
          </w:p>
        </w:tc>
      </w:tr>
      <w:tr w:rsidR="00057236" w:rsidRPr="00057236" w14:paraId="152F8404" w14:textId="77777777" w:rsidTr="00157BA4">
        <w:trPr>
          <w:trHeight w:val="624"/>
          <w:jc w:val="center"/>
        </w:trPr>
        <w:tc>
          <w:tcPr>
            <w:tcW w:w="1212" w:type="dxa"/>
            <w:tcBorders>
              <w:top w:val="nil"/>
              <w:left w:val="nil"/>
              <w:bottom w:val="nil"/>
              <w:right w:val="nil"/>
            </w:tcBorders>
            <w:vAlign w:val="center"/>
          </w:tcPr>
          <w:p w14:paraId="09B050CA" w14:textId="77777777" w:rsidR="00D84C04" w:rsidRPr="00057236" w:rsidRDefault="00D84C04" w:rsidP="00D84C04">
            <w:pPr>
              <w:jc w:val="cente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46.3</w:t>
            </w:r>
          </w:p>
        </w:tc>
        <w:tc>
          <w:tcPr>
            <w:tcW w:w="3231" w:type="dxa"/>
            <w:tcBorders>
              <w:top w:val="nil"/>
              <w:left w:val="nil"/>
              <w:bottom w:val="nil"/>
              <w:right w:val="nil"/>
            </w:tcBorders>
            <w:vAlign w:val="center"/>
          </w:tcPr>
          <w:p w14:paraId="4C181166" w14:textId="77777777" w:rsidR="00D84C04" w:rsidRPr="00057236" w:rsidRDefault="00D84C04" w:rsidP="00D84C04">
            <w:pP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Χονδρικό εμπόριο τροφίμων, ποτών και καπνού</w:t>
            </w:r>
          </w:p>
        </w:tc>
        <w:tc>
          <w:tcPr>
            <w:tcW w:w="1468" w:type="dxa"/>
            <w:tcBorders>
              <w:top w:val="nil"/>
              <w:left w:val="nil"/>
              <w:bottom w:val="nil"/>
              <w:right w:val="nil"/>
            </w:tcBorders>
            <w:vAlign w:val="center"/>
          </w:tcPr>
          <w:p w14:paraId="526062DA" w14:textId="327E0C09" w:rsidR="00D84C04" w:rsidRPr="00057236" w:rsidRDefault="00AA7A9D" w:rsidP="00D84C04">
            <w:pPr>
              <w:ind w:right="340"/>
              <w:jc w:val="right"/>
              <w:rPr>
                <w:rFonts w:ascii="Verdana" w:hAnsi="Verdana"/>
                <w:color w:val="366092"/>
                <w:sz w:val="18"/>
                <w:szCs w:val="18"/>
              </w:rPr>
            </w:pPr>
            <w:r w:rsidRPr="00057236">
              <w:rPr>
                <w:rFonts w:ascii="Verdana" w:hAnsi="Verdana"/>
                <w:color w:val="366092"/>
                <w:sz w:val="18"/>
                <w:szCs w:val="18"/>
              </w:rPr>
              <w:t>151,1</w:t>
            </w:r>
          </w:p>
        </w:tc>
        <w:tc>
          <w:tcPr>
            <w:tcW w:w="273" w:type="dxa"/>
            <w:tcBorders>
              <w:top w:val="nil"/>
              <w:left w:val="nil"/>
              <w:bottom w:val="nil"/>
              <w:right w:val="nil"/>
            </w:tcBorders>
            <w:vAlign w:val="center"/>
          </w:tcPr>
          <w:p w14:paraId="56BD1525" w14:textId="77777777" w:rsidR="00D84C04" w:rsidRPr="00057236" w:rsidRDefault="00D84C04" w:rsidP="00D84C04">
            <w:pPr>
              <w:jc w:val="right"/>
              <w:rPr>
                <w:rFonts w:ascii="Verdana" w:eastAsia="Times New Roman" w:hAnsi="Verdana" w:cs="Arial"/>
                <w:color w:val="366092"/>
                <w:sz w:val="18"/>
                <w:szCs w:val="18"/>
                <w:lang w:val="el-GR"/>
              </w:rPr>
            </w:pPr>
          </w:p>
        </w:tc>
        <w:tc>
          <w:tcPr>
            <w:tcW w:w="1471" w:type="dxa"/>
            <w:tcBorders>
              <w:top w:val="nil"/>
              <w:left w:val="nil"/>
              <w:bottom w:val="nil"/>
              <w:right w:val="nil"/>
            </w:tcBorders>
            <w:vAlign w:val="center"/>
          </w:tcPr>
          <w:p w14:paraId="2EE0FF04" w14:textId="657A4C47" w:rsidR="00D84C04" w:rsidRPr="00057236" w:rsidRDefault="00AA7A9D" w:rsidP="00D84C04">
            <w:pPr>
              <w:ind w:right="624"/>
              <w:jc w:val="right"/>
              <w:rPr>
                <w:rFonts w:ascii="Verdana" w:hAnsi="Verdana"/>
                <w:color w:val="366092"/>
                <w:sz w:val="18"/>
                <w:szCs w:val="18"/>
              </w:rPr>
            </w:pPr>
            <w:r w:rsidRPr="00057236">
              <w:rPr>
                <w:rFonts w:ascii="Verdana" w:hAnsi="Verdana"/>
                <w:color w:val="366092"/>
                <w:sz w:val="18"/>
                <w:szCs w:val="18"/>
              </w:rPr>
              <w:t>5,3</w:t>
            </w:r>
          </w:p>
        </w:tc>
        <w:tc>
          <w:tcPr>
            <w:tcW w:w="1559" w:type="dxa"/>
            <w:tcBorders>
              <w:top w:val="nil"/>
              <w:left w:val="nil"/>
              <w:bottom w:val="nil"/>
              <w:right w:val="nil"/>
            </w:tcBorders>
            <w:vAlign w:val="center"/>
          </w:tcPr>
          <w:p w14:paraId="08A3F660" w14:textId="227CF1E9" w:rsidR="00D84C04" w:rsidRPr="00057236" w:rsidRDefault="00AA7A9D" w:rsidP="00C91132">
            <w:pPr>
              <w:ind w:right="624"/>
              <w:jc w:val="right"/>
              <w:rPr>
                <w:rFonts w:ascii="Verdana" w:hAnsi="Verdana"/>
                <w:color w:val="366092"/>
                <w:sz w:val="18"/>
                <w:szCs w:val="18"/>
              </w:rPr>
            </w:pPr>
            <w:r w:rsidRPr="00057236">
              <w:rPr>
                <w:rFonts w:ascii="Verdana" w:hAnsi="Verdana"/>
                <w:color w:val="366092"/>
                <w:sz w:val="18"/>
                <w:szCs w:val="18"/>
              </w:rPr>
              <w:t>6,2</w:t>
            </w:r>
          </w:p>
        </w:tc>
      </w:tr>
      <w:tr w:rsidR="00057236" w:rsidRPr="00057236" w14:paraId="1A88ABB8" w14:textId="77777777" w:rsidTr="00157BA4">
        <w:trPr>
          <w:trHeight w:val="624"/>
          <w:jc w:val="center"/>
        </w:trPr>
        <w:tc>
          <w:tcPr>
            <w:tcW w:w="1212" w:type="dxa"/>
            <w:tcBorders>
              <w:top w:val="nil"/>
              <w:left w:val="nil"/>
              <w:bottom w:val="nil"/>
              <w:right w:val="nil"/>
            </w:tcBorders>
            <w:vAlign w:val="center"/>
          </w:tcPr>
          <w:p w14:paraId="5AE83756" w14:textId="77777777" w:rsidR="00D84C04" w:rsidRPr="00057236" w:rsidRDefault="00D84C04" w:rsidP="00D84C04">
            <w:pPr>
              <w:jc w:val="cente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46.4</w:t>
            </w:r>
          </w:p>
        </w:tc>
        <w:tc>
          <w:tcPr>
            <w:tcW w:w="3231" w:type="dxa"/>
            <w:tcBorders>
              <w:top w:val="nil"/>
              <w:left w:val="nil"/>
              <w:bottom w:val="nil"/>
              <w:right w:val="nil"/>
            </w:tcBorders>
            <w:vAlign w:val="center"/>
          </w:tcPr>
          <w:p w14:paraId="199FCCB0" w14:textId="77777777" w:rsidR="00D84C04" w:rsidRPr="00057236" w:rsidRDefault="00D84C04" w:rsidP="00D84C04">
            <w:pP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Χονδρικό εμπόριο ειδών οικιακής χρήσης</w:t>
            </w:r>
          </w:p>
        </w:tc>
        <w:tc>
          <w:tcPr>
            <w:tcW w:w="1468" w:type="dxa"/>
            <w:tcBorders>
              <w:top w:val="nil"/>
              <w:left w:val="nil"/>
              <w:bottom w:val="nil"/>
              <w:right w:val="nil"/>
            </w:tcBorders>
            <w:vAlign w:val="center"/>
          </w:tcPr>
          <w:p w14:paraId="227C4BBD" w14:textId="17EE73C9" w:rsidR="00D84C04" w:rsidRPr="00057236" w:rsidRDefault="00AA7A9D" w:rsidP="00D84C04">
            <w:pPr>
              <w:ind w:right="340"/>
              <w:jc w:val="right"/>
              <w:rPr>
                <w:rFonts w:ascii="Verdana" w:hAnsi="Verdana"/>
                <w:color w:val="366092"/>
                <w:sz w:val="18"/>
                <w:szCs w:val="18"/>
              </w:rPr>
            </w:pPr>
            <w:r w:rsidRPr="00057236">
              <w:rPr>
                <w:rFonts w:ascii="Verdana" w:hAnsi="Verdana"/>
                <w:color w:val="366092"/>
                <w:sz w:val="18"/>
                <w:szCs w:val="18"/>
              </w:rPr>
              <w:t>154,2</w:t>
            </w:r>
          </w:p>
        </w:tc>
        <w:tc>
          <w:tcPr>
            <w:tcW w:w="273" w:type="dxa"/>
            <w:tcBorders>
              <w:top w:val="nil"/>
              <w:left w:val="nil"/>
              <w:bottom w:val="nil"/>
              <w:right w:val="nil"/>
            </w:tcBorders>
            <w:vAlign w:val="center"/>
          </w:tcPr>
          <w:p w14:paraId="1572564C" w14:textId="77777777" w:rsidR="00D84C04" w:rsidRPr="00057236" w:rsidRDefault="00D84C04" w:rsidP="00D84C04">
            <w:pPr>
              <w:jc w:val="right"/>
              <w:rPr>
                <w:rFonts w:ascii="Verdana" w:eastAsia="Times New Roman" w:hAnsi="Verdana" w:cs="Arial"/>
                <w:color w:val="366092"/>
                <w:sz w:val="18"/>
                <w:szCs w:val="18"/>
                <w:lang w:val="el-GR"/>
              </w:rPr>
            </w:pPr>
          </w:p>
        </w:tc>
        <w:tc>
          <w:tcPr>
            <w:tcW w:w="1471" w:type="dxa"/>
            <w:tcBorders>
              <w:top w:val="nil"/>
              <w:left w:val="nil"/>
              <w:bottom w:val="nil"/>
              <w:right w:val="nil"/>
            </w:tcBorders>
            <w:vAlign w:val="center"/>
          </w:tcPr>
          <w:p w14:paraId="5E6563C5" w14:textId="7BAF5F7D" w:rsidR="00D84C04" w:rsidRPr="00057236" w:rsidRDefault="00AA7A9D" w:rsidP="00D84C04">
            <w:pPr>
              <w:ind w:right="624"/>
              <w:jc w:val="right"/>
              <w:rPr>
                <w:rFonts w:ascii="Verdana" w:hAnsi="Verdana"/>
                <w:color w:val="366092"/>
                <w:sz w:val="18"/>
                <w:szCs w:val="18"/>
              </w:rPr>
            </w:pPr>
            <w:r w:rsidRPr="00057236">
              <w:rPr>
                <w:rFonts w:ascii="Verdana" w:hAnsi="Verdana"/>
                <w:color w:val="366092"/>
                <w:sz w:val="18"/>
                <w:szCs w:val="18"/>
              </w:rPr>
              <w:t>7,8</w:t>
            </w:r>
          </w:p>
        </w:tc>
        <w:tc>
          <w:tcPr>
            <w:tcW w:w="1559" w:type="dxa"/>
            <w:tcBorders>
              <w:top w:val="nil"/>
              <w:left w:val="nil"/>
              <w:bottom w:val="nil"/>
              <w:right w:val="nil"/>
            </w:tcBorders>
            <w:vAlign w:val="center"/>
          </w:tcPr>
          <w:p w14:paraId="72B16550" w14:textId="4154054B" w:rsidR="00D84C04" w:rsidRPr="00057236" w:rsidRDefault="00AA7A9D" w:rsidP="00C91132">
            <w:pPr>
              <w:ind w:right="624"/>
              <w:jc w:val="right"/>
              <w:rPr>
                <w:rFonts w:ascii="Verdana" w:hAnsi="Verdana"/>
                <w:color w:val="366092"/>
                <w:sz w:val="18"/>
                <w:szCs w:val="18"/>
              </w:rPr>
            </w:pPr>
            <w:r w:rsidRPr="00057236">
              <w:rPr>
                <w:rFonts w:ascii="Verdana" w:hAnsi="Verdana"/>
                <w:color w:val="366092"/>
                <w:sz w:val="18"/>
                <w:szCs w:val="18"/>
              </w:rPr>
              <w:t>9,8</w:t>
            </w:r>
          </w:p>
        </w:tc>
      </w:tr>
      <w:tr w:rsidR="00057236" w:rsidRPr="00057236" w14:paraId="1A7A11B0" w14:textId="77777777" w:rsidTr="00157BA4">
        <w:trPr>
          <w:trHeight w:val="851"/>
          <w:jc w:val="center"/>
        </w:trPr>
        <w:tc>
          <w:tcPr>
            <w:tcW w:w="1212" w:type="dxa"/>
            <w:tcBorders>
              <w:top w:val="nil"/>
              <w:left w:val="nil"/>
              <w:bottom w:val="nil"/>
              <w:right w:val="nil"/>
            </w:tcBorders>
            <w:vAlign w:val="center"/>
          </w:tcPr>
          <w:p w14:paraId="08307CDA" w14:textId="77777777" w:rsidR="00D84C04" w:rsidRPr="00057236" w:rsidRDefault="00D84C04" w:rsidP="00D84C04">
            <w:pPr>
              <w:jc w:val="cente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46.5</w:t>
            </w:r>
          </w:p>
        </w:tc>
        <w:tc>
          <w:tcPr>
            <w:tcW w:w="3231" w:type="dxa"/>
            <w:tcBorders>
              <w:top w:val="nil"/>
              <w:left w:val="nil"/>
              <w:bottom w:val="nil"/>
              <w:right w:val="nil"/>
            </w:tcBorders>
            <w:vAlign w:val="center"/>
          </w:tcPr>
          <w:p w14:paraId="473263DA" w14:textId="77777777" w:rsidR="00D84C04" w:rsidRPr="00057236" w:rsidRDefault="00D84C04" w:rsidP="00D84C04">
            <w:pP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Χονδρικό εμπόριο εξοπλισμού πληροφοριακών και επικοινωνιακών συστημάτων</w:t>
            </w:r>
          </w:p>
        </w:tc>
        <w:tc>
          <w:tcPr>
            <w:tcW w:w="1468" w:type="dxa"/>
            <w:tcBorders>
              <w:top w:val="nil"/>
              <w:left w:val="nil"/>
              <w:bottom w:val="nil"/>
              <w:right w:val="nil"/>
            </w:tcBorders>
            <w:vAlign w:val="center"/>
          </w:tcPr>
          <w:p w14:paraId="732D85EC" w14:textId="1B801824" w:rsidR="00D84C04" w:rsidRPr="00057236" w:rsidRDefault="00AA7A9D" w:rsidP="00D84C04">
            <w:pPr>
              <w:ind w:right="340"/>
              <w:jc w:val="right"/>
              <w:rPr>
                <w:rFonts w:ascii="Verdana" w:hAnsi="Verdana"/>
                <w:color w:val="366092"/>
                <w:sz w:val="18"/>
                <w:szCs w:val="18"/>
              </w:rPr>
            </w:pPr>
            <w:r w:rsidRPr="00057236">
              <w:rPr>
                <w:rFonts w:ascii="Verdana" w:hAnsi="Verdana"/>
                <w:color w:val="366092"/>
                <w:sz w:val="18"/>
                <w:szCs w:val="18"/>
              </w:rPr>
              <w:t>122,4</w:t>
            </w:r>
          </w:p>
        </w:tc>
        <w:tc>
          <w:tcPr>
            <w:tcW w:w="273" w:type="dxa"/>
            <w:tcBorders>
              <w:top w:val="nil"/>
              <w:left w:val="nil"/>
              <w:bottom w:val="nil"/>
              <w:right w:val="nil"/>
            </w:tcBorders>
            <w:vAlign w:val="center"/>
          </w:tcPr>
          <w:p w14:paraId="3477A5DF" w14:textId="77777777" w:rsidR="00D84C04" w:rsidRPr="00057236" w:rsidRDefault="00D84C04" w:rsidP="00D84C04">
            <w:pPr>
              <w:jc w:val="right"/>
              <w:rPr>
                <w:rFonts w:ascii="Verdana" w:eastAsia="Times New Roman" w:hAnsi="Verdana" w:cs="Arial"/>
                <w:color w:val="366092"/>
                <w:sz w:val="18"/>
                <w:szCs w:val="18"/>
                <w:lang w:val="el-GR"/>
              </w:rPr>
            </w:pPr>
          </w:p>
        </w:tc>
        <w:tc>
          <w:tcPr>
            <w:tcW w:w="1471" w:type="dxa"/>
            <w:tcBorders>
              <w:top w:val="nil"/>
              <w:left w:val="nil"/>
              <w:bottom w:val="nil"/>
              <w:right w:val="nil"/>
            </w:tcBorders>
            <w:vAlign w:val="center"/>
          </w:tcPr>
          <w:p w14:paraId="6D232EA8" w14:textId="4840DAD5" w:rsidR="00D84C04" w:rsidRPr="00057236" w:rsidRDefault="00AA7A9D" w:rsidP="00D84C04">
            <w:pPr>
              <w:ind w:right="624"/>
              <w:jc w:val="right"/>
              <w:rPr>
                <w:rFonts w:ascii="Verdana" w:hAnsi="Verdana"/>
                <w:color w:val="366092"/>
                <w:sz w:val="18"/>
                <w:szCs w:val="18"/>
              </w:rPr>
            </w:pPr>
            <w:r w:rsidRPr="00057236">
              <w:rPr>
                <w:rFonts w:ascii="Verdana" w:hAnsi="Verdana"/>
                <w:color w:val="366092"/>
                <w:sz w:val="18"/>
                <w:szCs w:val="18"/>
              </w:rPr>
              <w:t>17,9</w:t>
            </w:r>
          </w:p>
        </w:tc>
        <w:tc>
          <w:tcPr>
            <w:tcW w:w="1559" w:type="dxa"/>
            <w:tcBorders>
              <w:top w:val="nil"/>
              <w:left w:val="nil"/>
              <w:bottom w:val="nil"/>
              <w:right w:val="nil"/>
            </w:tcBorders>
            <w:vAlign w:val="center"/>
          </w:tcPr>
          <w:p w14:paraId="79C1CA47" w14:textId="376B6969" w:rsidR="00D84C04" w:rsidRPr="00057236" w:rsidRDefault="00AA7A9D" w:rsidP="00C91132">
            <w:pPr>
              <w:ind w:right="624"/>
              <w:jc w:val="right"/>
              <w:rPr>
                <w:rFonts w:ascii="Verdana" w:hAnsi="Verdana"/>
                <w:color w:val="366092"/>
                <w:sz w:val="18"/>
                <w:szCs w:val="18"/>
              </w:rPr>
            </w:pPr>
            <w:r w:rsidRPr="00057236">
              <w:rPr>
                <w:rFonts w:ascii="Verdana" w:hAnsi="Verdana"/>
                <w:color w:val="366092"/>
                <w:sz w:val="18"/>
                <w:szCs w:val="18"/>
              </w:rPr>
              <w:t>9,0</w:t>
            </w:r>
          </w:p>
        </w:tc>
      </w:tr>
      <w:tr w:rsidR="00057236" w:rsidRPr="00057236" w14:paraId="3CEE7CA2" w14:textId="77777777" w:rsidTr="00157BA4">
        <w:trPr>
          <w:trHeight w:val="851"/>
          <w:jc w:val="center"/>
        </w:trPr>
        <w:tc>
          <w:tcPr>
            <w:tcW w:w="1212" w:type="dxa"/>
            <w:tcBorders>
              <w:top w:val="nil"/>
              <w:left w:val="nil"/>
              <w:bottom w:val="nil"/>
              <w:right w:val="nil"/>
            </w:tcBorders>
            <w:vAlign w:val="center"/>
          </w:tcPr>
          <w:p w14:paraId="58054535" w14:textId="77777777" w:rsidR="00D84C04" w:rsidRPr="00057236" w:rsidRDefault="00D84C04" w:rsidP="00D84C04">
            <w:pPr>
              <w:jc w:val="cente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46.6</w:t>
            </w:r>
          </w:p>
        </w:tc>
        <w:tc>
          <w:tcPr>
            <w:tcW w:w="3231" w:type="dxa"/>
            <w:tcBorders>
              <w:top w:val="nil"/>
              <w:left w:val="nil"/>
              <w:bottom w:val="nil"/>
              <w:right w:val="nil"/>
            </w:tcBorders>
            <w:vAlign w:val="center"/>
          </w:tcPr>
          <w:p w14:paraId="5D3CEBE7" w14:textId="77777777" w:rsidR="00D84C04" w:rsidRPr="00057236" w:rsidRDefault="00D84C04" w:rsidP="00D84C04">
            <w:pP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Χονδρικό εμπόριο άλλων μηχανημάτων, εξοπλισμού και προμηθειών</w:t>
            </w:r>
          </w:p>
        </w:tc>
        <w:tc>
          <w:tcPr>
            <w:tcW w:w="1468" w:type="dxa"/>
            <w:tcBorders>
              <w:top w:val="nil"/>
              <w:left w:val="nil"/>
              <w:bottom w:val="nil"/>
              <w:right w:val="nil"/>
            </w:tcBorders>
            <w:vAlign w:val="center"/>
          </w:tcPr>
          <w:p w14:paraId="0532DB1B" w14:textId="034416D6" w:rsidR="00D84C04" w:rsidRPr="00057236" w:rsidRDefault="00AA7A9D" w:rsidP="00D84C04">
            <w:pPr>
              <w:ind w:right="340"/>
              <w:jc w:val="right"/>
              <w:rPr>
                <w:rFonts w:ascii="Verdana" w:hAnsi="Verdana"/>
                <w:color w:val="366092"/>
                <w:sz w:val="18"/>
                <w:szCs w:val="18"/>
              </w:rPr>
            </w:pPr>
            <w:r w:rsidRPr="00057236">
              <w:rPr>
                <w:rFonts w:ascii="Verdana" w:hAnsi="Verdana"/>
                <w:color w:val="366092"/>
                <w:sz w:val="18"/>
                <w:szCs w:val="18"/>
              </w:rPr>
              <w:t>131,5</w:t>
            </w:r>
          </w:p>
        </w:tc>
        <w:tc>
          <w:tcPr>
            <w:tcW w:w="273" w:type="dxa"/>
            <w:tcBorders>
              <w:top w:val="nil"/>
              <w:left w:val="nil"/>
              <w:bottom w:val="nil"/>
              <w:right w:val="nil"/>
            </w:tcBorders>
            <w:vAlign w:val="center"/>
          </w:tcPr>
          <w:p w14:paraId="0B0C5AA7" w14:textId="77777777" w:rsidR="00D84C04" w:rsidRPr="00057236" w:rsidRDefault="00D84C04" w:rsidP="00D84C04">
            <w:pPr>
              <w:jc w:val="right"/>
              <w:rPr>
                <w:rFonts w:ascii="Verdana" w:eastAsia="Times New Roman" w:hAnsi="Verdana" w:cs="Arial"/>
                <w:color w:val="366092"/>
                <w:sz w:val="18"/>
                <w:szCs w:val="18"/>
                <w:lang w:val="el-GR"/>
              </w:rPr>
            </w:pPr>
          </w:p>
        </w:tc>
        <w:tc>
          <w:tcPr>
            <w:tcW w:w="1471" w:type="dxa"/>
            <w:tcBorders>
              <w:top w:val="nil"/>
              <w:left w:val="nil"/>
              <w:bottom w:val="nil"/>
              <w:right w:val="nil"/>
            </w:tcBorders>
            <w:vAlign w:val="center"/>
          </w:tcPr>
          <w:p w14:paraId="73FE62DA" w14:textId="4F220801" w:rsidR="00D84C04" w:rsidRPr="00057236" w:rsidRDefault="00AA7A9D" w:rsidP="00D84C04">
            <w:pPr>
              <w:ind w:right="624"/>
              <w:jc w:val="right"/>
              <w:rPr>
                <w:rFonts w:ascii="Verdana" w:hAnsi="Verdana"/>
                <w:color w:val="366092"/>
                <w:sz w:val="18"/>
                <w:szCs w:val="18"/>
              </w:rPr>
            </w:pPr>
            <w:r w:rsidRPr="00057236">
              <w:rPr>
                <w:rFonts w:ascii="Verdana" w:hAnsi="Verdana"/>
                <w:color w:val="366092"/>
                <w:sz w:val="18"/>
                <w:szCs w:val="18"/>
              </w:rPr>
              <w:t>6,4</w:t>
            </w:r>
          </w:p>
        </w:tc>
        <w:tc>
          <w:tcPr>
            <w:tcW w:w="1559" w:type="dxa"/>
            <w:tcBorders>
              <w:top w:val="nil"/>
              <w:left w:val="nil"/>
              <w:bottom w:val="nil"/>
              <w:right w:val="nil"/>
            </w:tcBorders>
            <w:vAlign w:val="center"/>
          </w:tcPr>
          <w:p w14:paraId="01232927" w14:textId="07B10E03" w:rsidR="00D84C04" w:rsidRPr="00057236" w:rsidRDefault="00AA7A9D" w:rsidP="00C91132">
            <w:pPr>
              <w:ind w:right="624"/>
              <w:jc w:val="right"/>
              <w:rPr>
                <w:rFonts w:ascii="Verdana" w:hAnsi="Verdana"/>
                <w:color w:val="366092"/>
                <w:sz w:val="18"/>
                <w:szCs w:val="18"/>
              </w:rPr>
            </w:pPr>
            <w:r w:rsidRPr="00057236">
              <w:rPr>
                <w:rFonts w:ascii="Verdana" w:hAnsi="Verdana"/>
                <w:color w:val="366092"/>
                <w:sz w:val="18"/>
                <w:szCs w:val="18"/>
              </w:rPr>
              <w:t>6,2</w:t>
            </w:r>
          </w:p>
        </w:tc>
      </w:tr>
      <w:tr w:rsidR="00057236" w:rsidRPr="00057236" w14:paraId="5CAC6652" w14:textId="77777777" w:rsidTr="00157BA4">
        <w:trPr>
          <w:trHeight w:val="624"/>
          <w:jc w:val="center"/>
        </w:trPr>
        <w:tc>
          <w:tcPr>
            <w:tcW w:w="1212" w:type="dxa"/>
            <w:tcBorders>
              <w:top w:val="nil"/>
              <w:left w:val="nil"/>
              <w:bottom w:val="nil"/>
              <w:right w:val="nil"/>
            </w:tcBorders>
            <w:vAlign w:val="center"/>
          </w:tcPr>
          <w:p w14:paraId="243026ED" w14:textId="77777777" w:rsidR="00D84C04" w:rsidRPr="00057236" w:rsidRDefault="00D84C04" w:rsidP="00D84C04">
            <w:pPr>
              <w:jc w:val="cente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46.7</w:t>
            </w:r>
          </w:p>
        </w:tc>
        <w:tc>
          <w:tcPr>
            <w:tcW w:w="3231" w:type="dxa"/>
            <w:tcBorders>
              <w:top w:val="nil"/>
              <w:left w:val="nil"/>
              <w:bottom w:val="nil"/>
              <w:right w:val="nil"/>
            </w:tcBorders>
            <w:vAlign w:val="center"/>
          </w:tcPr>
          <w:p w14:paraId="66520965" w14:textId="77777777" w:rsidR="00D84C04" w:rsidRPr="00057236" w:rsidRDefault="00D84C04" w:rsidP="00D84C04">
            <w:pP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Άλλο ειδικευμένο χονδρικό εμπόριο</w:t>
            </w:r>
          </w:p>
        </w:tc>
        <w:tc>
          <w:tcPr>
            <w:tcW w:w="1468" w:type="dxa"/>
            <w:tcBorders>
              <w:top w:val="nil"/>
              <w:left w:val="nil"/>
              <w:bottom w:val="nil"/>
              <w:right w:val="nil"/>
            </w:tcBorders>
            <w:vAlign w:val="center"/>
          </w:tcPr>
          <w:p w14:paraId="743F437A" w14:textId="774A712A" w:rsidR="00D84C04" w:rsidRPr="00057236" w:rsidRDefault="00AA7A9D" w:rsidP="00D84C04">
            <w:pPr>
              <w:ind w:right="340"/>
              <w:jc w:val="right"/>
              <w:rPr>
                <w:rFonts w:ascii="Verdana" w:hAnsi="Verdana"/>
                <w:color w:val="366092"/>
                <w:sz w:val="18"/>
                <w:szCs w:val="18"/>
              </w:rPr>
            </w:pPr>
            <w:r w:rsidRPr="00057236">
              <w:rPr>
                <w:rFonts w:ascii="Verdana" w:hAnsi="Verdana"/>
                <w:color w:val="366092"/>
                <w:sz w:val="18"/>
                <w:szCs w:val="18"/>
              </w:rPr>
              <w:t>142,3</w:t>
            </w:r>
          </w:p>
        </w:tc>
        <w:tc>
          <w:tcPr>
            <w:tcW w:w="273" w:type="dxa"/>
            <w:tcBorders>
              <w:top w:val="nil"/>
              <w:left w:val="nil"/>
              <w:bottom w:val="nil"/>
              <w:right w:val="nil"/>
            </w:tcBorders>
            <w:vAlign w:val="center"/>
          </w:tcPr>
          <w:p w14:paraId="3A0C8CB7" w14:textId="77777777" w:rsidR="00D84C04" w:rsidRPr="00057236" w:rsidRDefault="00D84C04" w:rsidP="00D84C04">
            <w:pPr>
              <w:jc w:val="right"/>
              <w:rPr>
                <w:rFonts w:ascii="Verdana" w:eastAsia="Times New Roman" w:hAnsi="Verdana" w:cs="Arial"/>
                <w:color w:val="366092"/>
                <w:sz w:val="18"/>
                <w:szCs w:val="18"/>
                <w:lang w:val="el-GR"/>
              </w:rPr>
            </w:pPr>
          </w:p>
        </w:tc>
        <w:tc>
          <w:tcPr>
            <w:tcW w:w="1471" w:type="dxa"/>
            <w:tcBorders>
              <w:top w:val="nil"/>
              <w:left w:val="nil"/>
              <w:bottom w:val="nil"/>
              <w:right w:val="nil"/>
            </w:tcBorders>
            <w:vAlign w:val="center"/>
          </w:tcPr>
          <w:p w14:paraId="0E7F29D1" w14:textId="362134E1" w:rsidR="00D84C04" w:rsidRPr="00057236" w:rsidRDefault="00AA7A9D" w:rsidP="00D84C04">
            <w:pPr>
              <w:ind w:right="624"/>
              <w:jc w:val="right"/>
              <w:rPr>
                <w:rFonts w:ascii="Verdana" w:hAnsi="Verdana"/>
                <w:color w:val="366092"/>
                <w:sz w:val="18"/>
                <w:szCs w:val="18"/>
              </w:rPr>
            </w:pPr>
            <w:r w:rsidRPr="00057236">
              <w:rPr>
                <w:rFonts w:ascii="Verdana" w:hAnsi="Verdana"/>
                <w:color w:val="366092"/>
                <w:sz w:val="18"/>
                <w:szCs w:val="18"/>
              </w:rPr>
              <w:t>0,0</w:t>
            </w:r>
          </w:p>
        </w:tc>
        <w:tc>
          <w:tcPr>
            <w:tcW w:w="1559" w:type="dxa"/>
            <w:tcBorders>
              <w:top w:val="nil"/>
              <w:left w:val="nil"/>
              <w:bottom w:val="nil"/>
              <w:right w:val="nil"/>
            </w:tcBorders>
            <w:vAlign w:val="center"/>
          </w:tcPr>
          <w:p w14:paraId="3F73E887" w14:textId="01CE7274" w:rsidR="00D84C04" w:rsidRPr="00057236" w:rsidRDefault="00AA7A9D" w:rsidP="00C91132">
            <w:pPr>
              <w:ind w:right="624"/>
              <w:jc w:val="right"/>
              <w:rPr>
                <w:rFonts w:ascii="Verdana" w:hAnsi="Verdana"/>
                <w:color w:val="366092"/>
                <w:sz w:val="18"/>
                <w:szCs w:val="18"/>
              </w:rPr>
            </w:pPr>
            <w:r w:rsidRPr="00057236">
              <w:rPr>
                <w:rFonts w:ascii="Verdana" w:hAnsi="Verdana"/>
                <w:color w:val="366092"/>
                <w:sz w:val="18"/>
                <w:szCs w:val="18"/>
              </w:rPr>
              <w:t>-0,2</w:t>
            </w:r>
          </w:p>
        </w:tc>
      </w:tr>
      <w:tr w:rsidR="00057236" w:rsidRPr="00057236" w14:paraId="3974A642" w14:textId="77777777" w:rsidTr="00157BA4">
        <w:trPr>
          <w:trHeight w:val="454"/>
          <w:jc w:val="center"/>
        </w:trPr>
        <w:tc>
          <w:tcPr>
            <w:tcW w:w="1212" w:type="dxa"/>
            <w:tcBorders>
              <w:top w:val="nil"/>
              <w:left w:val="nil"/>
              <w:bottom w:val="nil"/>
              <w:right w:val="nil"/>
            </w:tcBorders>
            <w:vAlign w:val="center"/>
          </w:tcPr>
          <w:p w14:paraId="5CDE4B7A" w14:textId="77777777" w:rsidR="00D84C04" w:rsidRPr="00057236" w:rsidRDefault="00D84C04" w:rsidP="00D84C04">
            <w:pPr>
              <w:jc w:val="cente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46.9</w:t>
            </w:r>
          </w:p>
        </w:tc>
        <w:tc>
          <w:tcPr>
            <w:tcW w:w="3231" w:type="dxa"/>
            <w:tcBorders>
              <w:top w:val="nil"/>
              <w:left w:val="nil"/>
              <w:bottom w:val="nil"/>
              <w:right w:val="nil"/>
            </w:tcBorders>
            <w:vAlign w:val="center"/>
          </w:tcPr>
          <w:p w14:paraId="5702728B" w14:textId="77777777" w:rsidR="00D84C04" w:rsidRPr="00057236" w:rsidRDefault="00D84C04" w:rsidP="00D84C04">
            <w:pPr>
              <w:rPr>
                <w:rFonts w:ascii="Verdana" w:eastAsia="Times New Roman" w:hAnsi="Verdana" w:cs="Arial"/>
                <w:color w:val="366092"/>
                <w:sz w:val="18"/>
                <w:szCs w:val="18"/>
                <w:lang w:val="el-GR"/>
              </w:rPr>
            </w:pPr>
            <w:r w:rsidRPr="00057236">
              <w:rPr>
                <w:rFonts w:ascii="Verdana" w:eastAsia="Times New Roman" w:hAnsi="Verdana" w:cs="Arial"/>
                <w:color w:val="366092"/>
                <w:sz w:val="18"/>
                <w:szCs w:val="18"/>
                <w:lang w:val="el-GR"/>
              </w:rPr>
              <w:t>Μη ειδικευμένο χονδρικό εμπόριο</w:t>
            </w:r>
          </w:p>
        </w:tc>
        <w:tc>
          <w:tcPr>
            <w:tcW w:w="1468" w:type="dxa"/>
            <w:tcBorders>
              <w:top w:val="nil"/>
              <w:left w:val="nil"/>
              <w:bottom w:val="nil"/>
              <w:right w:val="nil"/>
            </w:tcBorders>
            <w:vAlign w:val="center"/>
          </w:tcPr>
          <w:p w14:paraId="13F11591" w14:textId="6ACF98EB" w:rsidR="00D84C04" w:rsidRPr="00057236" w:rsidRDefault="00AA7A9D" w:rsidP="00D84C04">
            <w:pPr>
              <w:ind w:right="340"/>
              <w:jc w:val="right"/>
              <w:rPr>
                <w:rFonts w:ascii="Verdana" w:hAnsi="Verdana"/>
                <w:color w:val="366092"/>
                <w:sz w:val="18"/>
                <w:szCs w:val="18"/>
              </w:rPr>
            </w:pPr>
            <w:r w:rsidRPr="00057236">
              <w:rPr>
                <w:rFonts w:ascii="Verdana" w:hAnsi="Verdana"/>
                <w:color w:val="366092"/>
                <w:sz w:val="18"/>
                <w:szCs w:val="18"/>
              </w:rPr>
              <w:t>141,1</w:t>
            </w:r>
          </w:p>
        </w:tc>
        <w:tc>
          <w:tcPr>
            <w:tcW w:w="273" w:type="dxa"/>
            <w:tcBorders>
              <w:top w:val="nil"/>
              <w:left w:val="nil"/>
              <w:bottom w:val="nil"/>
              <w:right w:val="nil"/>
            </w:tcBorders>
            <w:vAlign w:val="center"/>
          </w:tcPr>
          <w:p w14:paraId="22D511B4" w14:textId="77777777" w:rsidR="00D84C04" w:rsidRPr="00057236" w:rsidRDefault="00D84C04" w:rsidP="00D84C04">
            <w:pPr>
              <w:jc w:val="right"/>
              <w:rPr>
                <w:rFonts w:ascii="Verdana" w:eastAsia="Times New Roman" w:hAnsi="Verdana" w:cs="Arial"/>
                <w:color w:val="366092"/>
                <w:sz w:val="18"/>
                <w:szCs w:val="18"/>
                <w:lang w:val="el-GR"/>
              </w:rPr>
            </w:pPr>
          </w:p>
        </w:tc>
        <w:tc>
          <w:tcPr>
            <w:tcW w:w="1471" w:type="dxa"/>
            <w:tcBorders>
              <w:top w:val="nil"/>
              <w:left w:val="nil"/>
              <w:bottom w:val="nil"/>
              <w:right w:val="nil"/>
            </w:tcBorders>
            <w:vAlign w:val="center"/>
          </w:tcPr>
          <w:p w14:paraId="6314D871" w14:textId="028F449E" w:rsidR="00D84C04" w:rsidRPr="00057236" w:rsidRDefault="00AA7A9D" w:rsidP="00D84C04">
            <w:pPr>
              <w:ind w:right="624"/>
              <w:jc w:val="right"/>
              <w:rPr>
                <w:rFonts w:ascii="Verdana" w:hAnsi="Verdana"/>
                <w:color w:val="366092"/>
                <w:sz w:val="18"/>
                <w:szCs w:val="18"/>
              </w:rPr>
            </w:pPr>
            <w:r w:rsidRPr="00057236">
              <w:rPr>
                <w:rFonts w:ascii="Verdana" w:hAnsi="Verdana"/>
                <w:color w:val="366092"/>
                <w:sz w:val="18"/>
                <w:szCs w:val="18"/>
              </w:rPr>
              <w:t>10,8</w:t>
            </w:r>
          </w:p>
        </w:tc>
        <w:tc>
          <w:tcPr>
            <w:tcW w:w="1559" w:type="dxa"/>
            <w:tcBorders>
              <w:top w:val="nil"/>
              <w:left w:val="nil"/>
              <w:bottom w:val="nil"/>
              <w:right w:val="nil"/>
            </w:tcBorders>
            <w:vAlign w:val="center"/>
          </w:tcPr>
          <w:p w14:paraId="31C04DC7" w14:textId="434C8F80" w:rsidR="00D84C04" w:rsidRPr="00057236" w:rsidRDefault="00AA7A9D" w:rsidP="00C91132">
            <w:pPr>
              <w:ind w:right="624"/>
              <w:jc w:val="right"/>
              <w:rPr>
                <w:rFonts w:ascii="Verdana" w:hAnsi="Verdana"/>
                <w:color w:val="366092"/>
                <w:sz w:val="18"/>
                <w:szCs w:val="18"/>
              </w:rPr>
            </w:pPr>
            <w:r w:rsidRPr="00057236">
              <w:rPr>
                <w:rFonts w:ascii="Verdana" w:hAnsi="Verdana"/>
                <w:color w:val="366092"/>
                <w:sz w:val="18"/>
                <w:szCs w:val="18"/>
              </w:rPr>
              <w:t>7,9</w:t>
            </w:r>
          </w:p>
        </w:tc>
      </w:tr>
      <w:tr w:rsidR="00057236" w:rsidRPr="00057236" w14:paraId="54EF2CD2" w14:textId="77777777" w:rsidTr="00057236">
        <w:trPr>
          <w:trHeight w:val="57"/>
          <w:jc w:val="center"/>
        </w:trPr>
        <w:tc>
          <w:tcPr>
            <w:tcW w:w="1212" w:type="dxa"/>
            <w:tcBorders>
              <w:top w:val="nil"/>
              <w:left w:val="nil"/>
              <w:bottom w:val="single" w:sz="4" w:space="0" w:color="366092"/>
              <w:right w:val="nil"/>
            </w:tcBorders>
            <w:vAlign w:val="center"/>
          </w:tcPr>
          <w:p w14:paraId="4B1AF915" w14:textId="77777777" w:rsidR="00D84C04" w:rsidRPr="00057236" w:rsidRDefault="00D84C04" w:rsidP="00D84C04">
            <w:pPr>
              <w:jc w:val="center"/>
              <w:rPr>
                <w:rFonts w:ascii="Verdana" w:eastAsia="Times New Roman" w:hAnsi="Verdana" w:cs="Arial"/>
                <w:b/>
                <w:bCs/>
                <w:color w:val="366092"/>
                <w:sz w:val="18"/>
                <w:szCs w:val="18"/>
              </w:rPr>
            </w:pPr>
          </w:p>
        </w:tc>
        <w:tc>
          <w:tcPr>
            <w:tcW w:w="3231" w:type="dxa"/>
            <w:tcBorders>
              <w:top w:val="nil"/>
              <w:left w:val="nil"/>
              <w:bottom w:val="single" w:sz="4" w:space="0" w:color="366092"/>
              <w:right w:val="nil"/>
            </w:tcBorders>
            <w:vAlign w:val="center"/>
          </w:tcPr>
          <w:p w14:paraId="64D282ED" w14:textId="77777777" w:rsidR="00D84C04" w:rsidRPr="00057236" w:rsidRDefault="00D84C04" w:rsidP="00D84C04">
            <w:pPr>
              <w:rPr>
                <w:rFonts w:ascii="Verdana" w:eastAsia="Times New Roman" w:hAnsi="Verdana" w:cs="Arial"/>
                <w:b/>
                <w:bCs/>
                <w:color w:val="366092"/>
                <w:sz w:val="18"/>
                <w:szCs w:val="18"/>
              </w:rPr>
            </w:pPr>
          </w:p>
        </w:tc>
        <w:tc>
          <w:tcPr>
            <w:tcW w:w="1468" w:type="dxa"/>
            <w:tcBorders>
              <w:top w:val="nil"/>
              <w:left w:val="nil"/>
              <w:bottom w:val="single" w:sz="4" w:space="0" w:color="366092"/>
              <w:right w:val="nil"/>
            </w:tcBorders>
            <w:vAlign w:val="center"/>
          </w:tcPr>
          <w:p w14:paraId="7AF5B84D" w14:textId="77777777" w:rsidR="00D84C04" w:rsidRPr="00057236" w:rsidRDefault="00D84C04" w:rsidP="00D84C04">
            <w:pPr>
              <w:ind w:right="340"/>
              <w:jc w:val="right"/>
              <w:rPr>
                <w:rFonts w:ascii="Verdana" w:hAnsi="Verdana"/>
                <w:b/>
                <w:color w:val="366092"/>
                <w:sz w:val="18"/>
                <w:szCs w:val="18"/>
              </w:rPr>
            </w:pPr>
          </w:p>
        </w:tc>
        <w:tc>
          <w:tcPr>
            <w:tcW w:w="273" w:type="dxa"/>
            <w:tcBorders>
              <w:top w:val="nil"/>
              <w:left w:val="nil"/>
              <w:bottom w:val="single" w:sz="4" w:space="0" w:color="366092"/>
              <w:right w:val="nil"/>
            </w:tcBorders>
            <w:vAlign w:val="center"/>
          </w:tcPr>
          <w:p w14:paraId="3FAC6BFE" w14:textId="77777777" w:rsidR="00D84C04" w:rsidRPr="00057236" w:rsidRDefault="00D84C04" w:rsidP="00D84C04">
            <w:pPr>
              <w:jc w:val="right"/>
              <w:rPr>
                <w:rFonts w:ascii="Verdana" w:eastAsia="Times New Roman" w:hAnsi="Verdana" w:cs="Arial"/>
                <w:b/>
                <w:bCs/>
                <w:color w:val="366092"/>
                <w:sz w:val="18"/>
                <w:szCs w:val="18"/>
                <w:lang w:val="el-GR"/>
              </w:rPr>
            </w:pPr>
          </w:p>
        </w:tc>
        <w:tc>
          <w:tcPr>
            <w:tcW w:w="1471" w:type="dxa"/>
            <w:tcBorders>
              <w:top w:val="nil"/>
              <w:left w:val="nil"/>
              <w:bottom w:val="single" w:sz="4" w:space="0" w:color="366092"/>
              <w:right w:val="nil"/>
            </w:tcBorders>
            <w:vAlign w:val="center"/>
          </w:tcPr>
          <w:p w14:paraId="54B7B93A" w14:textId="77777777" w:rsidR="00D84C04" w:rsidRPr="00057236" w:rsidRDefault="00D84C04" w:rsidP="00D84C04">
            <w:pPr>
              <w:ind w:right="340"/>
              <w:jc w:val="right"/>
              <w:rPr>
                <w:rFonts w:ascii="Verdana" w:hAnsi="Verdana"/>
                <w:b/>
                <w:color w:val="366092"/>
                <w:sz w:val="18"/>
                <w:szCs w:val="18"/>
              </w:rPr>
            </w:pPr>
          </w:p>
        </w:tc>
        <w:tc>
          <w:tcPr>
            <w:tcW w:w="1559" w:type="dxa"/>
            <w:tcBorders>
              <w:top w:val="nil"/>
              <w:left w:val="nil"/>
              <w:bottom w:val="single" w:sz="4" w:space="0" w:color="366092"/>
              <w:right w:val="nil"/>
            </w:tcBorders>
            <w:vAlign w:val="center"/>
          </w:tcPr>
          <w:p w14:paraId="2749CAA0" w14:textId="77777777" w:rsidR="00D84C04" w:rsidRPr="00057236" w:rsidRDefault="00D84C04" w:rsidP="00C91132">
            <w:pPr>
              <w:ind w:right="624"/>
              <w:jc w:val="right"/>
              <w:rPr>
                <w:rFonts w:ascii="Verdana" w:hAnsi="Verdana"/>
                <w:color w:val="366092"/>
                <w:sz w:val="18"/>
                <w:szCs w:val="18"/>
                <w:lang w:val="el-GR"/>
              </w:rPr>
            </w:pPr>
          </w:p>
        </w:tc>
      </w:tr>
      <w:tr w:rsidR="00057236" w:rsidRPr="00057236" w14:paraId="6EE2225C" w14:textId="77777777" w:rsidTr="008F0C83">
        <w:trPr>
          <w:trHeight w:val="851"/>
          <w:jc w:val="center"/>
        </w:trPr>
        <w:tc>
          <w:tcPr>
            <w:tcW w:w="1212" w:type="dxa"/>
            <w:tcBorders>
              <w:top w:val="single" w:sz="4" w:space="0" w:color="366092"/>
              <w:left w:val="nil"/>
              <w:bottom w:val="single" w:sz="4" w:space="0" w:color="366092"/>
              <w:right w:val="nil"/>
            </w:tcBorders>
            <w:vAlign w:val="center"/>
          </w:tcPr>
          <w:p w14:paraId="7697662D" w14:textId="77777777" w:rsidR="00D84C04" w:rsidRPr="00057236" w:rsidRDefault="00D84C04" w:rsidP="00D84C04">
            <w:pPr>
              <w:jc w:val="center"/>
              <w:rPr>
                <w:rFonts w:ascii="Verdana" w:eastAsia="Times New Roman" w:hAnsi="Verdana" w:cs="Arial"/>
                <w:b/>
                <w:bCs/>
                <w:color w:val="366092"/>
                <w:sz w:val="18"/>
                <w:szCs w:val="18"/>
                <w:lang w:val="el-GR"/>
              </w:rPr>
            </w:pPr>
            <w:r w:rsidRPr="00057236">
              <w:rPr>
                <w:rFonts w:ascii="Verdana" w:eastAsia="Times New Roman" w:hAnsi="Verdana" w:cs="Arial"/>
                <w:b/>
                <w:bCs/>
                <w:color w:val="366092"/>
                <w:sz w:val="18"/>
                <w:szCs w:val="18"/>
                <w:lang w:val="el-GR"/>
              </w:rPr>
              <w:t>46</w:t>
            </w:r>
          </w:p>
        </w:tc>
        <w:tc>
          <w:tcPr>
            <w:tcW w:w="3231" w:type="dxa"/>
            <w:tcBorders>
              <w:top w:val="single" w:sz="4" w:space="0" w:color="366092"/>
              <w:left w:val="nil"/>
              <w:bottom w:val="single" w:sz="4" w:space="0" w:color="366092"/>
              <w:right w:val="nil"/>
            </w:tcBorders>
            <w:vAlign w:val="center"/>
          </w:tcPr>
          <w:p w14:paraId="2937D026" w14:textId="77777777" w:rsidR="00D84C04" w:rsidRPr="00057236" w:rsidRDefault="00D84C04" w:rsidP="00D84C04">
            <w:pPr>
              <w:rPr>
                <w:rFonts w:ascii="Verdana" w:eastAsia="Times New Roman" w:hAnsi="Verdana" w:cs="Arial"/>
                <w:b/>
                <w:bCs/>
                <w:color w:val="366092"/>
                <w:sz w:val="18"/>
                <w:szCs w:val="18"/>
                <w:lang w:val="el-GR"/>
              </w:rPr>
            </w:pPr>
            <w:r w:rsidRPr="00057236">
              <w:rPr>
                <w:rFonts w:ascii="Verdana" w:eastAsia="Times New Roman" w:hAnsi="Verdana" w:cs="Arial"/>
                <w:b/>
                <w:bCs/>
                <w:color w:val="366092"/>
                <w:sz w:val="18"/>
                <w:szCs w:val="18"/>
                <w:lang w:val="el-GR"/>
              </w:rPr>
              <w:t>ΧΟΝΔΡΙΚΟ ΕΜΠΟΡΙΟ, ΕΚΤΟΣ ΜΗΧΑΝΟΚΙΝΗΤΩΝ ΟΧΗΜΑΤΩΝ</w:t>
            </w:r>
          </w:p>
        </w:tc>
        <w:tc>
          <w:tcPr>
            <w:tcW w:w="1468" w:type="dxa"/>
            <w:tcBorders>
              <w:top w:val="single" w:sz="4" w:space="0" w:color="366092"/>
              <w:left w:val="nil"/>
              <w:bottom w:val="single" w:sz="4" w:space="0" w:color="366092"/>
              <w:right w:val="nil"/>
            </w:tcBorders>
            <w:vAlign w:val="center"/>
          </w:tcPr>
          <w:p w14:paraId="5D3908C3" w14:textId="007B40E0" w:rsidR="00D84C04" w:rsidRPr="00057236" w:rsidRDefault="00AA7A9D" w:rsidP="00D84C04">
            <w:pPr>
              <w:ind w:right="340"/>
              <w:jc w:val="right"/>
              <w:rPr>
                <w:rFonts w:ascii="Verdana" w:hAnsi="Verdana"/>
                <w:b/>
                <w:color w:val="366092"/>
                <w:sz w:val="18"/>
                <w:szCs w:val="18"/>
              </w:rPr>
            </w:pPr>
            <w:r w:rsidRPr="00057236">
              <w:rPr>
                <w:rFonts w:ascii="Verdana" w:hAnsi="Verdana"/>
                <w:b/>
                <w:color w:val="366092"/>
                <w:sz w:val="18"/>
                <w:szCs w:val="18"/>
              </w:rPr>
              <w:t>142,4</w:t>
            </w:r>
          </w:p>
        </w:tc>
        <w:tc>
          <w:tcPr>
            <w:tcW w:w="273" w:type="dxa"/>
            <w:tcBorders>
              <w:top w:val="single" w:sz="4" w:space="0" w:color="366092"/>
              <w:left w:val="nil"/>
              <w:bottom w:val="single" w:sz="4" w:space="0" w:color="366092"/>
              <w:right w:val="nil"/>
            </w:tcBorders>
            <w:vAlign w:val="center"/>
          </w:tcPr>
          <w:p w14:paraId="7011FB33" w14:textId="77777777" w:rsidR="00D84C04" w:rsidRPr="00057236" w:rsidRDefault="00D84C04" w:rsidP="00D84C04">
            <w:pPr>
              <w:jc w:val="right"/>
              <w:rPr>
                <w:rFonts w:ascii="Verdana" w:eastAsia="Times New Roman" w:hAnsi="Verdana" w:cs="Arial"/>
                <w:b/>
                <w:bCs/>
                <w:color w:val="366092"/>
                <w:sz w:val="18"/>
                <w:szCs w:val="18"/>
                <w:lang w:val="el-GR"/>
              </w:rPr>
            </w:pPr>
          </w:p>
        </w:tc>
        <w:tc>
          <w:tcPr>
            <w:tcW w:w="1471" w:type="dxa"/>
            <w:tcBorders>
              <w:top w:val="single" w:sz="4" w:space="0" w:color="366092"/>
              <w:left w:val="nil"/>
              <w:bottom w:val="single" w:sz="4" w:space="0" w:color="366092"/>
              <w:right w:val="nil"/>
            </w:tcBorders>
            <w:vAlign w:val="center"/>
          </w:tcPr>
          <w:p w14:paraId="7CDED5F9" w14:textId="4F5BD333" w:rsidR="00D84C04" w:rsidRPr="00057236" w:rsidRDefault="00AA7A9D" w:rsidP="00D84C04">
            <w:pPr>
              <w:ind w:right="567"/>
              <w:jc w:val="right"/>
              <w:rPr>
                <w:rFonts w:ascii="Verdana" w:hAnsi="Verdana"/>
                <w:b/>
                <w:color w:val="366092"/>
                <w:sz w:val="18"/>
                <w:szCs w:val="18"/>
              </w:rPr>
            </w:pPr>
            <w:r w:rsidRPr="00057236">
              <w:rPr>
                <w:rFonts w:ascii="Verdana" w:hAnsi="Verdana"/>
                <w:b/>
                <w:color w:val="366092"/>
                <w:sz w:val="18"/>
                <w:szCs w:val="18"/>
              </w:rPr>
              <w:t>4,8</w:t>
            </w:r>
          </w:p>
        </w:tc>
        <w:tc>
          <w:tcPr>
            <w:tcW w:w="1559" w:type="dxa"/>
            <w:tcBorders>
              <w:top w:val="single" w:sz="4" w:space="0" w:color="366092"/>
              <w:left w:val="nil"/>
              <w:bottom w:val="single" w:sz="4" w:space="0" w:color="366092"/>
              <w:right w:val="nil"/>
            </w:tcBorders>
            <w:vAlign w:val="center"/>
          </w:tcPr>
          <w:p w14:paraId="0BC3BACE" w14:textId="7E5E0106" w:rsidR="00D84C04" w:rsidRPr="00057236" w:rsidRDefault="00AA7A9D" w:rsidP="00C91132">
            <w:pPr>
              <w:ind w:right="624"/>
              <w:jc w:val="right"/>
              <w:rPr>
                <w:rFonts w:ascii="Verdana" w:hAnsi="Verdana"/>
                <w:b/>
                <w:bCs/>
                <w:color w:val="366092"/>
                <w:sz w:val="18"/>
                <w:szCs w:val="18"/>
              </w:rPr>
            </w:pPr>
            <w:r w:rsidRPr="00057236">
              <w:rPr>
                <w:rFonts w:ascii="Verdana" w:hAnsi="Verdana"/>
                <w:b/>
                <w:bCs/>
                <w:color w:val="366092"/>
                <w:sz w:val="18"/>
                <w:szCs w:val="18"/>
              </w:rPr>
              <w:t>4,8</w:t>
            </w:r>
          </w:p>
        </w:tc>
      </w:tr>
    </w:tbl>
    <w:p w14:paraId="445F16C9" w14:textId="72EBAF83" w:rsidR="00794664" w:rsidRPr="00E85349" w:rsidRDefault="00794664" w:rsidP="00794664">
      <w:pPr>
        <w:jc w:val="both"/>
        <w:rPr>
          <w:rFonts w:ascii="Verdana" w:eastAsia="Malgun Gothic" w:hAnsi="Verdana" w:cs="Arial"/>
          <w:sz w:val="18"/>
          <w:szCs w:val="18"/>
          <w:lang w:val="el-GR"/>
        </w:rPr>
      </w:pPr>
    </w:p>
    <w:p w14:paraId="1A58A4F1" w14:textId="77777777" w:rsidR="001F0CBF" w:rsidRPr="00E85349" w:rsidRDefault="001F0CBF" w:rsidP="00794664">
      <w:pPr>
        <w:jc w:val="both"/>
        <w:rPr>
          <w:rFonts w:ascii="Verdana" w:eastAsia="Malgun Gothic" w:hAnsi="Verdana" w:cs="Arial"/>
          <w:sz w:val="18"/>
          <w:szCs w:val="18"/>
          <w:lang w:val="el-GR"/>
        </w:rPr>
      </w:pPr>
    </w:p>
    <w:p w14:paraId="3A0ED19A" w14:textId="77777777" w:rsidR="001F0CBF" w:rsidRPr="00E85349" w:rsidRDefault="001F0CBF" w:rsidP="00794664">
      <w:pPr>
        <w:jc w:val="both"/>
        <w:rPr>
          <w:rFonts w:ascii="Verdana" w:eastAsia="Malgun Gothic" w:hAnsi="Verdana" w:cs="Arial"/>
          <w:sz w:val="18"/>
          <w:szCs w:val="18"/>
          <w:lang w:val="el-GR"/>
        </w:rPr>
      </w:pPr>
    </w:p>
    <w:p w14:paraId="669A9E5A" w14:textId="77777777" w:rsidR="00794664" w:rsidRPr="00A12E81" w:rsidRDefault="00794664" w:rsidP="00794664">
      <w:pPr>
        <w:tabs>
          <w:tab w:val="left" w:pos="1080"/>
          <w:tab w:val="left" w:pos="6840"/>
        </w:tabs>
        <w:jc w:val="center"/>
        <w:rPr>
          <w:rFonts w:ascii="Verdana" w:eastAsia="Malgun Gothic" w:hAnsi="Verdana" w:cs="Arial"/>
          <w:b/>
          <w:u w:val="single"/>
          <w:lang w:val="el-GR"/>
        </w:rPr>
      </w:pPr>
      <w:r w:rsidRPr="00A12E81">
        <w:rPr>
          <w:rFonts w:ascii="Verdana" w:eastAsia="Malgun Gothic" w:hAnsi="Verdana" w:cs="Arial"/>
          <w:b/>
          <w:u w:val="single"/>
          <w:lang w:val="el-GR"/>
        </w:rPr>
        <w:lastRenderedPageBreak/>
        <w:t>ΜΕΘΟΔΟΛΟΓΙΚΕΣ ΠΛΗΡΟΦΟΡΙΕΣ</w:t>
      </w:r>
    </w:p>
    <w:p w14:paraId="786DD84E" w14:textId="77777777" w:rsidR="00794664" w:rsidRPr="00A12E81" w:rsidRDefault="00794664" w:rsidP="00794664">
      <w:pPr>
        <w:tabs>
          <w:tab w:val="left" w:pos="1080"/>
          <w:tab w:val="left" w:pos="6840"/>
        </w:tabs>
        <w:jc w:val="both"/>
        <w:rPr>
          <w:rFonts w:ascii="Verdana" w:eastAsia="Malgun Gothic" w:hAnsi="Verdana" w:cs="Arial"/>
          <w:sz w:val="18"/>
          <w:szCs w:val="18"/>
          <w:lang w:val="el-GR"/>
        </w:rPr>
      </w:pPr>
    </w:p>
    <w:p w14:paraId="29101549" w14:textId="7366AAEF" w:rsidR="00794664" w:rsidRPr="00A12E81" w:rsidRDefault="00794664" w:rsidP="00794664">
      <w:pPr>
        <w:jc w:val="both"/>
        <w:rPr>
          <w:rFonts w:ascii="Verdana" w:hAnsi="Verdana"/>
          <w:b/>
          <w:bCs/>
          <w:sz w:val="18"/>
          <w:szCs w:val="18"/>
          <w:u w:val="single"/>
          <w:shd w:val="clear" w:color="auto" w:fill="FFFFFF"/>
          <w:lang w:val="el-GR"/>
        </w:rPr>
      </w:pPr>
      <w:r w:rsidRPr="00A12E81">
        <w:rPr>
          <w:rFonts w:ascii="Verdana" w:hAnsi="Verdana"/>
          <w:b/>
          <w:bCs/>
          <w:sz w:val="18"/>
          <w:szCs w:val="18"/>
          <w:u w:val="single"/>
          <w:shd w:val="clear" w:color="auto" w:fill="FFFFFF"/>
          <w:lang w:val="el-GR"/>
        </w:rPr>
        <w:t>Σκοπός</w:t>
      </w:r>
      <w:r w:rsidRPr="00743789">
        <w:rPr>
          <w:rFonts w:ascii="Verdana" w:hAnsi="Verdana"/>
          <w:b/>
          <w:bCs/>
          <w:sz w:val="18"/>
          <w:szCs w:val="18"/>
          <w:u w:val="single"/>
          <w:shd w:val="clear" w:color="auto" w:fill="FFFFFF"/>
          <w:lang w:val="el-GR"/>
        </w:rPr>
        <w:t xml:space="preserve"> </w:t>
      </w:r>
      <w:r w:rsidRPr="00A12E81">
        <w:rPr>
          <w:rFonts w:ascii="Verdana" w:hAnsi="Verdana"/>
          <w:b/>
          <w:bCs/>
          <w:sz w:val="18"/>
          <w:szCs w:val="18"/>
          <w:u w:val="single"/>
          <w:shd w:val="clear" w:color="auto" w:fill="FFFFFF"/>
          <w:lang w:val="el-GR"/>
        </w:rPr>
        <w:t xml:space="preserve">και </w:t>
      </w:r>
      <w:r w:rsidR="00C835AA">
        <w:rPr>
          <w:rFonts w:ascii="Verdana" w:hAnsi="Verdana"/>
          <w:b/>
          <w:bCs/>
          <w:sz w:val="18"/>
          <w:szCs w:val="18"/>
          <w:u w:val="single"/>
          <w:shd w:val="clear" w:color="auto" w:fill="FFFFFF"/>
          <w:lang w:val="el-GR"/>
        </w:rPr>
        <w:t>Κ</w:t>
      </w:r>
      <w:r w:rsidRPr="00A12E81">
        <w:rPr>
          <w:rFonts w:ascii="Verdana" w:hAnsi="Verdana"/>
          <w:b/>
          <w:bCs/>
          <w:sz w:val="18"/>
          <w:szCs w:val="18"/>
          <w:u w:val="single"/>
          <w:shd w:val="clear" w:color="auto" w:fill="FFFFFF"/>
          <w:lang w:val="el-GR"/>
        </w:rPr>
        <w:t>άλυψη</w:t>
      </w:r>
    </w:p>
    <w:p w14:paraId="690D4930" w14:textId="77777777" w:rsidR="00794664" w:rsidRPr="00A12E81" w:rsidRDefault="00794664" w:rsidP="00794664">
      <w:pPr>
        <w:jc w:val="both"/>
        <w:rPr>
          <w:rFonts w:ascii="Verdana" w:hAnsi="Verdana"/>
          <w:sz w:val="18"/>
          <w:szCs w:val="18"/>
          <w:lang w:val="el-GR"/>
        </w:rPr>
      </w:pPr>
    </w:p>
    <w:p w14:paraId="3DBDB511" w14:textId="77777777" w:rsidR="00794664" w:rsidRPr="00812A29" w:rsidRDefault="00794664" w:rsidP="00794664">
      <w:pPr>
        <w:jc w:val="both"/>
        <w:rPr>
          <w:rFonts w:ascii="Verdana" w:hAnsi="Verdana"/>
          <w:sz w:val="18"/>
          <w:szCs w:val="18"/>
          <w:lang w:val="el-GR"/>
        </w:rPr>
      </w:pPr>
      <w:r>
        <w:rPr>
          <w:rFonts w:ascii="Verdana" w:hAnsi="Verdana"/>
          <w:sz w:val="18"/>
          <w:szCs w:val="18"/>
          <w:lang w:val="el-GR"/>
        </w:rPr>
        <w:t xml:space="preserve">Σκοπός των Δεικτών </w:t>
      </w:r>
      <w:r w:rsidRPr="00A12E81">
        <w:rPr>
          <w:rFonts w:ascii="Verdana" w:hAnsi="Verdana"/>
          <w:sz w:val="18"/>
          <w:szCs w:val="18"/>
          <w:shd w:val="clear" w:color="auto" w:fill="FFFFFF"/>
          <w:lang w:val="el-GR"/>
        </w:rPr>
        <w:t>Αξίας Κύκ</w:t>
      </w:r>
      <w:r>
        <w:rPr>
          <w:rFonts w:ascii="Verdana" w:hAnsi="Verdana"/>
          <w:sz w:val="18"/>
          <w:szCs w:val="18"/>
          <w:shd w:val="clear" w:color="auto" w:fill="FFFFFF"/>
          <w:lang w:val="el-GR"/>
        </w:rPr>
        <w:t>λου Εργασιών</w:t>
      </w:r>
      <w:r w:rsidRPr="00812A29">
        <w:rPr>
          <w:rFonts w:ascii="Verdana" w:hAnsi="Verdana"/>
          <w:sz w:val="18"/>
          <w:szCs w:val="18"/>
          <w:lang w:val="el-GR"/>
        </w:rPr>
        <w:t xml:space="preserve"> είναι η παρακολούθηση των βραχυπρόθεσμων εξελίξεων των δραστηριοτήτων της οικονομίας που εμπίπτουν στο</w:t>
      </w:r>
      <w:r>
        <w:rPr>
          <w:rFonts w:ascii="Verdana" w:hAnsi="Verdana"/>
          <w:sz w:val="18"/>
          <w:szCs w:val="18"/>
          <w:lang w:val="el-GR"/>
        </w:rPr>
        <w:t>υς</w:t>
      </w:r>
      <w:r w:rsidRPr="00812A29">
        <w:rPr>
          <w:rFonts w:ascii="Verdana" w:hAnsi="Verdana"/>
          <w:sz w:val="18"/>
          <w:szCs w:val="18"/>
          <w:lang w:val="el-GR"/>
        </w:rPr>
        <w:t xml:space="preserve"> Κλάδο</w:t>
      </w:r>
      <w:r>
        <w:rPr>
          <w:rFonts w:ascii="Verdana" w:hAnsi="Verdana"/>
          <w:sz w:val="18"/>
          <w:szCs w:val="18"/>
          <w:lang w:val="el-GR"/>
        </w:rPr>
        <w:t>υς</w:t>
      </w:r>
      <w:r w:rsidRPr="00812A29">
        <w:rPr>
          <w:rFonts w:ascii="Verdana" w:hAnsi="Verdana"/>
          <w:sz w:val="18"/>
          <w:szCs w:val="18"/>
          <w:lang w:val="el-GR"/>
        </w:rPr>
        <w:t xml:space="preserve"> 45</w:t>
      </w:r>
      <w:r>
        <w:rPr>
          <w:rFonts w:ascii="Verdana" w:hAnsi="Verdana"/>
          <w:sz w:val="18"/>
          <w:szCs w:val="18"/>
          <w:lang w:val="el-GR"/>
        </w:rPr>
        <w:t xml:space="preserve"> (</w:t>
      </w:r>
      <w:r w:rsidRPr="00153F88">
        <w:rPr>
          <w:rFonts w:ascii="Verdana" w:hAnsi="Verdana"/>
          <w:sz w:val="18"/>
          <w:szCs w:val="18"/>
          <w:shd w:val="clear" w:color="auto" w:fill="FFFFFF"/>
          <w:lang w:val="el-GR"/>
        </w:rPr>
        <w:t>Εμπόριο και Επισκευή Μηχανοκίνητων Οχημάτων</w:t>
      </w:r>
      <w:r>
        <w:rPr>
          <w:rFonts w:ascii="Verdana" w:hAnsi="Verdana"/>
          <w:sz w:val="18"/>
          <w:szCs w:val="18"/>
          <w:shd w:val="clear" w:color="auto" w:fill="FFFFFF"/>
          <w:lang w:val="el-GR"/>
        </w:rPr>
        <w:t>)</w:t>
      </w:r>
      <w:r>
        <w:rPr>
          <w:rFonts w:ascii="Verdana" w:hAnsi="Verdana"/>
          <w:sz w:val="18"/>
          <w:szCs w:val="18"/>
          <w:lang w:val="el-GR"/>
        </w:rPr>
        <w:t xml:space="preserve"> και 46</w:t>
      </w:r>
      <w:r w:rsidRPr="00812A29">
        <w:rPr>
          <w:rFonts w:ascii="Verdana" w:hAnsi="Verdana"/>
          <w:sz w:val="18"/>
          <w:szCs w:val="18"/>
          <w:lang w:val="el-GR"/>
        </w:rPr>
        <w:t xml:space="preserve"> </w:t>
      </w:r>
      <w:r>
        <w:rPr>
          <w:rFonts w:ascii="Verdana" w:hAnsi="Verdana"/>
          <w:sz w:val="18"/>
          <w:szCs w:val="18"/>
          <w:lang w:val="el-GR"/>
        </w:rPr>
        <w:t xml:space="preserve">(Χονδρικό Εμπόριο) </w:t>
      </w:r>
      <w:r w:rsidRPr="00812A29">
        <w:rPr>
          <w:rFonts w:ascii="Verdana" w:hAnsi="Verdana"/>
          <w:sz w:val="18"/>
          <w:szCs w:val="18"/>
          <w:lang w:val="el-GR"/>
        </w:rPr>
        <w:t>της στατιστικής ταξινόμησης οικονομικών δραστηριοτήτων NACE Αναθ.2 της Ευρωπαϊκής Ένωσης. Ο Κύκλος Εργασιών περιλαμβάνει τις πωλήσεις αγαθών και υπηρεσιών της επιχείρησης στη διάρκεια της περιόδου αναφοράς</w:t>
      </w:r>
      <w:r w:rsidRPr="003864DE">
        <w:rPr>
          <w:rFonts w:ascii="Verdana" w:hAnsi="Verdana"/>
          <w:sz w:val="18"/>
          <w:szCs w:val="18"/>
          <w:lang w:val="el-GR"/>
        </w:rPr>
        <w:t>,</w:t>
      </w:r>
      <w:r w:rsidRPr="00812A29">
        <w:rPr>
          <w:rFonts w:ascii="Verdana" w:hAnsi="Verdana"/>
          <w:sz w:val="18"/>
          <w:szCs w:val="18"/>
          <w:lang w:val="el-GR"/>
        </w:rPr>
        <w:t xml:space="preserve"> εξαιρουμένου του ΦΠΑ και συμπεριλαμβανομένων δασμών και φόρων.</w:t>
      </w:r>
    </w:p>
    <w:p w14:paraId="31D825F8" w14:textId="77777777" w:rsidR="00794664" w:rsidRPr="00812A29" w:rsidRDefault="00794664" w:rsidP="00794664">
      <w:pPr>
        <w:jc w:val="both"/>
        <w:rPr>
          <w:rFonts w:ascii="Verdana" w:hAnsi="Verdana"/>
          <w:sz w:val="18"/>
          <w:szCs w:val="18"/>
          <w:lang w:val="el-GR"/>
        </w:rPr>
      </w:pPr>
    </w:p>
    <w:p w14:paraId="5800BBD7" w14:textId="78A53D02" w:rsidR="00794664" w:rsidRPr="00812A29" w:rsidRDefault="00794664" w:rsidP="00794664">
      <w:pPr>
        <w:jc w:val="both"/>
        <w:rPr>
          <w:rFonts w:ascii="Verdana" w:hAnsi="Verdana"/>
          <w:b/>
          <w:bCs/>
          <w:sz w:val="18"/>
          <w:szCs w:val="18"/>
          <w:u w:val="single"/>
          <w:lang w:val="el-GR"/>
        </w:rPr>
      </w:pPr>
      <w:r w:rsidRPr="00812A29">
        <w:rPr>
          <w:rFonts w:ascii="Verdana" w:hAnsi="Verdana"/>
          <w:b/>
          <w:bCs/>
          <w:sz w:val="18"/>
          <w:szCs w:val="18"/>
          <w:u w:val="single"/>
          <w:lang w:val="el-GR"/>
        </w:rPr>
        <w:t xml:space="preserve">Συλλογή </w:t>
      </w:r>
      <w:r w:rsidR="00C835AA">
        <w:rPr>
          <w:rFonts w:ascii="Verdana" w:hAnsi="Verdana"/>
          <w:b/>
          <w:bCs/>
          <w:sz w:val="18"/>
          <w:szCs w:val="18"/>
          <w:u w:val="single"/>
          <w:lang w:val="el-GR"/>
        </w:rPr>
        <w:t>Σ</w:t>
      </w:r>
      <w:r w:rsidRPr="00812A29">
        <w:rPr>
          <w:rFonts w:ascii="Verdana" w:hAnsi="Verdana"/>
          <w:b/>
          <w:bCs/>
          <w:sz w:val="18"/>
          <w:szCs w:val="18"/>
          <w:u w:val="single"/>
          <w:lang w:val="el-GR"/>
        </w:rPr>
        <w:t>τοιχείων</w:t>
      </w:r>
    </w:p>
    <w:p w14:paraId="2F32FDCD" w14:textId="77777777" w:rsidR="00794664" w:rsidRPr="00812A29" w:rsidRDefault="00794664" w:rsidP="00794664">
      <w:pPr>
        <w:jc w:val="both"/>
        <w:rPr>
          <w:rFonts w:ascii="Verdana" w:hAnsi="Verdana"/>
          <w:sz w:val="18"/>
          <w:szCs w:val="18"/>
          <w:lang w:val="el-GR"/>
        </w:rPr>
      </w:pPr>
    </w:p>
    <w:p w14:paraId="523F5B04" w14:textId="2C88B795" w:rsidR="00794664" w:rsidRPr="00812A29" w:rsidRDefault="00794664" w:rsidP="00794664">
      <w:pPr>
        <w:jc w:val="both"/>
        <w:rPr>
          <w:rFonts w:ascii="Verdana" w:hAnsi="Verdana"/>
          <w:sz w:val="18"/>
          <w:szCs w:val="18"/>
          <w:lang w:val="el-GR"/>
        </w:rPr>
      </w:pPr>
      <w:r w:rsidRPr="00812A29">
        <w:rPr>
          <w:rFonts w:ascii="Verdana" w:hAnsi="Verdana"/>
          <w:sz w:val="18"/>
          <w:szCs w:val="18"/>
          <w:lang w:val="el-GR"/>
        </w:rPr>
        <w:t xml:space="preserve">Η συλλογή των δεδομένων γίνεται μηνιαία από τη Στατιστική Υπηρεσία, είτε με τηλεφωνικές συνεντεύξεις  είτε μέσω του ηλεκτρονικού ταχυδρομείου. Ξεκινά πέντε μέρες μετά το τέλος της υπό εξέταση περιόδου και, συνήθως, ολοκληρώνεται μέσα σε </w:t>
      </w:r>
      <w:r>
        <w:rPr>
          <w:rFonts w:ascii="Verdana" w:hAnsi="Verdana"/>
          <w:sz w:val="18"/>
          <w:szCs w:val="18"/>
          <w:lang w:val="el-GR"/>
        </w:rPr>
        <w:t>σαράντα πέντε μέρες.</w:t>
      </w:r>
    </w:p>
    <w:p w14:paraId="2FDA27D0" w14:textId="77777777" w:rsidR="00794664" w:rsidRPr="00812A29" w:rsidRDefault="00794664" w:rsidP="00794664">
      <w:pPr>
        <w:jc w:val="both"/>
        <w:rPr>
          <w:rFonts w:ascii="Verdana" w:hAnsi="Verdana"/>
          <w:sz w:val="18"/>
          <w:szCs w:val="18"/>
          <w:lang w:val="el-GR"/>
        </w:rPr>
      </w:pPr>
    </w:p>
    <w:p w14:paraId="5F361CC5" w14:textId="64816027" w:rsidR="00794664" w:rsidRPr="00812A29" w:rsidRDefault="00794664" w:rsidP="00794664">
      <w:pPr>
        <w:jc w:val="both"/>
        <w:rPr>
          <w:rFonts w:ascii="Verdana" w:hAnsi="Verdana"/>
          <w:b/>
          <w:bCs/>
          <w:sz w:val="18"/>
          <w:szCs w:val="18"/>
          <w:u w:val="single"/>
          <w:lang w:val="el-GR"/>
        </w:rPr>
      </w:pPr>
      <w:r w:rsidRPr="00812A29">
        <w:rPr>
          <w:rFonts w:ascii="Verdana" w:hAnsi="Verdana"/>
          <w:b/>
          <w:bCs/>
          <w:sz w:val="18"/>
          <w:szCs w:val="18"/>
          <w:u w:val="single"/>
          <w:lang w:val="el-GR"/>
        </w:rPr>
        <w:t xml:space="preserve">Μέθοδος </w:t>
      </w:r>
      <w:r w:rsidR="00C835AA">
        <w:rPr>
          <w:rFonts w:ascii="Verdana" w:hAnsi="Verdana"/>
          <w:b/>
          <w:bCs/>
          <w:sz w:val="18"/>
          <w:szCs w:val="18"/>
          <w:u w:val="single"/>
          <w:lang w:val="el-GR"/>
        </w:rPr>
        <w:t>Υ</w:t>
      </w:r>
      <w:r w:rsidRPr="00812A29">
        <w:rPr>
          <w:rFonts w:ascii="Verdana" w:hAnsi="Verdana"/>
          <w:b/>
          <w:bCs/>
          <w:sz w:val="18"/>
          <w:szCs w:val="18"/>
          <w:u w:val="single"/>
          <w:lang w:val="el-GR"/>
        </w:rPr>
        <w:t xml:space="preserve">πολογισμού και </w:t>
      </w:r>
      <w:r w:rsidR="00C835AA">
        <w:rPr>
          <w:rFonts w:ascii="Verdana" w:hAnsi="Verdana"/>
          <w:b/>
          <w:bCs/>
          <w:sz w:val="18"/>
          <w:szCs w:val="18"/>
          <w:u w:val="single"/>
          <w:lang w:val="el-GR"/>
        </w:rPr>
        <w:t>Π</w:t>
      </w:r>
      <w:r w:rsidRPr="00812A29">
        <w:rPr>
          <w:rFonts w:ascii="Verdana" w:hAnsi="Verdana"/>
          <w:b/>
          <w:bCs/>
          <w:sz w:val="18"/>
          <w:szCs w:val="18"/>
          <w:u w:val="single"/>
          <w:lang w:val="el-GR"/>
        </w:rPr>
        <w:t xml:space="preserve">ρακτικές </w:t>
      </w:r>
      <w:r w:rsidR="00C835AA">
        <w:rPr>
          <w:rFonts w:ascii="Verdana" w:hAnsi="Verdana"/>
          <w:b/>
          <w:bCs/>
          <w:sz w:val="18"/>
          <w:szCs w:val="18"/>
          <w:u w:val="single"/>
          <w:lang w:val="el-GR"/>
        </w:rPr>
        <w:t>Δ</w:t>
      </w:r>
      <w:r w:rsidRPr="00812A29">
        <w:rPr>
          <w:rFonts w:ascii="Verdana" w:hAnsi="Verdana"/>
          <w:b/>
          <w:bCs/>
          <w:sz w:val="18"/>
          <w:szCs w:val="18"/>
          <w:u w:val="single"/>
          <w:lang w:val="el-GR"/>
        </w:rPr>
        <w:t>ημοσίευσης</w:t>
      </w:r>
    </w:p>
    <w:p w14:paraId="39FA92F9" w14:textId="77777777" w:rsidR="00794664" w:rsidRPr="00812A29" w:rsidRDefault="00794664" w:rsidP="00794664">
      <w:pPr>
        <w:jc w:val="both"/>
        <w:rPr>
          <w:rFonts w:ascii="Verdana" w:hAnsi="Verdana"/>
          <w:sz w:val="18"/>
          <w:szCs w:val="18"/>
          <w:lang w:val="el-GR"/>
        </w:rPr>
      </w:pPr>
    </w:p>
    <w:p w14:paraId="5CE53964" w14:textId="2334D084" w:rsidR="00794664" w:rsidRPr="00812A29" w:rsidRDefault="00794664" w:rsidP="00794664">
      <w:pPr>
        <w:jc w:val="both"/>
        <w:rPr>
          <w:rFonts w:ascii="Verdana" w:hAnsi="Verdana"/>
          <w:sz w:val="18"/>
          <w:szCs w:val="18"/>
          <w:lang w:val="el-GR"/>
        </w:rPr>
      </w:pPr>
      <w:r w:rsidRPr="00812A29">
        <w:rPr>
          <w:rFonts w:ascii="Verdana" w:hAnsi="Verdana"/>
          <w:sz w:val="18"/>
          <w:szCs w:val="18"/>
          <w:lang w:val="el-GR"/>
        </w:rPr>
        <w:t>Ο</w:t>
      </w:r>
      <w:r>
        <w:rPr>
          <w:rFonts w:ascii="Verdana" w:hAnsi="Verdana"/>
          <w:sz w:val="18"/>
          <w:szCs w:val="18"/>
          <w:lang w:val="el-GR"/>
        </w:rPr>
        <w:t>ι</w:t>
      </w:r>
      <w:r w:rsidRPr="00812A29">
        <w:rPr>
          <w:rFonts w:ascii="Verdana" w:hAnsi="Verdana"/>
          <w:sz w:val="18"/>
          <w:szCs w:val="18"/>
          <w:lang w:val="el-GR"/>
        </w:rPr>
        <w:t xml:space="preserve"> Δείκτ</w:t>
      </w:r>
      <w:r>
        <w:rPr>
          <w:rFonts w:ascii="Verdana" w:hAnsi="Verdana"/>
          <w:sz w:val="18"/>
          <w:szCs w:val="18"/>
          <w:lang w:val="el-GR"/>
        </w:rPr>
        <w:t>ες</w:t>
      </w:r>
      <w:r w:rsidRPr="00812A29">
        <w:rPr>
          <w:rFonts w:ascii="Verdana" w:hAnsi="Verdana"/>
          <w:sz w:val="18"/>
          <w:szCs w:val="18"/>
          <w:lang w:val="el-GR"/>
        </w:rPr>
        <w:t xml:space="preserve"> έχ</w:t>
      </w:r>
      <w:r>
        <w:rPr>
          <w:rFonts w:ascii="Verdana" w:hAnsi="Verdana"/>
          <w:sz w:val="18"/>
          <w:szCs w:val="18"/>
          <w:lang w:val="el-GR"/>
        </w:rPr>
        <w:t>ουν</w:t>
      </w:r>
      <w:r w:rsidRPr="00812A29">
        <w:rPr>
          <w:rFonts w:ascii="Verdana" w:hAnsi="Verdana"/>
          <w:sz w:val="18"/>
          <w:szCs w:val="18"/>
          <w:lang w:val="el-GR"/>
        </w:rPr>
        <w:t xml:space="preserve"> ως έτος βάσης το 20</w:t>
      </w:r>
      <w:r w:rsidR="003E65F7" w:rsidRPr="003E65F7">
        <w:rPr>
          <w:rFonts w:ascii="Verdana" w:hAnsi="Verdana"/>
          <w:sz w:val="18"/>
          <w:szCs w:val="18"/>
          <w:lang w:val="el-GR"/>
        </w:rPr>
        <w:t>21</w:t>
      </w:r>
      <w:r w:rsidRPr="00812A29">
        <w:rPr>
          <w:rFonts w:ascii="Verdana" w:hAnsi="Verdana"/>
          <w:sz w:val="18"/>
          <w:szCs w:val="18"/>
          <w:lang w:val="el-GR"/>
        </w:rPr>
        <w:t>, δείχν</w:t>
      </w:r>
      <w:r>
        <w:rPr>
          <w:rFonts w:ascii="Verdana" w:hAnsi="Verdana"/>
          <w:sz w:val="18"/>
          <w:szCs w:val="18"/>
          <w:lang w:val="el-GR"/>
        </w:rPr>
        <w:t>ουν</w:t>
      </w:r>
      <w:r w:rsidRPr="00812A29">
        <w:rPr>
          <w:rFonts w:ascii="Verdana" w:hAnsi="Verdana"/>
          <w:sz w:val="18"/>
          <w:szCs w:val="18"/>
          <w:lang w:val="el-GR"/>
        </w:rPr>
        <w:t xml:space="preserve"> δηλαδή την τριμηνιαία μεταβολή στον κύκλο εργασιών σε σχέση με τον μέσο όρο των τεσσάρων τριμήνων του κύκλου εργασιών το 20</w:t>
      </w:r>
      <w:r w:rsidR="003E65F7" w:rsidRPr="003E65F7">
        <w:rPr>
          <w:rFonts w:ascii="Verdana" w:hAnsi="Verdana"/>
          <w:sz w:val="18"/>
          <w:szCs w:val="18"/>
          <w:lang w:val="el-GR"/>
        </w:rPr>
        <w:t>21</w:t>
      </w:r>
      <w:r w:rsidRPr="00812A29">
        <w:rPr>
          <w:rFonts w:ascii="Verdana" w:hAnsi="Verdana"/>
          <w:sz w:val="18"/>
          <w:szCs w:val="18"/>
          <w:lang w:val="el-GR"/>
        </w:rPr>
        <w:t>. Κατά το έτος βάσης, ο μέσος όρος των Δεικτών Κύκλου Εργασιών για τα τέσσερα τρίμηνα είναι 100,0. Για παράδειγμα, αν ο Δείκτης για κάποιο τρίμηνο είναι 105,3 αυτό σημαίνει ότι ο κύκλος εργασιών για το συγκεκριμένο τρίμηνο αυξήθηκε κατά 5,3% σε σχέση με τον μέσο όρο των τριμήνων του 20</w:t>
      </w:r>
      <w:r w:rsidR="00612243">
        <w:rPr>
          <w:rFonts w:ascii="Verdana" w:hAnsi="Verdana"/>
          <w:sz w:val="18"/>
          <w:szCs w:val="18"/>
          <w:lang w:val="el-GR"/>
        </w:rPr>
        <w:t>21</w:t>
      </w:r>
      <w:r w:rsidRPr="00812A29">
        <w:rPr>
          <w:rFonts w:ascii="Verdana" w:hAnsi="Verdana"/>
          <w:sz w:val="18"/>
          <w:szCs w:val="18"/>
          <w:lang w:val="el-GR"/>
        </w:rPr>
        <w:t>. Ο</w:t>
      </w:r>
      <w:r>
        <w:rPr>
          <w:rFonts w:ascii="Verdana" w:hAnsi="Verdana"/>
          <w:sz w:val="18"/>
          <w:szCs w:val="18"/>
          <w:lang w:val="el-GR"/>
        </w:rPr>
        <w:t>ι</w:t>
      </w:r>
      <w:r w:rsidRPr="00812A29">
        <w:rPr>
          <w:rFonts w:ascii="Verdana" w:hAnsi="Verdana"/>
          <w:sz w:val="18"/>
          <w:szCs w:val="18"/>
          <w:lang w:val="el-GR"/>
        </w:rPr>
        <w:t xml:space="preserve"> Δείκτ</w:t>
      </w:r>
      <w:r>
        <w:rPr>
          <w:rFonts w:ascii="Verdana" w:hAnsi="Verdana"/>
          <w:sz w:val="18"/>
          <w:szCs w:val="18"/>
          <w:lang w:val="el-GR"/>
        </w:rPr>
        <w:t>ες</w:t>
      </w:r>
      <w:r w:rsidRPr="00812A29">
        <w:rPr>
          <w:rFonts w:ascii="Verdana" w:hAnsi="Verdana"/>
          <w:sz w:val="18"/>
          <w:szCs w:val="18"/>
          <w:lang w:val="el-GR"/>
        </w:rPr>
        <w:t xml:space="preserve"> αναφέρ</w:t>
      </w:r>
      <w:r>
        <w:rPr>
          <w:rFonts w:ascii="Verdana" w:hAnsi="Verdana"/>
          <w:sz w:val="18"/>
          <w:szCs w:val="18"/>
          <w:lang w:val="el-GR"/>
        </w:rPr>
        <w:t>ον</w:t>
      </w:r>
      <w:r w:rsidRPr="00812A29">
        <w:rPr>
          <w:rFonts w:ascii="Verdana" w:hAnsi="Verdana"/>
          <w:sz w:val="18"/>
          <w:szCs w:val="18"/>
          <w:lang w:val="el-GR"/>
        </w:rPr>
        <w:t>ται σε τρέχουσες τιμές αγοράς.</w:t>
      </w:r>
    </w:p>
    <w:p w14:paraId="60D7907C" w14:textId="77777777" w:rsidR="00794664" w:rsidRPr="00812A29" w:rsidRDefault="00794664" w:rsidP="00794664">
      <w:pPr>
        <w:jc w:val="both"/>
        <w:rPr>
          <w:rFonts w:ascii="Verdana" w:hAnsi="Verdana"/>
          <w:sz w:val="18"/>
          <w:szCs w:val="18"/>
          <w:lang w:val="el-GR"/>
        </w:rPr>
      </w:pPr>
    </w:p>
    <w:p w14:paraId="48CED91C" w14:textId="580D5770" w:rsidR="00794664" w:rsidRPr="007C583D" w:rsidRDefault="00794664" w:rsidP="00794664">
      <w:pPr>
        <w:jc w:val="both"/>
        <w:rPr>
          <w:rFonts w:ascii="Verdana" w:hAnsi="Verdana"/>
          <w:sz w:val="18"/>
          <w:szCs w:val="18"/>
          <w:lang w:val="el-GR"/>
        </w:rPr>
      </w:pPr>
      <w:r w:rsidRPr="003A17F5">
        <w:rPr>
          <w:rFonts w:ascii="Verdana" w:hAnsi="Verdana"/>
          <w:sz w:val="18"/>
          <w:szCs w:val="18"/>
          <w:lang w:val="el-GR"/>
        </w:rPr>
        <w:t xml:space="preserve">Για τον καταρτισμό του ολικού </w:t>
      </w:r>
      <w:r>
        <w:rPr>
          <w:rFonts w:ascii="Verdana" w:hAnsi="Verdana"/>
          <w:sz w:val="18"/>
          <w:szCs w:val="18"/>
          <w:lang w:val="el-GR"/>
        </w:rPr>
        <w:t>Δ</w:t>
      </w:r>
      <w:r w:rsidRPr="003A17F5">
        <w:rPr>
          <w:rFonts w:ascii="Verdana" w:hAnsi="Verdana"/>
          <w:sz w:val="18"/>
          <w:szCs w:val="18"/>
          <w:lang w:val="el-GR"/>
        </w:rPr>
        <w:t>είκτη</w:t>
      </w:r>
      <w:r>
        <w:rPr>
          <w:rFonts w:ascii="Verdana" w:hAnsi="Verdana"/>
          <w:sz w:val="18"/>
          <w:szCs w:val="18"/>
          <w:lang w:val="el-GR"/>
        </w:rPr>
        <w:t xml:space="preserve"> σε επίπεδο Κλάδου,</w:t>
      </w:r>
      <w:r w:rsidRPr="003A17F5">
        <w:rPr>
          <w:rFonts w:ascii="Verdana" w:hAnsi="Verdana"/>
          <w:sz w:val="18"/>
          <w:szCs w:val="18"/>
          <w:lang w:val="el-GR"/>
        </w:rPr>
        <w:t xml:space="preserve"> υπολογίζεται ο σταθμισμένος μέσος όρος των επιμέρους δεικτών για τις διάφορες ομάδες (υποσύνολα δραστηριοτήτων</w:t>
      </w:r>
      <w:r>
        <w:rPr>
          <w:rFonts w:ascii="Verdana" w:hAnsi="Verdana"/>
          <w:sz w:val="18"/>
          <w:szCs w:val="18"/>
          <w:lang w:val="el-GR"/>
        </w:rPr>
        <w:t xml:space="preserve"> του Κλάδου</w:t>
      </w:r>
      <w:r w:rsidRPr="003A17F5">
        <w:rPr>
          <w:rFonts w:ascii="Verdana" w:hAnsi="Verdana"/>
          <w:sz w:val="18"/>
          <w:szCs w:val="18"/>
          <w:lang w:val="el-GR"/>
        </w:rPr>
        <w:t xml:space="preserve">) όπως αυτές ορίζονται στην ταξινόμηση NACE </w:t>
      </w:r>
      <w:proofErr w:type="spellStart"/>
      <w:r w:rsidRPr="003A17F5">
        <w:rPr>
          <w:rFonts w:ascii="Verdana" w:hAnsi="Verdana"/>
          <w:sz w:val="18"/>
          <w:szCs w:val="18"/>
          <w:lang w:val="el-GR"/>
        </w:rPr>
        <w:t>Αναθ</w:t>
      </w:r>
      <w:proofErr w:type="spellEnd"/>
      <w:r w:rsidRPr="003A17F5">
        <w:rPr>
          <w:rFonts w:ascii="Verdana" w:hAnsi="Verdana"/>
          <w:sz w:val="18"/>
          <w:szCs w:val="18"/>
          <w:lang w:val="el-GR"/>
        </w:rPr>
        <w:t>. 2. Οι συντελεστές που χρησιμοποιούνται για τη στάθμιση προέρχονται από τα αποτελέσματα της ετήσιας Έρευνας Χονδρικού και Λιανικού Εμπορίου κατά το έτος βάσης (20</w:t>
      </w:r>
      <w:r w:rsidR="003E65F7" w:rsidRPr="003E65F7">
        <w:rPr>
          <w:rFonts w:ascii="Verdana" w:hAnsi="Verdana"/>
          <w:sz w:val="18"/>
          <w:szCs w:val="18"/>
          <w:lang w:val="el-GR"/>
        </w:rPr>
        <w:t>21</w:t>
      </w:r>
      <w:r w:rsidRPr="003A17F5">
        <w:rPr>
          <w:rFonts w:ascii="Verdana" w:hAnsi="Verdana"/>
          <w:sz w:val="18"/>
          <w:szCs w:val="18"/>
          <w:lang w:val="el-GR"/>
        </w:rPr>
        <w:t>) και αντικατοπτρίζουν το μερίδιο του κύκλου εργασιών κάθε ομάδας σε σχέση με το σύνολο του κύκλου εργασιών της δραστηριότητας του Κλάδου</w:t>
      </w:r>
      <w:r w:rsidRPr="00427638">
        <w:rPr>
          <w:rFonts w:ascii="Verdana" w:hAnsi="Verdana"/>
          <w:sz w:val="18"/>
          <w:szCs w:val="18"/>
          <w:lang w:val="el-GR"/>
        </w:rPr>
        <w:t>.</w:t>
      </w:r>
    </w:p>
    <w:p w14:paraId="426BEEDF" w14:textId="77777777" w:rsidR="00794664" w:rsidRPr="00812A29" w:rsidRDefault="00794664" w:rsidP="00794664">
      <w:pPr>
        <w:jc w:val="both"/>
        <w:rPr>
          <w:rFonts w:ascii="Verdana" w:hAnsi="Verdana"/>
          <w:sz w:val="18"/>
          <w:szCs w:val="18"/>
          <w:lang w:val="el-GR"/>
        </w:rPr>
      </w:pPr>
    </w:p>
    <w:p w14:paraId="41B7C9D6" w14:textId="3D29F89E" w:rsidR="00794664" w:rsidRPr="00A12E81" w:rsidRDefault="00794664" w:rsidP="00794664">
      <w:pPr>
        <w:jc w:val="both"/>
        <w:rPr>
          <w:rFonts w:ascii="Verdana" w:hAnsi="Verdana"/>
          <w:sz w:val="18"/>
          <w:szCs w:val="18"/>
          <w:shd w:val="clear" w:color="auto" w:fill="FFFFFF"/>
          <w:lang w:val="el-GR"/>
        </w:rPr>
      </w:pPr>
      <w:r w:rsidRPr="003B0F4B">
        <w:rPr>
          <w:rFonts w:ascii="Verdana" w:hAnsi="Verdana"/>
          <w:sz w:val="18"/>
          <w:szCs w:val="18"/>
          <w:lang w:val="el-GR"/>
        </w:rPr>
        <w:t xml:space="preserve">Ο καταρτισμός των Δεικτών γίνεται στο πλαίσιο εφαρμογής του Κανονισμού (ΕΕ) 2019/2152 </w:t>
      </w:r>
      <w:r w:rsidRPr="00812A29">
        <w:rPr>
          <w:rFonts w:ascii="Verdana" w:hAnsi="Verdana"/>
          <w:sz w:val="18"/>
          <w:szCs w:val="18"/>
          <w:lang w:val="el-GR"/>
        </w:rPr>
        <w:t xml:space="preserve">σχετικά με  τις ευρωπαϊκές στατιστικές για τις επιχειρήσεις. </w:t>
      </w:r>
      <w:r w:rsidRPr="000A38DA">
        <w:rPr>
          <w:rFonts w:ascii="Verdana" w:hAnsi="Verdana"/>
          <w:sz w:val="18"/>
          <w:szCs w:val="18"/>
          <w:lang w:val="el-GR"/>
        </w:rPr>
        <w:t>Οι Δείκτες</w:t>
      </w:r>
      <w:r w:rsidR="001A064C" w:rsidRPr="001A064C">
        <w:rPr>
          <w:rFonts w:ascii="Verdana" w:hAnsi="Verdana"/>
          <w:sz w:val="18"/>
          <w:szCs w:val="18"/>
          <w:lang w:val="el-GR"/>
        </w:rPr>
        <w:t xml:space="preserve"> </w:t>
      </w:r>
      <w:r w:rsidR="001A064C">
        <w:rPr>
          <w:rFonts w:ascii="Verdana" w:hAnsi="Verdana"/>
          <w:sz w:val="18"/>
          <w:szCs w:val="18"/>
          <w:lang w:val="el-GR"/>
        </w:rPr>
        <w:t xml:space="preserve">που </w:t>
      </w:r>
      <w:r w:rsidRPr="000A38DA">
        <w:rPr>
          <w:rFonts w:ascii="Verdana" w:hAnsi="Verdana"/>
          <w:sz w:val="18"/>
          <w:szCs w:val="18"/>
          <w:lang w:val="el-GR"/>
        </w:rPr>
        <w:t>αποστέλλονται</w:t>
      </w:r>
      <w:r w:rsidR="001A064C" w:rsidRPr="001A064C">
        <w:rPr>
          <w:rFonts w:ascii="Verdana" w:hAnsi="Verdana"/>
          <w:sz w:val="18"/>
          <w:szCs w:val="18"/>
          <w:lang w:val="el-GR"/>
        </w:rPr>
        <w:t xml:space="preserve"> </w:t>
      </w:r>
      <w:r w:rsidRPr="000A38DA">
        <w:rPr>
          <w:rFonts w:ascii="Verdana" w:hAnsi="Verdana"/>
          <w:sz w:val="18"/>
          <w:szCs w:val="18"/>
          <w:lang w:val="el-GR"/>
        </w:rPr>
        <w:t xml:space="preserve">στη Στατιστική </w:t>
      </w:r>
      <w:r w:rsidRPr="00812A29">
        <w:rPr>
          <w:rFonts w:ascii="Verdana" w:hAnsi="Verdana"/>
          <w:sz w:val="18"/>
          <w:szCs w:val="18"/>
          <w:lang w:val="el-GR"/>
        </w:rPr>
        <w:t>Υπηρεσία της Ευρωπαϊκής Ένωσης (</w:t>
      </w:r>
      <w:proofErr w:type="spellStart"/>
      <w:r w:rsidRPr="00812A29">
        <w:rPr>
          <w:rFonts w:ascii="Verdana" w:hAnsi="Verdana"/>
          <w:sz w:val="18"/>
          <w:szCs w:val="18"/>
          <w:lang w:val="el-GR"/>
        </w:rPr>
        <w:t>Eurostat</w:t>
      </w:r>
      <w:proofErr w:type="spellEnd"/>
      <w:r w:rsidRPr="00812A29">
        <w:rPr>
          <w:rFonts w:ascii="Verdana" w:hAnsi="Verdana"/>
          <w:sz w:val="18"/>
          <w:szCs w:val="18"/>
          <w:lang w:val="el-GR"/>
        </w:rPr>
        <w:t>) περιλαμβάν</w:t>
      </w:r>
      <w:r>
        <w:rPr>
          <w:rFonts w:ascii="Verdana" w:hAnsi="Verdana"/>
          <w:sz w:val="18"/>
          <w:szCs w:val="18"/>
          <w:lang w:val="el-GR"/>
        </w:rPr>
        <w:t>ουν</w:t>
      </w:r>
      <w:r w:rsidRPr="00812A29">
        <w:rPr>
          <w:rFonts w:ascii="Verdana" w:hAnsi="Verdana"/>
          <w:sz w:val="18"/>
          <w:szCs w:val="18"/>
          <w:lang w:val="el-GR"/>
        </w:rPr>
        <w:t xml:space="preserve"> και τις διορθωμένες του</w:t>
      </w:r>
      <w:r>
        <w:rPr>
          <w:rFonts w:ascii="Verdana" w:hAnsi="Verdana"/>
          <w:sz w:val="18"/>
          <w:szCs w:val="18"/>
          <w:lang w:val="el-GR"/>
        </w:rPr>
        <w:t>ς</w:t>
      </w:r>
      <w:r w:rsidRPr="00812A29">
        <w:rPr>
          <w:rFonts w:ascii="Verdana" w:hAnsi="Verdana"/>
          <w:sz w:val="18"/>
          <w:szCs w:val="18"/>
          <w:lang w:val="el-GR"/>
        </w:rPr>
        <w:t xml:space="preserve"> μορφές (εποχική και ημερολογιακή διόρθωση). Στην </w:t>
      </w:r>
      <w:r>
        <w:rPr>
          <w:rFonts w:ascii="Verdana" w:hAnsi="Verdana"/>
          <w:sz w:val="18"/>
          <w:szCs w:val="18"/>
          <w:lang w:val="el-GR"/>
        </w:rPr>
        <w:t>ι</w:t>
      </w:r>
      <w:r w:rsidRPr="00812A29">
        <w:rPr>
          <w:rFonts w:ascii="Verdana" w:hAnsi="Verdana"/>
          <w:sz w:val="18"/>
          <w:szCs w:val="18"/>
          <w:lang w:val="el-GR"/>
        </w:rPr>
        <w:t xml:space="preserve">στοσελίδα της Στατιστικής Υπηρεσίας δημοσιεύεται </w:t>
      </w:r>
      <w:r>
        <w:rPr>
          <w:rFonts w:ascii="Verdana" w:hAnsi="Verdana"/>
          <w:sz w:val="18"/>
          <w:szCs w:val="18"/>
          <w:lang w:val="el-GR"/>
        </w:rPr>
        <w:t xml:space="preserve">μόνο </w:t>
      </w:r>
      <w:r w:rsidRPr="00812A29">
        <w:rPr>
          <w:rFonts w:ascii="Verdana" w:hAnsi="Verdana"/>
          <w:sz w:val="18"/>
          <w:szCs w:val="18"/>
          <w:lang w:val="el-GR"/>
        </w:rPr>
        <w:t>η μη διορθωμένη μορφή.</w:t>
      </w:r>
    </w:p>
    <w:p w14:paraId="65B1EE2B" w14:textId="77777777" w:rsidR="00794664" w:rsidRPr="00A12E81" w:rsidRDefault="00794664" w:rsidP="00794664">
      <w:pPr>
        <w:tabs>
          <w:tab w:val="left" w:pos="360"/>
          <w:tab w:val="left" w:pos="6840"/>
        </w:tabs>
        <w:jc w:val="both"/>
        <w:rPr>
          <w:rFonts w:ascii="Verdana" w:eastAsia="Malgun Gothic" w:hAnsi="Verdana" w:cs="Arial"/>
          <w:sz w:val="18"/>
          <w:szCs w:val="18"/>
          <w:lang w:val="el-GR"/>
        </w:rPr>
      </w:pPr>
    </w:p>
    <w:p w14:paraId="760ADA69" w14:textId="77777777" w:rsidR="00794664" w:rsidRPr="00A12E81" w:rsidRDefault="00794664" w:rsidP="00794664">
      <w:pPr>
        <w:tabs>
          <w:tab w:val="left" w:pos="360"/>
          <w:tab w:val="left" w:pos="6840"/>
        </w:tabs>
        <w:jc w:val="both"/>
        <w:rPr>
          <w:rFonts w:ascii="Verdana" w:eastAsia="Malgun Gothic" w:hAnsi="Verdana" w:cs="Arial"/>
          <w:sz w:val="18"/>
          <w:szCs w:val="18"/>
          <w:lang w:val="el-GR"/>
        </w:rPr>
      </w:pPr>
    </w:p>
    <w:p w14:paraId="1969D27A" w14:textId="77777777" w:rsidR="00794664" w:rsidRPr="00F10EE0" w:rsidRDefault="00794664" w:rsidP="00794664">
      <w:pPr>
        <w:rPr>
          <w:rFonts w:ascii="Verdana" w:hAnsi="Verdana"/>
          <w:i/>
          <w:sz w:val="18"/>
          <w:szCs w:val="18"/>
          <w:lang w:val="el-GR"/>
        </w:rPr>
      </w:pPr>
      <w:r w:rsidRPr="00F10EE0">
        <w:rPr>
          <w:rFonts w:ascii="Verdana" w:hAnsi="Verdana"/>
          <w:b/>
          <w:i/>
          <w:sz w:val="18"/>
          <w:szCs w:val="18"/>
          <w:lang w:val="el-GR"/>
        </w:rPr>
        <w:t>Για περισσότερες πληροφορίες:</w:t>
      </w:r>
      <w:r w:rsidRPr="00F10EE0">
        <w:rPr>
          <w:rFonts w:ascii="Verdana" w:hAnsi="Verdana"/>
          <w:i/>
          <w:sz w:val="18"/>
          <w:szCs w:val="18"/>
          <w:lang w:val="el-GR"/>
        </w:rPr>
        <w:t xml:space="preserve"> </w:t>
      </w:r>
    </w:p>
    <w:p w14:paraId="0BBC4E31" w14:textId="5E5E2ECE" w:rsidR="00794664" w:rsidRPr="00817375" w:rsidRDefault="00794664" w:rsidP="00794664">
      <w:pPr>
        <w:rPr>
          <w:rStyle w:val="Hyperlink"/>
          <w:rFonts w:ascii="Verdana" w:hAnsi="Verdana"/>
          <w:sz w:val="18"/>
          <w:szCs w:val="18"/>
          <w:lang w:val="el-GR"/>
        </w:rPr>
      </w:pPr>
      <w:r w:rsidRPr="00F10EE0">
        <w:rPr>
          <w:rFonts w:ascii="Verdana" w:hAnsi="Verdana"/>
          <w:sz w:val="18"/>
          <w:szCs w:val="18"/>
          <w:lang w:val="el-GR"/>
        </w:rPr>
        <w:t xml:space="preserve">Πύλη Στατιστικής Υπηρεσίας, υπόθεμα </w:t>
      </w:r>
      <w:hyperlink r:id="rId9" w:history="1">
        <w:r w:rsidRPr="00F10EE0">
          <w:rPr>
            <w:rStyle w:val="Hyperlink"/>
            <w:rFonts w:ascii="Verdana" w:hAnsi="Verdana"/>
            <w:sz w:val="18"/>
            <w:szCs w:val="18"/>
            <w:lang w:val="el-GR"/>
          </w:rPr>
          <w:t>Εμπόριο</w:t>
        </w:r>
      </w:hyperlink>
    </w:p>
    <w:p w14:paraId="6A37E965" w14:textId="4B11720E" w:rsidR="00814ACD" w:rsidRPr="00F10EE0" w:rsidRDefault="00814ACD" w:rsidP="00814ACD">
      <w:pPr>
        <w:rPr>
          <w:rFonts w:ascii="Verdana" w:hAnsi="Verdana"/>
          <w:sz w:val="18"/>
          <w:szCs w:val="18"/>
          <w:lang w:val="el-GR"/>
        </w:rPr>
      </w:pPr>
      <w:hyperlink r:id="rId10" w:history="1">
        <w:r w:rsidRPr="00837C7F">
          <w:rPr>
            <w:rStyle w:val="Hyperlink"/>
            <w:rFonts w:ascii="Verdana" w:hAnsi="Verdana"/>
            <w:sz w:val="18"/>
            <w:szCs w:val="18"/>
          </w:rPr>
          <w:t>CYSTAT</w:t>
        </w:r>
        <w:r w:rsidRPr="00F10EE0">
          <w:rPr>
            <w:rStyle w:val="Hyperlink"/>
            <w:rFonts w:ascii="Verdana" w:hAnsi="Verdana"/>
            <w:sz w:val="18"/>
            <w:szCs w:val="18"/>
            <w:lang w:val="el-GR"/>
          </w:rPr>
          <w:t>-</w:t>
        </w:r>
        <w:r w:rsidRPr="00837C7F">
          <w:rPr>
            <w:rStyle w:val="Hyperlink"/>
            <w:rFonts w:ascii="Verdana" w:hAnsi="Verdana"/>
            <w:sz w:val="18"/>
            <w:szCs w:val="18"/>
          </w:rPr>
          <w:t>DB</w:t>
        </w:r>
      </w:hyperlink>
      <w:r w:rsidRPr="00F10EE0">
        <w:rPr>
          <w:rFonts w:ascii="Verdana" w:hAnsi="Verdana"/>
          <w:sz w:val="18"/>
          <w:szCs w:val="18"/>
          <w:lang w:val="el-GR"/>
        </w:rPr>
        <w:t xml:space="preserve"> (Βάση Δεδομένων)</w:t>
      </w:r>
    </w:p>
    <w:p w14:paraId="5210664C" w14:textId="77777777" w:rsidR="00794664" w:rsidRPr="00F10EE0" w:rsidRDefault="00794664" w:rsidP="00794664">
      <w:pPr>
        <w:rPr>
          <w:rFonts w:ascii="Verdana" w:hAnsi="Verdana"/>
          <w:sz w:val="18"/>
          <w:szCs w:val="18"/>
          <w:lang w:val="el-GR"/>
        </w:rPr>
      </w:pPr>
      <w:hyperlink r:id="rId11" w:history="1">
        <w:r w:rsidRPr="00F10EE0">
          <w:rPr>
            <w:rStyle w:val="Hyperlink"/>
            <w:rFonts w:ascii="Verdana" w:hAnsi="Verdana"/>
            <w:sz w:val="18"/>
            <w:szCs w:val="18"/>
            <w:lang w:val="el-GR"/>
          </w:rPr>
          <w:t>Προκαθορισμένοι Πίνακες</w:t>
        </w:r>
      </w:hyperlink>
      <w:r w:rsidRPr="00F10EE0">
        <w:rPr>
          <w:rFonts w:ascii="Verdana" w:hAnsi="Verdana"/>
          <w:sz w:val="18"/>
          <w:szCs w:val="18"/>
          <w:lang w:val="el-GR"/>
        </w:rPr>
        <w:t xml:space="preserve"> (</w:t>
      </w:r>
      <w:r w:rsidRPr="00040F97">
        <w:rPr>
          <w:rFonts w:ascii="Verdana" w:hAnsi="Verdana"/>
          <w:sz w:val="18"/>
          <w:szCs w:val="18"/>
        </w:rPr>
        <w:t>Excel</w:t>
      </w:r>
      <w:r w:rsidRPr="00F10EE0">
        <w:rPr>
          <w:rFonts w:ascii="Verdana" w:hAnsi="Verdana"/>
          <w:sz w:val="18"/>
          <w:szCs w:val="18"/>
          <w:lang w:val="el-GR"/>
        </w:rPr>
        <w:t>)</w:t>
      </w:r>
    </w:p>
    <w:p w14:paraId="5A3149CC" w14:textId="4E938C1C" w:rsidR="00794664" w:rsidRDefault="00666B41" w:rsidP="00794664">
      <w:pPr>
        <w:jc w:val="both"/>
        <w:rPr>
          <w:rFonts w:ascii="Verdana" w:hAnsi="Verdana"/>
          <w:sz w:val="18"/>
          <w:szCs w:val="18"/>
          <w:lang w:val="el-GR"/>
        </w:rPr>
      </w:pPr>
      <w:hyperlink r:id="rId12" w:history="1">
        <w:r w:rsidRPr="00666B41">
          <w:rPr>
            <w:rStyle w:val="Hyperlink"/>
            <w:rFonts w:ascii="Verdana" w:hAnsi="Verdana"/>
            <w:sz w:val="18"/>
            <w:szCs w:val="18"/>
            <w:lang w:val="el-GR"/>
          </w:rPr>
          <w:t>Μεθοδολογικές Πληροφορίες</w:t>
        </w:r>
      </w:hyperlink>
    </w:p>
    <w:p w14:paraId="4305AB79" w14:textId="6D7FBD25" w:rsidR="00666B41" w:rsidRDefault="00666B41" w:rsidP="00794664">
      <w:pPr>
        <w:jc w:val="both"/>
        <w:rPr>
          <w:rFonts w:ascii="Verdana" w:hAnsi="Verdana"/>
          <w:sz w:val="18"/>
          <w:szCs w:val="18"/>
          <w:lang w:val="el-GR"/>
        </w:rPr>
      </w:pPr>
    </w:p>
    <w:p w14:paraId="29C8B24C" w14:textId="77777777" w:rsidR="003E65F7" w:rsidRPr="002C7BCF" w:rsidRDefault="003E65F7" w:rsidP="003E65F7">
      <w:pPr>
        <w:jc w:val="both"/>
        <w:rPr>
          <w:rFonts w:ascii="Verdana" w:hAnsi="Verdana"/>
          <w:sz w:val="18"/>
          <w:szCs w:val="18"/>
          <w:lang w:val="el-GR"/>
        </w:rPr>
      </w:pPr>
      <w:r>
        <w:rPr>
          <w:rStyle w:val="markedcontent"/>
          <w:rFonts w:ascii="Verdana" w:hAnsi="Verdana" w:cs="Arial"/>
          <w:b/>
          <w:bCs/>
          <w:sz w:val="18"/>
          <w:szCs w:val="18"/>
          <w:lang w:val="el-GR"/>
        </w:rPr>
        <w:t xml:space="preserve">Τα στοιχεία για το έτος βάσης 2021=100 είναι διαθέσιμα μόνο </w:t>
      </w:r>
      <w:r w:rsidRPr="002C7BCF">
        <w:rPr>
          <w:rStyle w:val="markedcontent"/>
          <w:rFonts w:ascii="Verdana" w:hAnsi="Verdana" w:cs="Arial"/>
          <w:b/>
          <w:bCs/>
          <w:sz w:val="18"/>
          <w:szCs w:val="18"/>
          <w:lang w:val="el-GR"/>
        </w:rPr>
        <w:t xml:space="preserve">στη Βάση Δεδομένων </w:t>
      </w:r>
      <w:r w:rsidRPr="002C7BCF">
        <w:rPr>
          <w:rStyle w:val="markedcontent"/>
          <w:rFonts w:ascii="Verdana" w:hAnsi="Verdana" w:cs="Arial"/>
          <w:b/>
          <w:bCs/>
          <w:sz w:val="18"/>
          <w:szCs w:val="18"/>
        </w:rPr>
        <w:t>CYSTAT</w:t>
      </w:r>
      <w:r w:rsidRPr="002C7BCF">
        <w:rPr>
          <w:rStyle w:val="markedcontent"/>
          <w:rFonts w:ascii="Verdana" w:hAnsi="Verdana" w:cs="Arial"/>
          <w:b/>
          <w:bCs/>
          <w:sz w:val="18"/>
          <w:szCs w:val="18"/>
          <w:lang w:val="el-GR"/>
        </w:rPr>
        <w:t>-</w:t>
      </w:r>
      <w:r w:rsidRPr="002C7BCF">
        <w:rPr>
          <w:rStyle w:val="markedcontent"/>
          <w:rFonts w:ascii="Verdana" w:hAnsi="Verdana" w:cs="Arial"/>
          <w:b/>
          <w:bCs/>
          <w:sz w:val="18"/>
          <w:szCs w:val="18"/>
        </w:rPr>
        <w:t>DB</w:t>
      </w:r>
      <w:r w:rsidRPr="002C7BCF">
        <w:rPr>
          <w:rStyle w:val="markedcontent"/>
          <w:rFonts w:ascii="Verdana" w:hAnsi="Verdana" w:cs="Arial"/>
          <w:sz w:val="18"/>
          <w:szCs w:val="18"/>
          <w:lang w:val="el-GR"/>
        </w:rPr>
        <w:t>.</w:t>
      </w:r>
    </w:p>
    <w:p w14:paraId="168D5E85" w14:textId="77777777" w:rsidR="00FF3EC4" w:rsidRDefault="00FF3EC4" w:rsidP="00794664">
      <w:pPr>
        <w:jc w:val="both"/>
        <w:rPr>
          <w:rFonts w:ascii="Verdana" w:hAnsi="Verdana"/>
          <w:sz w:val="18"/>
          <w:szCs w:val="18"/>
          <w:lang w:val="el-GR"/>
        </w:rPr>
      </w:pPr>
    </w:p>
    <w:p w14:paraId="1AFC9793" w14:textId="77777777" w:rsidR="00794664" w:rsidRPr="00AE0687" w:rsidRDefault="00794664" w:rsidP="00794664">
      <w:pPr>
        <w:jc w:val="both"/>
        <w:rPr>
          <w:rFonts w:ascii="Verdana" w:eastAsia="Malgun Gothic" w:hAnsi="Verdana" w:cs="Arial"/>
          <w:i/>
          <w:sz w:val="18"/>
          <w:szCs w:val="18"/>
          <w:u w:val="single"/>
          <w:lang w:val="el-GR"/>
        </w:rPr>
      </w:pPr>
      <w:r w:rsidRPr="00AE0687">
        <w:rPr>
          <w:rFonts w:ascii="Verdana" w:eastAsia="Malgun Gothic" w:hAnsi="Verdana" w:cs="Arial"/>
          <w:i/>
          <w:sz w:val="18"/>
          <w:szCs w:val="18"/>
          <w:u w:val="single"/>
          <w:lang w:val="el-GR"/>
        </w:rPr>
        <w:t>Επικοινωνία</w:t>
      </w:r>
    </w:p>
    <w:p w14:paraId="674FA862" w14:textId="77777777" w:rsidR="00794664" w:rsidRPr="00AE0687" w:rsidRDefault="00794664" w:rsidP="00794664">
      <w:pPr>
        <w:rPr>
          <w:rFonts w:ascii="Verdana" w:eastAsia="Malgun Gothic" w:hAnsi="Verdana"/>
          <w:sz w:val="18"/>
          <w:szCs w:val="18"/>
          <w:lang w:val="el-GR"/>
        </w:rPr>
      </w:pPr>
      <w:r w:rsidRPr="00AE0687">
        <w:rPr>
          <w:rFonts w:ascii="Verdana" w:hAnsi="Verdana"/>
          <w:sz w:val="18"/>
          <w:szCs w:val="18"/>
          <w:shd w:val="clear" w:color="auto" w:fill="FFFFFF"/>
          <w:lang w:val="el-GR"/>
        </w:rPr>
        <w:t xml:space="preserve">Ευαγγελία Ευσταθίου: </w:t>
      </w:r>
      <w:proofErr w:type="spellStart"/>
      <w:r w:rsidRPr="00AE0687">
        <w:rPr>
          <w:rFonts w:ascii="Verdana" w:hAnsi="Verdana"/>
          <w:sz w:val="18"/>
          <w:szCs w:val="18"/>
          <w:shd w:val="clear" w:color="auto" w:fill="FFFFFF"/>
          <w:lang w:val="el-GR"/>
        </w:rPr>
        <w:t>Τηλ</w:t>
      </w:r>
      <w:proofErr w:type="spellEnd"/>
      <w:r w:rsidRPr="00AE0687">
        <w:rPr>
          <w:rFonts w:ascii="Verdana" w:hAnsi="Verdana"/>
          <w:sz w:val="18"/>
          <w:szCs w:val="18"/>
          <w:shd w:val="clear" w:color="auto" w:fill="FFFFFF"/>
          <w:lang w:val="el-GR"/>
        </w:rPr>
        <w:t>.: 2260</w:t>
      </w:r>
      <w:bookmarkStart w:id="0" w:name="_Hlk70060227"/>
      <w:r w:rsidRPr="00AE0687">
        <w:rPr>
          <w:rFonts w:ascii="Verdana" w:hAnsi="Verdana"/>
          <w:sz w:val="18"/>
          <w:szCs w:val="18"/>
          <w:shd w:val="clear" w:color="auto" w:fill="FFFFFF"/>
          <w:lang w:val="el-GR"/>
        </w:rPr>
        <w:t>2196</w:t>
      </w:r>
      <w:bookmarkEnd w:id="0"/>
      <w:r w:rsidRPr="00AE0687">
        <w:rPr>
          <w:rFonts w:ascii="Verdana" w:hAnsi="Verdana"/>
          <w:sz w:val="18"/>
          <w:szCs w:val="18"/>
          <w:shd w:val="clear" w:color="auto" w:fill="FFFFFF"/>
          <w:lang w:val="el-GR"/>
        </w:rPr>
        <w:t xml:space="preserve">, </w:t>
      </w:r>
      <w:proofErr w:type="spellStart"/>
      <w:r w:rsidRPr="00AE0687">
        <w:rPr>
          <w:rFonts w:ascii="Verdana" w:eastAsia="Malgun Gothic" w:hAnsi="Verdana" w:cs="Arial"/>
          <w:sz w:val="18"/>
          <w:szCs w:val="18"/>
          <w:lang w:val="el-GR"/>
        </w:rPr>
        <w:t>Ηλ</w:t>
      </w:r>
      <w:proofErr w:type="spellEnd"/>
      <w:r w:rsidRPr="00AE0687">
        <w:rPr>
          <w:rFonts w:ascii="Verdana" w:eastAsia="Malgun Gothic" w:hAnsi="Verdana" w:cs="Arial"/>
          <w:sz w:val="18"/>
          <w:szCs w:val="18"/>
          <w:lang w:val="el-GR"/>
        </w:rPr>
        <w:t xml:space="preserve">. </w:t>
      </w:r>
      <w:proofErr w:type="spellStart"/>
      <w:r w:rsidRPr="00AE0687">
        <w:rPr>
          <w:rFonts w:ascii="Verdana" w:eastAsia="Malgun Gothic" w:hAnsi="Verdana" w:cs="Arial"/>
          <w:sz w:val="18"/>
          <w:szCs w:val="18"/>
          <w:lang w:val="el-GR"/>
        </w:rPr>
        <w:t>Ταχ</w:t>
      </w:r>
      <w:proofErr w:type="spellEnd"/>
      <w:r w:rsidRPr="00AE0687">
        <w:rPr>
          <w:rFonts w:ascii="Verdana" w:eastAsia="Malgun Gothic" w:hAnsi="Verdana" w:cs="Arial"/>
          <w:sz w:val="18"/>
          <w:szCs w:val="18"/>
          <w:lang w:val="el-GR"/>
        </w:rPr>
        <w:t>.</w:t>
      </w:r>
      <w:r w:rsidRPr="00AE0687">
        <w:rPr>
          <w:rFonts w:ascii="Verdana" w:hAnsi="Verdana"/>
          <w:sz w:val="18"/>
          <w:szCs w:val="18"/>
          <w:shd w:val="clear" w:color="auto" w:fill="FFFFFF"/>
          <w:lang w:val="el-GR"/>
        </w:rPr>
        <w:t>:</w:t>
      </w:r>
      <w:r w:rsidRPr="00AE0687">
        <w:rPr>
          <w:rFonts w:ascii="Verdana" w:hAnsi="Verdana"/>
          <w:sz w:val="18"/>
          <w:szCs w:val="18"/>
          <w:shd w:val="clear" w:color="auto" w:fill="FFFFFF"/>
        </w:rPr>
        <w:t> </w:t>
      </w:r>
      <w:bookmarkStart w:id="1" w:name="_Hlk70060202"/>
      <w:proofErr w:type="spellStart"/>
      <w:r w:rsidRPr="00AE0687">
        <w:rPr>
          <w:rFonts w:ascii="Verdana" w:hAnsi="Verdana"/>
          <w:color w:val="0000FF"/>
          <w:sz w:val="18"/>
          <w:szCs w:val="18"/>
          <w:u w:val="single"/>
          <w:shd w:val="clear" w:color="auto" w:fill="FFFFFF"/>
        </w:rPr>
        <w:t>eefstathiou</w:t>
      </w:r>
      <w:proofErr w:type="spellEnd"/>
      <w:r w:rsidRPr="00AE0687">
        <w:rPr>
          <w:rFonts w:ascii="Verdana" w:hAnsi="Verdana"/>
          <w:color w:val="0000FF"/>
          <w:sz w:val="18"/>
          <w:szCs w:val="18"/>
          <w:u w:val="single"/>
          <w:shd w:val="clear" w:color="auto" w:fill="FFFFFF"/>
          <w:lang w:val="el-GR"/>
        </w:rPr>
        <w:t>@</w:t>
      </w:r>
      <w:proofErr w:type="spellStart"/>
      <w:r w:rsidRPr="00AE0687">
        <w:rPr>
          <w:rFonts w:ascii="Verdana" w:hAnsi="Verdana"/>
          <w:color w:val="0000FF"/>
          <w:sz w:val="18"/>
          <w:szCs w:val="18"/>
          <w:u w:val="single"/>
          <w:shd w:val="clear" w:color="auto" w:fill="FFFFFF"/>
        </w:rPr>
        <w:t>cystat</w:t>
      </w:r>
      <w:proofErr w:type="spellEnd"/>
      <w:r w:rsidRPr="00AE0687">
        <w:rPr>
          <w:rFonts w:ascii="Verdana" w:hAnsi="Verdana"/>
          <w:color w:val="0000FF"/>
          <w:sz w:val="18"/>
          <w:szCs w:val="18"/>
          <w:u w:val="single"/>
          <w:shd w:val="clear" w:color="auto" w:fill="FFFFFF"/>
          <w:lang w:val="el-GR"/>
        </w:rPr>
        <w:t>.</w:t>
      </w:r>
      <w:proofErr w:type="spellStart"/>
      <w:r w:rsidRPr="00AE0687">
        <w:rPr>
          <w:rFonts w:ascii="Verdana" w:hAnsi="Verdana"/>
          <w:color w:val="0000FF"/>
          <w:sz w:val="18"/>
          <w:szCs w:val="18"/>
          <w:u w:val="single"/>
          <w:shd w:val="clear" w:color="auto" w:fill="FFFFFF"/>
        </w:rPr>
        <w:t>mof</w:t>
      </w:r>
      <w:proofErr w:type="spellEnd"/>
      <w:r w:rsidRPr="00AE0687">
        <w:rPr>
          <w:rFonts w:ascii="Verdana" w:hAnsi="Verdana"/>
          <w:color w:val="0000FF"/>
          <w:sz w:val="18"/>
          <w:szCs w:val="18"/>
          <w:u w:val="single"/>
          <w:shd w:val="clear" w:color="auto" w:fill="FFFFFF"/>
          <w:lang w:val="el-GR"/>
        </w:rPr>
        <w:t>.</w:t>
      </w:r>
      <w:r w:rsidRPr="00AE0687">
        <w:rPr>
          <w:rFonts w:ascii="Verdana" w:hAnsi="Verdana"/>
          <w:color w:val="0000FF"/>
          <w:sz w:val="18"/>
          <w:szCs w:val="18"/>
          <w:u w:val="single"/>
          <w:shd w:val="clear" w:color="auto" w:fill="FFFFFF"/>
        </w:rPr>
        <w:t>gov</w:t>
      </w:r>
      <w:r w:rsidRPr="00AE0687">
        <w:rPr>
          <w:rFonts w:ascii="Verdana" w:hAnsi="Verdana"/>
          <w:color w:val="0000FF"/>
          <w:sz w:val="18"/>
          <w:szCs w:val="18"/>
          <w:u w:val="single"/>
          <w:shd w:val="clear" w:color="auto" w:fill="FFFFFF"/>
          <w:lang w:val="el-GR"/>
        </w:rPr>
        <w:t>.</w:t>
      </w:r>
      <w:r w:rsidRPr="00AE0687">
        <w:rPr>
          <w:rFonts w:ascii="Verdana" w:hAnsi="Verdana"/>
          <w:color w:val="0000FF"/>
          <w:sz w:val="18"/>
          <w:szCs w:val="18"/>
          <w:u w:val="single"/>
          <w:shd w:val="clear" w:color="auto" w:fill="FFFFFF"/>
        </w:rPr>
        <w:t>cy</w:t>
      </w:r>
      <w:bookmarkEnd w:id="1"/>
    </w:p>
    <w:p w14:paraId="317DDA87" w14:textId="77777777" w:rsidR="001A064C" w:rsidRPr="001A064C" w:rsidRDefault="001A064C" w:rsidP="001A064C">
      <w:pPr>
        <w:jc w:val="both"/>
        <w:rPr>
          <w:rFonts w:ascii="Verdana" w:eastAsia="Malgun Gothic" w:hAnsi="Verdana"/>
          <w:sz w:val="18"/>
          <w:szCs w:val="18"/>
          <w:lang w:val="el-GR"/>
        </w:rPr>
      </w:pPr>
    </w:p>
    <w:p w14:paraId="45FAC71A" w14:textId="77777777" w:rsidR="001A064C" w:rsidRDefault="001A064C" w:rsidP="000E4CB0">
      <w:pPr>
        <w:jc w:val="both"/>
        <w:rPr>
          <w:rFonts w:ascii="Verdana" w:hAnsi="Verdana" w:cs="Arial"/>
          <w:sz w:val="18"/>
          <w:szCs w:val="18"/>
          <w:lang w:val="el-GR"/>
        </w:rPr>
      </w:pPr>
    </w:p>
    <w:p w14:paraId="61AE0C0D" w14:textId="6D1142DC" w:rsidR="001712CF" w:rsidRDefault="001712CF" w:rsidP="000E4CB0">
      <w:pPr>
        <w:jc w:val="both"/>
        <w:rPr>
          <w:rFonts w:ascii="Verdana" w:hAnsi="Verdana" w:cs="Arial"/>
          <w:sz w:val="18"/>
          <w:szCs w:val="18"/>
          <w:lang w:val="el-GR"/>
        </w:rPr>
      </w:pPr>
    </w:p>
    <w:p w14:paraId="4A3EE097" w14:textId="693AE5A2" w:rsidR="001712CF" w:rsidRDefault="001712CF" w:rsidP="000E4CB0">
      <w:pPr>
        <w:jc w:val="both"/>
        <w:rPr>
          <w:rFonts w:ascii="Verdana" w:hAnsi="Verdana" w:cs="Arial"/>
          <w:sz w:val="18"/>
          <w:szCs w:val="18"/>
          <w:lang w:val="el-GR"/>
        </w:rPr>
      </w:pPr>
    </w:p>
    <w:p w14:paraId="13885D75" w14:textId="717610AA" w:rsidR="001712CF" w:rsidRDefault="001712CF" w:rsidP="000E4CB0">
      <w:pPr>
        <w:jc w:val="both"/>
        <w:rPr>
          <w:rFonts w:ascii="Verdana" w:hAnsi="Verdana" w:cs="Arial"/>
          <w:sz w:val="18"/>
          <w:szCs w:val="18"/>
          <w:lang w:val="el-GR"/>
        </w:rPr>
      </w:pPr>
    </w:p>
    <w:p w14:paraId="6070AF59" w14:textId="5E03C2DF" w:rsidR="001712CF" w:rsidRDefault="001712CF" w:rsidP="000E4CB0">
      <w:pPr>
        <w:jc w:val="both"/>
        <w:rPr>
          <w:rFonts w:ascii="Verdana" w:hAnsi="Verdana" w:cs="Arial"/>
          <w:sz w:val="18"/>
          <w:szCs w:val="18"/>
          <w:lang w:val="el-GR"/>
        </w:rPr>
      </w:pPr>
    </w:p>
    <w:p w14:paraId="58EF467F" w14:textId="6E7064A7" w:rsidR="001712CF" w:rsidRDefault="001712CF" w:rsidP="000E4CB0">
      <w:pPr>
        <w:jc w:val="both"/>
        <w:rPr>
          <w:rFonts w:ascii="Verdana" w:hAnsi="Verdana" w:cs="Arial"/>
          <w:sz w:val="18"/>
          <w:szCs w:val="18"/>
          <w:lang w:val="el-GR"/>
        </w:rPr>
      </w:pPr>
    </w:p>
    <w:p w14:paraId="68D257CC" w14:textId="687F1422" w:rsidR="001712CF" w:rsidRDefault="001712CF" w:rsidP="000E4CB0">
      <w:pPr>
        <w:jc w:val="both"/>
        <w:rPr>
          <w:rFonts w:ascii="Verdana" w:hAnsi="Verdana" w:cs="Arial"/>
          <w:sz w:val="18"/>
          <w:szCs w:val="18"/>
          <w:lang w:val="el-GR"/>
        </w:rPr>
      </w:pPr>
    </w:p>
    <w:p w14:paraId="6E34532F" w14:textId="6868356C" w:rsidR="001712CF" w:rsidRDefault="001712CF" w:rsidP="000E4CB0">
      <w:pPr>
        <w:jc w:val="both"/>
        <w:rPr>
          <w:rFonts w:ascii="Verdana" w:hAnsi="Verdana" w:cs="Arial"/>
          <w:sz w:val="18"/>
          <w:szCs w:val="18"/>
          <w:lang w:val="el-GR"/>
        </w:rPr>
      </w:pPr>
    </w:p>
    <w:p w14:paraId="00D65A1D" w14:textId="3A4BB0E6" w:rsidR="001712CF" w:rsidRDefault="001712CF" w:rsidP="000E4CB0">
      <w:pPr>
        <w:jc w:val="both"/>
        <w:rPr>
          <w:rFonts w:ascii="Verdana" w:hAnsi="Verdana" w:cs="Arial"/>
          <w:sz w:val="18"/>
          <w:szCs w:val="18"/>
          <w:lang w:val="el-GR"/>
        </w:rPr>
      </w:pPr>
    </w:p>
    <w:sectPr w:rsidR="001712CF" w:rsidSect="007949DB">
      <w:headerReference w:type="default" r:id="rId13"/>
      <w:footerReference w:type="default" r:id="rId14"/>
      <w:headerReference w:type="first" r:id="rId15"/>
      <w:footerReference w:type="first" r:id="rId16"/>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7C09" w14:textId="77777777" w:rsidR="00360660" w:rsidRDefault="00360660" w:rsidP="00FB398F">
      <w:r>
        <w:separator/>
      </w:r>
    </w:p>
  </w:endnote>
  <w:endnote w:type="continuationSeparator" w:id="0">
    <w:p w14:paraId="481A8895" w14:textId="77777777" w:rsidR="00360660" w:rsidRDefault="00360660"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1B4327">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4E4F42" w:rsidRPr="00BB7ED8" w:rsidRDefault="004E4F42" w:rsidP="000932CF">
    <w:pPr>
      <w:pStyle w:val="Footer"/>
      <w:pBdr>
        <w:top w:val="single" w:sz="4" w:space="0" w:color="auto"/>
      </w:pBdr>
      <w:tabs>
        <w:tab w:val="left" w:pos="4500"/>
      </w:tabs>
      <w:jc w:val="center"/>
      <w:rPr>
        <w:rFonts w:ascii="Verdana" w:hAnsi="Verdana" w:cs="Arial"/>
        <w:sz w:val="16"/>
        <w:szCs w:val="16"/>
        <w:lang w:val="el-GR"/>
      </w:rPr>
    </w:pPr>
    <w:r w:rsidRPr="00BB7ED8">
      <w:rPr>
        <w:rFonts w:ascii="Verdana" w:hAnsi="Verdana" w:cs="Arial"/>
        <w:sz w:val="16"/>
        <w:szCs w:val="16"/>
        <w:lang w:val="el-GR"/>
      </w:rPr>
      <w:t>Διεύθυνση: Μιχα</w:t>
    </w:r>
    <w:r w:rsidR="00FD5B5F" w:rsidRPr="00BB7ED8">
      <w:rPr>
        <w:rFonts w:ascii="Verdana" w:hAnsi="Verdana" w:cs="Arial"/>
        <w:sz w:val="16"/>
        <w:szCs w:val="16"/>
        <w:lang w:val="el-GR"/>
      </w:rPr>
      <w:t>ήλ</w:t>
    </w:r>
    <w:r w:rsidRPr="00BB7ED8">
      <w:rPr>
        <w:rFonts w:ascii="Verdana" w:hAnsi="Verdana" w:cs="Arial"/>
        <w:sz w:val="16"/>
        <w:szCs w:val="16"/>
        <w:lang w:val="el-GR"/>
      </w:rPr>
      <w:t xml:space="preserve"> </w:t>
    </w:r>
    <w:proofErr w:type="spellStart"/>
    <w:r w:rsidRPr="00BB7ED8">
      <w:rPr>
        <w:rFonts w:ascii="Verdana" w:hAnsi="Verdana" w:cs="Arial"/>
        <w:sz w:val="16"/>
        <w:szCs w:val="16"/>
        <w:lang w:val="el-GR"/>
      </w:rPr>
      <w:t>Καραολή</w:t>
    </w:r>
    <w:proofErr w:type="spellEnd"/>
    <w:r w:rsidRPr="00BB7ED8">
      <w:rPr>
        <w:rFonts w:ascii="Verdana" w:hAnsi="Verdana" w:cs="Arial"/>
        <w:sz w:val="16"/>
        <w:szCs w:val="16"/>
        <w:lang w:val="el-GR"/>
      </w:rPr>
      <w:t>, 1444 Λευκωσία, Κύπρος</w:t>
    </w:r>
  </w:p>
  <w:p w14:paraId="701EBEC3" w14:textId="5140200A" w:rsidR="004E4F42" w:rsidRPr="00BB7ED8" w:rsidRDefault="004E4F42" w:rsidP="000932CF">
    <w:pPr>
      <w:pStyle w:val="Footer"/>
      <w:tabs>
        <w:tab w:val="left" w:pos="4500"/>
      </w:tabs>
      <w:jc w:val="center"/>
      <w:rPr>
        <w:rFonts w:ascii="Verdana" w:hAnsi="Verdana" w:cs="Arial"/>
        <w:sz w:val="16"/>
        <w:szCs w:val="16"/>
        <w:lang w:val="de-DE"/>
      </w:rPr>
    </w:pPr>
    <w:proofErr w:type="spellStart"/>
    <w:r w:rsidRPr="00BB7ED8">
      <w:rPr>
        <w:rFonts w:ascii="Verdana" w:hAnsi="Verdana" w:cs="Arial"/>
        <w:sz w:val="16"/>
        <w:szCs w:val="16"/>
        <w:lang w:val="el-GR"/>
      </w:rPr>
      <w:t>Τηλ</w:t>
    </w:r>
    <w:proofErr w:type="spellEnd"/>
    <w:r w:rsidRPr="00BB7ED8">
      <w:rPr>
        <w:rFonts w:ascii="Verdana" w:hAnsi="Verdana" w:cs="Arial"/>
        <w:sz w:val="16"/>
        <w:szCs w:val="16"/>
        <w:lang w:val="el-GR"/>
      </w:rPr>
      <w:t>.: 22 602129,</w:t>
    </w:r>
    <w:r w:rsidRPr="00BB7ED8">
      <w:rPr>
        <w:rFonts w:ascii="Verdana" w:hAnsi="Verdana" w:cs="Arial"/>
        <w:sz w:val="16"/>
        <w:szCs w:val="16"/>
        <w:lang w:val="de-DE"/>
      </w:rPr>
      <w:t xml:space="preserve"> </w:t>
    </w:r>
    <w:proofErr w:type="spellStart"/>
    <w:r w:rsidR="00361616" w:rsidRPr="00BB7ED8">
      <w:rPr>
        <w:rFonts w:ascii="Verdana" w:hAnsi="Verdana" w:cs="Arial"/>
        <w:sz w:val="16"/>
        <w:szCs w:val="16"/>
        <w:lang w:val="el-GR"/>
      </w:rPr>
      <w:t>Ηλ</w:t>
    </w:r>
    <w:proofErr w:type="spellEnd"/>
    <w:r w:rsidR="00361616" w:rsidRPr="00BB7ED8">
      <w:rPr>
        <w:rFonts w:ascii="Verdana" w:hAnsi="Verdana" w:cs="Arial"/>
        <w:sz w:val="16"/>
        <w:szCs w:val="16"/>
        <w:lang w:val="el-GR"/>
      </w:rPr>
      <w:t xml:space="preserve">. </w:t>
    </w:r>
    <w:proofErr w:type="spellStart"/>
    <w:r w:rsidR="00361616" w:rsidRPr="00BB7ED8">
      <w:rPr>
        <w:rFonts w:ascii="Verdana" w:hAnsi="Verdana" w:cs="Arial"/>
        <w:sz w:val="16"/>
        <w:szCs w:val="16"/>
        <w:lang w:val="el-GR"/>
      </w:rPr>
      <w:t>Ταχ</w:t>
    </w:r>
    <w:proofErr w:type="spellEnd"/>
    <w:r w:rsidR="00361616" w:rsidRPr="00BB7ED8">
      <w:rPr>
        <w:rFonts w:ascii="Verdana" w:hAnsi="Verdana" w:cs="Arial"/>
        <w:sz w:val="16"/>
        <w:szCs w:val="16"/>
        <w:lang w:val="el-GR"/>
      </w:rPr>
      <w:t>.</w:t>
    </w:r>
    <w:r w:rsidRPr="00BB7ED8">
      <w:rPr>
        <w:rFonts w:ascii="Verdana" w:hAnsi="Verdana" w:cs="Arial"/>
        <w:sz w:val="16"/>
        <w:szCs w:val="16"/>
        <w:lang w:val="de-DE"/>
      </w:rPr>
      <w:t xml:space="preserve">: </w:t>
    </w:r>
    <w:hyperlink r:id="rId1" w:history="1">
      <w:r w:rsidRPr="00BB7ED8">
        <w:rPr>
          <w:rStyle w:val="Hyperlink"/>
          <w:rFonts w:ascii="Verdana" w:hAnsi="Verdana" w:cs="Arial"/>
          <w:sz w:val="16"/>
          <w:szCs w:val="16"/>
          <w:lang w:val="de-DE"/>
        </w:rPr>
        <w:t>enquiries@cystat.mof.gov.cy</w:t>
      </w:r>
    </w:hyperlink>
    <w:r w:rsidRPr="00BB7ED8">
      <w:rPr>
        <w:rFonts w:ascii="Verdana" w:hAnsi="Verdana" w:cs="Arial"/>
        <w:sz w:val="16"/>
        <w:szCs w:val="16"/>
        <w:lang w:val="de-DE"/>
      </w:rPr>
      <w:t xml:space="preserve">  </w:t>
    </w:r>
  </w:p>
  <w:p w14:paraId="66893A8B" w14:textId="16FD9217" w:rsidR="004E4F42" w:rsidRPr="00361616" w:rsidRDefault="00361616" w:rsidP="000932CF">
    <w:pPr>
      <w:pStyle w:val="Footer"/>
      <w:tabs>
        <w:tab w:val="left" w:pos="4500"/>
      </w:tabs>
      <w:jc w:val="center"/>
      <w:rPr>
        <w:rFonts w:ascii="Arial" w:hAnsi="Arial" w:cs="Arial"/>
        <w:lang w:val="el-GR"/>
      </w:rPr>
    </w:pPr>
    <w:r w:rsidRPr="00BB7ED8">
      <w:rPr>
        <w:rFonts w:ascii="Verdana" w:hAnsi="Verdana" w:cs="Arial"/>
        <w:sz w:val="16"/>
        <w:szCs w:val="16"/>
        <w:lang w:val="el-GR"/>
      </w:rPr>
      <w:t>Διαδικτυακή Πύλη</w:t>
    </w:r>
    <w:r w:rsidR="004E4F42" w:rsidRPr="00BB7ED8">
      <w:rPr>
        <w:rFonts w:ascii="Verdana" w:hAnsi="Verdana" w:cs="Arial"/>
        <w:sz w:val="16"/>
        <w:szCs w:val="16"/>
        <w:lang w:val="el-GR"/>
      </w:rPr>
      <w:t xml:space="preserve">: </w:t>
    </w:r>
    <w:hyperlink r:id="rId2" w:history="1">
      <w:r w:rsidR="004E4F42" w:rsidRPr="00BB7ED8">
        <w:rPr>
          <w:rStyle w:val="Hyperlink"/>
          <w:rFonts w:ascii="Verdana" w:hAnsi="Verdana" w:cs="Arial"/>
          <w:sz w:val="16"/>
          <w:szCs w:val="16"/>
        </w:rPr>
        <w:t>http</w:t>
      </w:r>
      <w:r w:rsidR="004E4F42" w:rsidRPr="00BB7ED8">
        <w:rPr>
          <w:rStyle w:val="Hyperlink"/>
          <w:rFonts w:ascii="Verdana" w:hAnsi="Verdana" w:cs="Arial"/>
          <w:sz w:val="16"/>
          <w:szCs w:val="16"/>
          <w:lang w:val="el-GR"/>
        </w:rPr>
        <w:t>://</w:t>
      </w:r>
      <w:r w:rsidR="004E4F42" w:rsidRPr="00BB7ED8">
        <w:rPr>
          <w:rStyle w:val="Hyperlink"/>
          <w:rFonts w:ascii="Verdana" w:hAnsi="Verdana" w:cs="Arial"/>
          <w:sz w:val="16"/>
          <w:szCs w:val="16"/>
        </w:rPr>
        <w:t>www</w:t>
      </w:r>
      <w:r w:rsidR="004E4F42" w:rsidRPr="00BB7ED8">
        <w:rPr>
          <w:rStyle w:val="Hyperlink"/>
          <w:rFonts w:ascii="Verdana" w:hAnsi="Verdana" w:cs="Arial"/>
          <w:sz w:val="16"/>
          <w:szCs w:val="16"/>
          <w:lang w:val="el-GR"/>
        </w:rPr>
        <w:t>.</w:t>
      </w:r>
      <w:proofErr w:type="spellStart"/>
      <w:r w:rsidR="004E4F42" w:rsidRPr="00BB7ED8">
        <w:rPr>
          <w:rStyle w:val="Hyperlink"/>
          <w:rFonts w:ascii="Verdana" w:hAnsi="Verdana" w:cs="Arial"/>
          <w:sz w:val="16"/>
          <w:szCs w:val="16"/>
        </w:rPr>
        <w:t>cystat</w:t>
      </w:r>
      <w:proofErr w:type="spellEnd"/>
      <w:r w:rsidR="004E4F42" w:rsidRPr="00BB7ED8">
        <w:rPr>
          <w:rStyle w:val="Hyperlink"/>
          <w:rFonts w:ascii="Verdana" w:hAnsi="Verdana" w:cs="Arial"/>
          <w:sz w:val="16"/>
          <w:szCs w:val="16"/>
          <w:lang w:val="el-GR"/>
        </w:rPr>
        <w:t>.</w:t>
      </w:r>
      <w:r w:rsidR="004E4F42" w:rsidRPr="00BB7ED8">
        <w:rPr>
          <w:rStyle w:val="Hyperlink"/>
          <w:rFonts w:ascii="Verdana" w:hAnsi="Verdana" w:cs="Arial"/>
          <w:sz w:val="16"/>
          <w:szCs w:val="16"/>
        </w:rPr>
        <w:t>gov</w:t>
      </w:r>
      <w:r w:rsidR="004E4F42" w:rsidRPr="00BB7ED8">
        <w:rPr>
          <w:rStyle w:val="Hyperlink"/>
          <w:rFonts w:ascii="Verdana" w:hAnsi="Verdana" w:cs="Arial"/>
          <w:sz w:val="16"/>
          <w:szCs w:val="16"/>
          <w:lang w:val="el-GR"/>
        </w:rPr>
        <w:t>.</w:t>
      </w:r>
      <w:r w:rsidR="004E4F42" w:rsidRPr="00BB7ED8">
        <w:rPr>
          <w:rStyle w:val="Hyperlink"/>
          <w:rFonts w:ascii="Verdana" w:hAnsi="Verdana" w:cs="Arial"/>
          <w:sz w:val="16"/>
          <w:szCs w:val="16"/>
        </w:rPr>
        <w:t>cy</w:t>
      </w:r>
    </w:hyperlink>
    <w:r w:rsidR="004E4F42" w:rsidRPr="00361616">
      <w:rPr>
        <w:rFonts w:ascii="Arial" w:hAnsi="Arial" w:cs="Arial"/>
        <w:i/>
        <w:iCs/>
        <w:sz w:val="18"/>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C1A67" w14:textId="77777777" w:rsidR="00360660" w:rsidRDefault="00360660" w:rsidP="00FB398F">
      <w:r>
        <w:separator/>
      </w:r>
    </w:p>
  </w:footnote>
  <w:footnote w:type="continuationSeparator" w:id="0">
    <w:p w14:paraId="179ECB0B" w14:textId="77777777" w:rsidR="00360660" w:rsidRDefault="00360660"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US" w:eastAsia="en-US"/>
      </w:rPr>
      <mc:AlternateContent>
        <mc:Choice Requires="wps">
          <w:drawing>
            <wp:anchor distT="0" distB="0" distL="114300" distR="114300" simplePos="0" relativeHeight="251659264" behindDoc="0" locked="0" layoutInCell="1" allowOverlap="1" wp14:anchorId="26B35A09" wp14:editId="44396516">
              <wp:simplePos x="0" y="0"/>
              <wp:positionH relativeFrom="column">
                <wp:posOffset>4099560</wp:posOffset>
              </wp:positionH>
              <wp:positionV relativeFrom="paragraph">
                <wp:posOffset>102870</wp:posOffset>
              </wp:positionV>
              <wp:extent cx="1885950" cy="4381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BB7ED8" w:rsidRDefault="004E4F42" w:rsidP="00BB7ED8">
                          <w:pPr>
                            <w:jc w:val="center"/>
                            <w:rPr>
                              <w:rFonts w:ascii="Verdana" w:hAnsi="Verdana" w:cs="Arial"/>
                              <w:b/>
                              <w:sz w:val="20"/>
                              <w:szCs w:val="20"/>
                            </w:rPr>
                          </w:pPr>
                          <w:r w:rsidRPr="00BB7ED8">
                            <w:rPr>
                              <w:rFonts w:ascii="Verdana" w:hAnsi="Verdana" w:cs="Arial"/>
                              <w:b/>
                              <w:bCs/>
                              <w:sz w:val="20"/>
                              <w:szCs w:val="20"/>
                            </w:rPr>
                            <w:t>ΣΤΑΤΙΣΤΙΚΗ ΥΠΗΡΕΣΙΑ</w:t>
                          </w:r>
                          <w:r w:rsidRPr="00BB7ED8">
                            <w:rPr>
                              <w:rFonts w:ascii="Verdana" w:hAnsi="Verdana" w:cs="Arial"/>
                              <w:b/>
                              <w:sz w:val="20"/>
                              <w:szCs w:val="20"/>
                            </w:rPr>
                            <w:t xml:space="preserve">  </w:t>
                          </w:r>
                        </w:p>
                        <w:p w14:paraId="7F363AC1" w14:textId="77777777" w:rsidR="004E4F42" w:rsidRPr="00BA5A5E" w:rsidRDefault="004E4F42" w:rsidP="00BB7ED8">
                          <w:pPr>
                            <w:jc w:val="center"/>
                            <w:rPr>
                              <w:rFonts w:ascii="Arial" w:hAnsi="Arial" w:cs="Arial"/>
                              <w:b/>
                              <w:sz w:val="20"/>
                              <w:szCs w:val="20"/>
                            </w:rPr>
                          </w:pPr>
                          <w:r w:rsidRPr="00BB7ED8">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22.8pt;margin-top:8.1pt;width:148.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" stroked="f">
              <v:textbox>
                <w:txbxContent>
                  <w:p w14:paraId="505F9DD1" w14:textId="77777777" w:rsidR="004E4F42" w:rsidRPr="00BB7ED8" w:rsidRDefault="004E4F42" w:rsidP="00BB7ED8">
                    <w:pPr>
                      <w:jc w:val="center"/>
                      <w:rPr>
                        <w:rFonts w:ascii="Verdana" w:hAnsi="Verdana" w:cs="Arial"/>
                        <w:b/>
                        <w:sz w:val="20"/>
                        <w:szCs w:val="20"/>
                      </w:rPr>
                    </w:pPr>
                    <w:r w:rsidRPr="00BB7ED8">
                      <w:rPr>
                        <w:rFonts w:ascii="Verdana" w:hAnsi="Verdana" w:cs="Arial"/>
                        <w:b/>
                        <w:bCs/>
                        <w:sz w:val="20"/>
                        <w:szCs w:val="20"/>
                      </w:rPr>
                      <w:t>ΣΤΑΤΙΣΤΙΚΗ ΥΠΗΡΕΣΙΑ</w:t>
                    </w:r>
                    <w:r w:rsidRPr="00BB7ED8">
                      <w:rPr>
                        <w:rFonts w:ascii="Verdana" w:hAnsi="Verdana" w:cs="Arial"/>
                        <w:b/>
                        <w:sz w:val="20"/>
                        <w:szCs w:val="20"/>
                      </w:rPr>
                      <w:t xml:space="preserve">  </w:t>
                    </w:r>
                  </w:p>
                  <w:p w14:paraId="7F363AC1" w14:textId="77777777" w:rsidR="004E4F42" w:rsidRPr="00BA5A5E" w:rsidRDefault="004E4F42" w:rsidP="00BB7ED8">
                    <w:pPr>
                      <w:jc w:val="center"/>
                      <w:rPr>
                        <w:rFonts w:ascii="Arial" w:hAnsi="Arial" w:cs="Arial"/>
                        <w:b/>
                        <w:sz w:val="20"/>
                        <w:szCs w:val="20"/>
                      </w:rPr>
                    </w:pPr>
                    <w:r w:rsidRPr="00BB7ED8">
                      <w:rPr>
                        <w:rFonts w:ascii="Verdana" w:hAnsi="Verdana" w:cs="Arial"/>
                        <w:bCs/>
                        <w:sz w:val="20"/>
                        <w:szCs w:val="20"/>
                      </w:rPr>
                      <w:t>1444 ΛΕΥΚΩΣΙΑ</w:t>
                    </w:r>
                  </w:p>
                </w:txbxContent>
              </v:textbox>
            </v:shape>
          </w:pict>
        </mc:Fallback>
      </mc:AlternateContent>
    </w:r>
  </w:p>
  <w:p w14:paraId="788C084B" w14:textId="57AF71BD" w:rsidR="004E4F42" w:rsidRPr="00BB7ED8"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BB7ED8">
      <w:rPr>
        <w:rFonts w:ascii="Verdana" w:hAnsi="Verdana" w:cs="Arial"/>
        <w:bCs/>
        <w:sz w:val="20"/>
        <w:szCs w:val="20"/>
      </w:rPr>
      <w:t>ΚΥΠΡΙΑΚΗ ΔΗΜΟΚΡΑΤΙΑ</w:t>
    </w:r>
    <w:r w:rsidRPr="00BB7ED8">
      <w:rPr>
        <w:rFonts w:ascii="Verdana" w:hAnsi="Verdana"/>
        <w:b/>
        <w:bCs/>
        <w:sz w:val="20"/>
        <w:szCs w:val="20"/>
        <w:lang w:val="en-US"/>
      </w:rPr>
      <w:t xml:space="preserve"> </w:t>
    </w:r>
    <w:r w:rsidRPr="00BB7ED8">
      <w:rPr>
        <w:rFonts w:ascii="Verdana" w:hAnsi="Verdana"/>
        <w:b/>
        <w:bCs/>
        <w:sz w:val="20"/>
        <w:szCs w:val="20"/>
        <w:lang w:val="en-US"/>
      </w:rPr>
      <w:tab/>
    </w:r>
  </w:p>
  <w:p w14:paraId="2F272394" w14:textId="57C9DEC9"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93663188">
    <w:abstractNumId w:val="4"/>
  </w:num>
  <w:num w:numId="2" w16cid:durableId="326598054">
    <w:abstractNumId w:val="1"/>
  </w:num>
  <w:num w:numId="3" w16cid:durableId="1720662657">
    <w:abstractNumId w:val="2"/>
  </w:num>
  <w:num w:numId="4" w16cid:durableId="2057771506">
    <w:abstractNumId w:val="3"/>
  </w:num>
  <w:num w:numId="5" w16cid:durableId="1507666333">
    <w:abstractNumId w:val="0"/>
  </w:num>
  <w:num w:numId="6" w16cid:durableId="567224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98F"/>
    <w:rsid w:val="00001B20"/>
    <w:rsid w:val="00002458"/>
    <w:rsid w:val="00003BE7"/>
    <w:rsid w:val="0000542E"/>
    <w:rsid w:val="00013E40"/>
    <w:rsid w:val="00015147"/>
    <w:rsid w:val="000161B1"/>
    <w:rsid w:val="00025A39"/>
    <w:rsid w:val="00027853"/>
    <w:rsid w:val="00030E18"/>
    <w:rsid w:val="00031D32"/>
    <w:rsid w:val="00033562"/>
    <w:rsid w:val="0003603D"/>
    <w:rsid w:val="000434B4"/>
    <w:rsid w:val="00043B35"/>
    <w:rsid w:val="00045088"/>
    <w:rsid w:val="00045A06"/>
    <w:rsid w:val="00050391"/>
    <w:rsid w:val="00055291"/>
    <w:rsid w:val="000563D3"/>
    <w:rsid w:val="00056DA7"/>
    <w:rsid w:val="00057236"/>
    <w:rsid w:val="00057E44"/>
    <w:rsid w:val="00061299"/>
    <w:rsid w:val="00066BDC"/>
    <w:rsid w:val="00070576"/>
    <w:rsid w:val="000752BB"/>
    <w:rsid w:val="00081ADF"/>
    <w:rsid w:val="00084A02"/>
    <w:rsid w:val="00084BF7"/>
    <w:rsid w:val="000860A9"/>
    <w:rsid w:val="00086595"/>
    <w:rsid w:val="000870E9"/>
    <w:rsid w:val="000932CF"/>
    <w:rsid w:val="000940C5"/>
    <w:rsid w:val="00096ED8"/>
    <w:rsid w:val="000A1A88"/>
    <w:rsid w:val="000A2B5C"/>
    <w:rsid w:val="000A3601"/>
    <w:rsid w:val="000A38DA"/>
    <w:rsid w:val="000A4AC2"/>
    <w:rsid w:val="000A6FA8"/>
    <w:rsid w:val="000A7B29"/>
    <w:rsid w:val="000B77E5"/>
    <w:rsid w:val="000C1070"/>
    <w:rsid w:val="000C4E72"/>
    <w:rsid w:val="000C7935"/>
    <w:rsid w:val="000D1DAF"/>
    <w:rsid w:val="000D1E7A"/>
    <w:rsid w:val="000E24B1"/>
    <w:rsid w:val="000E2735"/>
    <w:rsid w:val="000E32D6"/>
    <w:rsid w:val="000E3C27"/>
    <w:rsid w:val="000E4CB0"/>
    <w:rsid w:val="000E57F2"/>
    <w:rsid w:val="000E72A7"/>
    <w:rsid w:val="000F1162"/>
    <w:rsid w:val="000F3467"/>
    <w:rsid w:val="000F38DE"/>
    <w:rsid w:val="000F532A"/>
    <w:rsid w:val="000F5D6C"/>
    <w:rsid w:val="00106852"/>
    <w:rsid w:val="00107DBD"/>
    <w:rsid w:val="00110F9D"/>
    <w:rsid w:val="00111957"/>
    <w:rsid w:val="00114A67"/>
    <w:rsid w:val="001253B6"/>
    <w:rsid w:val="001262C3"/>
    <w:rsid w:val="0012653F"/>
    <w:rsid w:val="00127320"/>
    <w:rsid w:val="00127456"/>
    <w:rsid w:val="00130C5F"/>
    <w:rsid w:val="001312D8"/>
    <w:rsid w:val="0013137B"/>
    <w:rsid w:val="00140227"/>
    <w:rsid w:val="0015118B"/>
    <w:rsid w:val="001519CE"/>
    <w:rsid w:val="00157BA4"/>
    <w:rsid w:val="00161CF3"/>
    <w:rsid w:val="00162C00"/>
    <w:rsid w:val="001639EF"/>
    <w:rsid w:val="0016589F"/>
    <w:rsid w:val="001712CF"/>
    <w:rsid w:val="001729DE"/>
    <w:rsid w:val="0017769A"/>
    <w:rsid w:val="00183DFC"/>
    <w:rsid w:val="00184384"/>
    <w:rsid w:val="00186322"/>
    <w:rsid w:val="00186717"/>
    <w:rsid w:val="00187FFC"/>
    <w:rsid w:val="001922FA"/>
    <w:rsid w:val="0019391C"/>
    <w:rsid w:val="001970DD"/>
    <w:rsid w:val="001A064C"/>
    <w:rsid w:val="001A2018"/>
    <w:rsid w:val="001A3E59"/>
    <w:rsid w:val="001A4C41"/>
    <w:rsid w:val="001B2C39"/>
    <w:rsid w:val="001B3675"/>
    <w:rsid w:val="001B4327"/>
    <w:rsid w:val="001B4EF2"/>
    <w:rsid w:val="001B5E10"/>
    <w:rsid w:val="001B6AB3"/>
    <w:rsid w:val="001B73D5"/>
    <w:rsid w:val="001C0681"/>
    <w:rsid w:val="001C62B3"/>
    <w:rsid w:val="001C7C8C"/>
    <w:rsid w:val="001D0D6A"/>
    <w:rsid w:val="001D20A4"/>
    <w:rsid w:val="001E00D1"/>
    <w:rsid w:val="001E0E58"/>
    <w:rsid w:val="001E14F3"/>
    <w:rsid w:val="001E15ED"/>
    <w:rsid w:val="001E43E0"/>
    <w:rsid w:val="001E61AA"/>
    <w:rsid w:val="001F0CBF"/>
    <w:rsid w:val="001F5CDB"/>
    <w:rsid w:val="00200B09"/>
    <w:rsid w:val="0020309E"/>
    <w:rsid w:val="00210B58"/>
    <w:rsid w:val="00222423"/>
    <w:rsid w:val="00225B28"/>
    <w:rsid w:val="00226891"/>
    <w:rsid w:val="00230D9B"/>
    <w:rsid w:val="002313AC"/>
    <w:rsid w:val="00235FB2"/>
    <w:rsid w:val="0023736D"/>
    <w:rsid w:val="00237BC1"/>
    <w:rsid w:val="002430B4"/>
    <w:rsid w:val="002447D0"/>
    <w:rsid w:val="002454C5"/>
    <w:rsid w:val="002457B7"/>
    <w:rsid w:val="00245E19"/>
    <w:rsid w:val="00246AEB"/>
    <w:rsid w:val="00250005"/>
    <w:rsid w:val="0025254F"/>
    <w:rsid w:val="0025566D"/>
    <w:rsid w:val="0025595C"/>
    <w:rsid w:val="00257149"/>
    <w:rsid w:val="002576E7"/>
    <w:rsid w:val="00260357"/>
    <w:rsid w:val="00262B43"/>
    <w:rsid w:val="00264F04"/>
    <w:rsid w:val="00267554"/>
    <w:rsid w:val="002777FB"/>
    <w:rsid w:val="0028338F"/>
    <w:rsid w:val="00284F71"/>
    <w:rsid w:val="002915C4"/>
    <w:rsid w:val="00293540"/>
    <w:rsid w:val="00297E6B"/>
    <w:rsid w:val="002A1D1C"/>
    <w:rsid w:val="002A4D64"/>
    <w:rsid w:val="002B4969"/>
    <w:rsid w:val="002B6554"/>
    <w:rsid w:val="002D05F0"/>
    <w:rsid w:val="002D2829"/>
    <w:rsid w:val="002D7D4A"/>
    <w:rsid w:val="002E3846"/>
    <w:rsid w:val="002E3F78"/>
    <w:rsid w:val="002E6890"/>
    <w:rsid w:val="002F318C"/>
    <w:rsid w:val="002F400C"/>
    <w:rsid w:val="002F4D76"/>
    <w:rsid w:val="002F6D26"/>
    <w:rsid w:val="0030231E"/>
    <w:rsid w:val="003042C4"/>
    <w:rsid w:val="00304CB4"/>
    <w:rsid w:val="00306FB0"/>
    <w:rsid w:val="00312652"/>
    <w:rsid w:val="00312A81"/>
    <w:rsid w:val="00313F37"/>
    <w:rsid w:val="003141D0"/>
    <w:rsid w:val="003151B6"/>
    <w:rsid w:val="003160FC"/>
    <w:rsid w:val="003168C1"/>
    <w:rsid w:val="00322FBE"/>
    <w:rsid w:val="00325632"/>
    <w:rsid w:val="00327549"/>
    <w:rsid w:val="003342A5"/>
    <w:rsid w:val="00334616"/>
    <w:rsid w:val="00336C36"/>
    <w:rsid w:val="00343815"/>
    <w:rsid w:val="0035150B"/>
    <w:rsid w:val="003522BB"/>
    <w:rsid w:val="00352F6C"/>
    <w:rsid w:val="003556EA"/>
    <w:rsid w:val="00357BFC"/>
    <w:rsid w:val="00360660"/>
    <w:rsid w:val="00361616"/>
    <w:rsid w:val="00373924"/>
    <w:rsid w:val="00386FC7"/>
    <w:rsid w:val="00387E97"/>
    <w:rsid w:val="00390A32"/>
    <w:rsid w:val="0039343D"/>
    <w:rsid w:val="00396F05"/>
    <w:rsid w:val="003A1E91"/>
    <w:rsid w:val="003A3139"/>
    <w:rsid w:val="003A40F2"/>
    <w:rsid w:val="003A47E2"/>
    <w:rsid w:val="003A50D1"/>
    <w:rsid w:val="003B0F4B"/>
    <w:rsid w:val="003B196D"/>
    <w:rsid w:val="003B2710"/>
    <w:rsid w:val="003B4608"/>
    <w:rsid w:val="003B5B09"/>
    <w:rsid w:val="003B67D6"/>
    <w:rsid w:val="003C2392"/>
    <w:rsid w:val="003C5174"/>
    <w:rsid w:val="003C5240"/>
    <w:rsid w:val="003C7475"/>
    <w:rsid w:val="003C7531"/>
    <w:rsid w:val="003C76E6"/>
    <w:rsid w:val="003D14E0"/>
    <w:rsid w:val="003D1EA5"/>
    <w:rsid w:val="003D3348"/>
    <w:rsid w:val="003D4E63"/>
    <w:rsid w:val="003D6822"/>
    <w:rsid w:val="003D724C"/>
    <w:rsid w:val="003D7579"/>
    <w:rsid w:val="003E0CE2"/>
    <w:rsid w:val="003E65F7"/>
    <w:rsid w:val="003F49E4"/>
    <w:rsid w:val="003F4D2F"/>
    <w:rsid w:val="003F579D"/>
    <w:rsid w:val="003F5E32"/>
    <w:rsid w:val="003F75F6"/>
    <w:rsid w:val="00404670"/>
    <w:rsid w:val="00414CA0"/>
    <w:rsid w:val="00422F54"/>
    <w:rsid w:val="00431516"/>
    <w:rsid w:val="004361B3"/>
    <w:rsid w:val="00436BEC"/>
    <w:rsid w:val="0044249D"/>
    <w:rsid w:val="0044379F"/>
    <w:rsid w:val="00444FCC"/>
    <w:rsid w:val="00446FB1"/>
    <w:rsid w:val="00452753"/>
    <w:rsid w:val="00454211"/>
    <w:rsid w:val="0046078F"/>
    <w:rsid w:val="00463214"/>
    <w:rsid w:val="0046434D"/>
    <w:rsid w:val="004656FA"/>
    <w:rsid w:val="00471D77"/>
    <w:rsid w:val="00475587"/>
    <w:rsid w:val="00480BC2"/>
    <w:rsid w:val="004823D0"/>
    <w:rsid w:val="00483022"/>
    <w:rsid w:val="004845C3"/>
    <w:rsid w:val="004929C2"/>
    <w:rsid w:val="00493FDD"/>
    <w:rsid w:val="0049586B"/>
    <w:rsid w:val="004A3E44"/>
    <w:rsid w:val="004A5E5C"/>
    <w:rsid w:val="004B2018"/>
    <w:rsid w:val="004B2896"/>
    <w:rsid w:val="004B38E9"/>
    <w:rsid w:val="004B3FBA"/>
    <w:rsid w:val="004B6599"/>
    <w:rsid w:val="004C6CA7"/>
    <w:rsid w:val="004C7206"/>
    <w:rsid w:val="004D4357"/>
    <w:rsid w:val="004D4950"/>
    <w:rsid w:val="004E2393"/>
    <w:rsid w:val="004E3745"/>
    <w:rsid w:val="004E42BE"/>
    <w:rsid w:val="004E4F42"/>
    <w:rsid w:val="004E63D5"/>
    <w:rsid w:val="004F03FD"/>
    <w:rsid w:val="004F52F0"/>
    <w:rsid w:val="004F6250"/>
    <w:rsid w:val="004F677C"/>
    <w:rsid w:val="004F6D8F"/>
    <w:rsid w:val="0050529C"/>
    <w:rsid w:val="00505503"/>
    <w:rsid w:val="0051107B"/>
    <w:rsid w:val="00512F9C"/>
    <w:rsid w:val="00527CDB"/>
    <w:rsid w:val="005341C9"/>
    <w:rsid w:val="005369CA"/>
    <w:rsid w:val="00536DE9"/>
    <w:rsid w:val="0053736A"/>
    <w:rsid w:val="00541E08"/>
    <w:rsid w:val="00554FE0"/>
    <w:rsid w:val="0055789A"/>
    <w:rsid w:val="00560952"/>
    <w:rsid w:val="0056127B"/>
    <w:rsid w:val="005652D1"/>
    <w:rsid w:val="005660A0"/>
    <w:rsid w:val="00566A4F"/>
    <w:rsid w:val="00567D64"/>
    <w:rsid w:val="005934B4"/>
    <w:rsid w:val="0059404F"/>
    <w:rsid w:val="0059533A"/>
    <w:rsid w:val="005978D4"/>
    <w:rsid w:val="005A23FA"/>
    <w:rsid w:val="005B2A67"/>
    <w:rsid w:val="005B3DCD"/>
    <w:rsid w:val="005B4AD4"/>
    <w:rsid w:val="005C2798"/>
    <w:rsid w:val="005C36C3"/>
    <w:rsid w:val="005C56EE"/>
    <w:rsid w:val="005D1714"/>
    <w:rsid w:val="005D7638"/>
    <w:rsid w:val="005F12F5"/>
    <w:rsid w:val="005F6AB5"/>
    <w:rsid w:val="005F7C7D"/>
    <w:rsid w:val="006044B7"/>
    <w:rsid w:val="006071CE"/>
    <w:rsid w:val="006075B5"/>
    <w:rsid w:val="0061018C"/>
    <w:rsid w:val="0061094E"/>
    <w:rsid w:val="00612243"/>
    <w:rsid w:val="00613440"/>
    <w:rsid w:val="00613BE3"/>
    <w:rsid w:val="006208D3"/>
    <w:rsid w:val="0062327B"/>
    <w:rsid w:val="00632777"/>
    <w:rsid w:val="00633750"/>
    <w:rsid w:val="00633EFE"/>
    <w:rsid w:val="00634491"/>
    <w:rsid w:val="0063679C"/>
    <w:rsid w:val="00637055"/>
    <w:rsid w:val="00641D59"/>
    <w:rsid w:val="00644507"/>
    <w:rsid w:val="00644E68"/>
    <w:rsid w:val="00646880"/>
    <w:rsid w:val="00647D2A"/>
    <w:rsid w:val="006537BB"/>
    <w:rsid w:val="00656082"/>
    <w:rsid w:val="0065643E"/>
    <w:rsid w:val="006664CC"/>
    <w:rsid w:val="00666B41"/>
    <w:rsid w:val="00667E07"/>
    <w:rsid w:val="00671785"/>
    <w:rsid w:val="00672BA9"/>
    <w:rsid w:val="00673005"/>
    <w:rsid w:val="006804BE"/>
    <w:rsid w:val="0068434A"/>
    <w:rsid w:val="0069008E"/>
    <w:rsid w:val="0069087E"/>
    <w:rsid w:val="006925C4"/>
    <w:rsid w:val="006A02B7"/>
    <w:rsid w:val="006A7019"/>
    <w:rsid w:val="006B46D5"/>
    <w:rsid w:val="006B46F4"/>
    <w:rsid w:val="006B6A75"/>
    <w:rsid w:val="006B6F95"/>
    <w:rsid w:val="006C7981"/>
    <w:rsid w:val="006C7AF3"/>
    <w:rsid w:val="006D0B9D"/>
    <w:rsid w:val="006D6548"/>
    <w:rsid w:val="006E0E20"/>
    <w:rsid w:val="006E4256"/>
    <w:rsid w:val="006E4BBA"/>
    <w:rsid w:val="006E5F43"/>
    <w:rsid w:val="006E60A6"/>
    <w:rsid w:val="006F0F69"/>
    <w:rsid w:val="006F116B"/>
    <w:rsid w:val="006F117F"/>
    <w:rsid w:val="006F13DF"/>
    <w:rsid w:val="006F2780"/>
    <w:rsid w:val="00702F26"/>
    <w:rsid w:val="0070313E"/>
    <w:rsid w:val="00703799"/>
    <w:rsid w:val="00705C5C"/>
    <w:rsid w:val="00711475"/>
    <w:rsid w:val="00711B88"/>
    <w:rsid w:val="007243C2"/>
    <w:rsid w:val="0072548A"/>
    <w:rsid w:val="007277A6"/>
    <w:rsid w:val="007437AB"/>
    <w:rsid w:val="00745425"/>
    <w:rsid w:val="007470DD"/>
    <w:rsid w:val="007534F8"/>
    <w:rsid w:val="007545AD"/>
    <w:rsid w:val="00763722"/>
    <w:rsid w:val="007638F3"/>
    <w:rsid w:val="00764BC1"/>
    <w:rsid w:val="00767026"/>
    <w:rsid w:val="00770869"/>
    <w:rsid w:val="007738AA"/>
    <w:rsid w:val="00780A62"/>
    <w:rsid w:val="00783241"/>
    <w:rsid w:val="00784BDC"/>
    <w:rsid w:val="00785977"/>
    <w:rsid w:val="00787E0C"/>
    <w:rsid w:val="00790B92"/>
    <w:rsid w:val="00792F28"/>
    <w:rsid w:val="007935CA"/>
    <w:rsid w:val="00794664"/>
    <w:rsid w:val="007949DB"/>
    <w:rsid w:val="0079543F"/>
    <w:rsid w:val="00795880"/>
    <w:rsid w:val="00797C9D"/>
    <w:rsid w:val="007A2D78"/>
    <w:rsid w:val="007A4367"/>
    <w:rsid w:val="007B0867"/>
    <w:rsid w:val="007B1AC1"/>
    <w:rsid w:val="007B1EAE"/>
    <w:rsid w:val="007B2F2D"/>
    <w:rsid w:val="007B5A08"/>
    <w:rsid w:val="007B693D"/>
    <w:rsid w:val="007C431C"/>
    <w:rsid w:val="007C4CDC"/>
    <w:rsid w:val="007D562D"/>
    <w:rsid w:val="007D6ED5"/>
    <w:rsid w:val="007E041B"/>
    <w:rsid w:val="007E199A"/>
    <w:rsid w:val="007E1AED"/>
    <w:rsid w:val="007E2415"/>
    <w:rsid w:val="007E39F3"/>
    <w:rsid w:val="007E405E"/>
    <w:rsid w:val="007E6734"/>
    <w:rsid w:val="007E68F4"/>
    <w:rsid w:val="007E6DE2"/>
    <w:rsid w:val="007F31BA"/>
    <w:rsid w:val="007F4015"/>
    <w:rsid w:val="007F4078"/>
    <w:rsid w:val="0080014B"/>
    <w:rsid w:val="00801793"/>
    <w:rsid w:val="00801890"/>
    <w:rsid w:val="00803642"/>
    <w:rsid w:val="00805326"/>
    <w:rsid w:val="00806EA2"/>
    <w:rsid w:val="0081266A"/>
    <w:rsid w:val="00812A2B"/>
    <w:rsid w:val="00814A4C"/>
    <w:rsid w:val="00814ACD"/>
    <w:rsid w:val="00814F69"/>
    <w:rsid w:val="00817375"/>
    <w:rsid w:val="00821EFA"/>
    <w:rsid w:val="00831AAB"/>
    <w:rsid w:val="00833BCD"/>
    <w:rsid w:val="00834B82"/>
    <w:rsid w:val="0083574E"/>
    <w:rsid w:val="0083640C"/>
    <w:rsid w:val="008374E3"/>
    <w:rsid w:val="0084157B"/>
    <w:rsid w:val="00842BFB"/>
    <w:rsid w:val="00846B85"/>
    <w:rsid w:val="00847DC3"/>
    <w:rsid w:val="00847F49"/>
    <w:rsid w:val="008535C5"/>
    <w:rsid w:val="00853765"/>
    <w:rsid w:val="0085516F"/>
    <w:rsid w:val="00867186"/>
    <w:rsid w:val="00870AF6"/>
    <w:rsid w:val="00873F5B"/>
    <w:rsid w:val="00875F8E"/>
    <w:rsid w:val="00877452"/>
    <w:rsid w:val="00881268"/>
    <w:rsid w:val="0088394A"/>
    <w:rsid w:val="008860BD"/>
    <w:rsid w:val="00887399"/>
    <w:rsid w:val="0088779E"/>
    <w:rsid w:val="008912AF"/>
    <w:rsid w:val="00892114"/>
    <w:rsid w:val="008923E6"/>
    <w:rsid w:val="00892CB9"/>
    <w:rsid w:val="0089344C"/>
    <w:rsid w:val="008935CB"/>
    <w:rsid w:val="00897A57"/>
    <w:rsid w:val="008A34EA"/>
    <w:rsid w:val="008B0E7E"/>
    <w:rsid w:val="008B175A"/>
    <w:rsid w:val="008B65BD"/>
    <w:rsid w:val="008B7900"/>
    <w:rsid w:val="008C71BF"/>
    <w:rsid w:val="008C7FE0"/>
    <w:rsid w:val="008D0525"/>
    <w:rsid w:val="008D5717"/>
    <w:rsid w:val="008E44A9"/>
    <w:rsid w:val="008E6B4D"/>
    <w:rsid w:val="008E6BFF"/>
    <w:rsid w:val="008F0C83"/>
    <w:rsid w:val="008F19B4"/>
    <w:rsid w:val="008F21AF"/>
    <w:rsid w:val="008F2400"/>
    <w:rsid w:val="008F61BA"/>
    <w:rsid w:val="008F6E3C"/>
    <w:rsid w:val="008F7C55"/>
    <w:rsid w:val="00914A23"/>
    <w:rsid w:val="00925B75"/>
    <w:rsid w:val="00930754"/>
    <w:rsid w:val="00934F68"/>
    <w:rsid w:val="009355AC"/>
    <w:rsid w:val="00935F38"/>
    <w:rsid w:val="00937586"/>
    <w:rsid w:val="00944B0D"/>
    <w:rsid w:val="00944DBE"/>
    <w:rsid w:val="00947889"/>
    <w:rsid w:val="009478BD"/>
    <w:rsid w:val="00960E98"/>
    <w:rsid w:val="0096220C"/>
    <w:rsid w:val="00963A82"/>
    <w:rsid w:val="009671C2"/>
    <w:rsid w:val="00972912"/>
    <w:rsid w:val="00976D1F"/>
    <w:rsid w:val="00981C81"/>
    <w:rsid w:val="00985C27"/>
    <w:rsid w:val="0098778D"/>
    <w:rsid w:val="009955D1"/>
    <w:rsid w:val="00997EEC"/>
    <w:rsid w:val="009A19AF"/>
    <w:rsid w:val="009A2D24"/>
    <w:rsid w:val="009A456C"/>
    <w:rsid w:val="009B00E0"/>
    <w:rsid w:val="009B292A"/>
    <w:rsid w:val="009B76D5"/>
    <w:rsid w:val="009B7F62"/>
    <w:rsid w:val="009C165D"/>
    <w:rsid w:val="009C3CEA"/>
    <w:rsid w:val="009C583D"/>
    <w:rsid w:val="009C7362"/>
    <w:rsid w:val="009D2611"/>
    <w:rsid w:val="009D48B4"/>
    <w:rsid w:val="009D79D2"/>
    <w:rsid w:val="009E247C"/>
    <w:rsid w:val="009E31BA"/>
    <w:rsid w:val="009F0528"/>
    <w:rsid w:val="009F0806"/>
    <w:rsid w:val="009F233B"/>
    <w:rsid w:val="00A05D16"/>
    <w:rsid w:val="00A0659F"/>
    <w:rsid w:val="00A079BA"/>
    <w:rsid w:val="00A14B84"/>
    <w:rsid w:val="00A14E8C"/>
    <w:rsid w:val="00A20C70"/>
    <w:rsid w:val="00A21799"/>
    <w:rsid w:val="00A306BB"/>
    <w:rsid w:val="00A33875"/>
    <w:rsid w:val="00A360A1"/>
    <w:rsid w:val="00A402B3"/>
    <w:rsid w:val="00A42422"/>
    <w:rsid w:val="00A503DF"/>
    <w:rsid w:val="00A529F7"/>
    <w:rsid w:val="00A544B7"/>
    <w:rsid w:val="00A57B0D"/>
    <w:rsid w:val="00A605A7"/>
    <w:rsid w:val="00A618CF"/>
    <w:rsid w:val="00A62770"/>
    <w:rsid w:val="00A62EEB"/>
    <w:rsid w:val="00A660FF"/>
    <w:rsid w:val="00A72B4E"/>
    <w:rsid w:val="00A73395"/>
    <w:rsid w:val="00A771E3"/>
    <w:rsid w:val="00A805BD"/>
    <w:rsid w:val="00A82B4C"/>
    <w:rsid w:val="00A83B02"/>
    <w:rsid w:val="00A92387"/>
    <w:rsid w:val="00A93A4C"/>
    <w:rsid w:val="00A94D5D"/>
    <w:rsid w:val="00AA1046"/>
    <w:rsid w:val="00AA1D9B"/>
    <w:rsid w:val="00AA2543"/>
    <w:rsid w:val="00AA3804"/>
    <w:rsid w:val="00AA55C2"/>
    <w:rsid w:val="00AA6B72"/>
    <w:rsid w:val="00AA7A9D"/>
    <w:rsid w:val="00AB0ACA"/>
    <w:rsid w:val="00AB1D41"/>
    <w:rsid w:val="00AC5E9A"/>
    <w:rsid w:val="00AC704B"/>
    <w:rsid w:val="00AD553E"/>
    <w:rsid w:val="00AD5848"/>
    <w:rsid w:val="00AE2447"/>
    <w:rsid w:val="00AE5ADA"/>
    <w:rsid w:val="00AF6145"/>
    <w:rsid w:val="00B01386"/>
    <w:rsid w:val="00B01915"/>
    <w:rsid w:val="00B01BB5"/>
    <w:rsid w:val="00B026CC"/>
    <w:rsid w:val="00B04AF4"/>
    <w:rsid w:val="00B05214"/>
    <w:rsid w:val="00B22636"/>
    <w:rsid w:val="00B30D97"/>
    <w:rsid w:val="00B31074"/>
    <w:rsid w:val="00B3181A"/>
    <w:rsid w:val="00B35A7C"/>
    <w:rsid w:val="00B4415F"/>
    <w:rsid w:val="00B44ECD"/>
    <w:rsid w:val="00B450D1"/>
    <w:rsid w:val="00B53D47"/>
    <w:rsid w:val="00B54A25"/>
    <w:rsid w:val="00B5711E"/>
    <w:rsid w:val="00B618C3"/>
    <w:rsid w:val="00B63652"/>
    <w:rsid w:val="00B66821"/>
    <w:rsid w:val="00B668B0"/>
    <w:rsid w:val="00B70F5C"/>
    <w:rsid w:val="00B71873"/>
    <w:rsid w:val="00B75AE5"/>
    <w:rsid w:val="00B800C0"/>
    <w:rsid w:val="00B8128D"/>
    <w:rsid w:val="00B8132B"/>
    <w:rsid w:val="00B84C5A"/>
    <w:rsid w:val="00B858F5"/>
    <w:rsid w:val="00B92819"/>
    <w:rsid w:val="00B93668"/>
    <w:rsid w:val="00BA4D25"/>
    <w:rsid w:val="00BA68C6"/>
    <w:rsid w:val="00BA76D0"/>
    <w:rsid w:val="00BB12F1"/>
    <w:rsid w:val="00BB276E"/>
    <w:rsid w:val="00BB3731"/>
    <w:rsid w:val="00BB3FEE"/>
    <w:rsid w:val="00BB5EB0"/>
    <w:rsid w:val="00BB67FC"/>
    <w:rsid w:val="00BB7ED8"/>
    <w:rsid w:val="00BC13A4"/>
    <w:rsid w:val="00BC245A"/>
    <w:rsid w:val="00BC44DD"/>
    <w:rsid w:val="00BD16FA"/>
    <w:rsid w:val="00BD41C3"/>
    <w:rsid w:val="00BD488B"/>
    <w:rsid w:val="00BD7CCC"/>
    <w:rsid w:val="00BE002A"/>
    <w:rsid w:val="00BE0283"/>
    <w:rsid w:val="00BE032B"/>
    <w:rsid w:val="00BE1BC9"/>
    <w:rsid w:val="00BE1BF1"/>
    <w:rsid w:val="00BE1FB5"/>
    <w:rsid w:val="00BE5CDA"/>
    <w:rsid w:val="00BE608F"/>
    <w:rsid w:val="00BE6F1F"/>
    <w:rsid w:val="00BF23BB"/>
    <w:rsid w:val="00BF33DD"/>
    <w:rsid w:val="00BF450A"/>
    <w:rsid w:val="00BF558E"/>
    <w:rsid w:val="00BF5755"/>
    <w:rsid w:val="00BF684B"/>
    <w:rsid w:val="00C00A57"/>
    <w:rsid w:val="00C016F3"/>
    <w:rsid w:val="00C056AF"/>
    <w:rsid w:val="00C15193"/>
    <w:rsid w:val="00C15609"/>
    <w:rsid w:val="00C15F6A"/>
    <w:rsid w:val="00C23EA7"/>
    <w:rsid w:val="00C256F3"/>
    <w:rsid w:val="00C270A2"/>
    <w:rsid w:val="00C315B5"/>
    <w:rsid w:val="00C3373C"/>
    <w:rsid w:val="00C35E28"/>
    <w:rsid w:val="00C426AF"/>
    <w:rsid w:val="00C469C1"/>
    <w:rsid w:val="00C50659"/>
    <w:rsid w:val="00C51B39"/>
    <w:rsid w:val="00C5338A"/>
    <w:rsid w:val="00C54EF9"/>
    <w:rsid w:val="00C56BBF"/>
    <w:rsid w:val="00C572AA"/>
    <w:rsid w:val="00C578E2"/>
    <w:rsid w:val="00C57A9A"/>
    <w:rsid w:val="00C6016A"/>
    <w:rsid w:val="00C601CC"/>
    <w:rsid w:val="00C60B3F"/>
    <w:rsid w:val="00C613ED"/>
    <w:rsid w:val="00C623EB"/>
    <w:rsid w:val="00C62E20"/>
    <w:rsid w:val="00C62FC4"/>
    <w:rsid w:val="00C64C6B"/>
    <w:rsid w:val="00C66F2E"/>
    <w:rsid w:val="00C6785C"/>
    <w:rsid w:val="00C70FD1"/>
    <w:rsid w:val="00C72B76"/>
    <w:rsid w:val="00C733AA"/>
    <w:rsid w:val="00C802BD"/>
    <w:rsid w:val="00C83027"/>
    <w:rsid w:val="00C835AA"/>
    <w:rsid w:val="00C84B8A"/>
    <w:rsid w:val="00C85E65"/>
    <w:rsid w:val="00C87CA1"/>
    <w:rsid w:val="00C91132"/>
    <w:rsid w:val="00C911B4"/>
    <w:rsid w:val="00C91B3B"/>
    <w:rsid w:val="00C94262"/>
    <w:rsid w:val="00C944F1"/>
    <w:rsid w:val="00C976E1"/>
    <w:rsid w:val="00CA148E"/>
    <w:rsid w:val="00CA3A9A"/>
    <w:rsid w:val="00CA7EA1"/>
    <w:rsid w:val="00CB2B7A"/>
    <w:rsid w:val="00CB6BC1"/>
    <w:rsid w:val="00CB7021"/>
    <w:rsid w:val="00CC4B81"/>
    <w:rsid w:val="00CC747D"/>
    <w:rsid w:val="00CD288A"/>
    <w:rsid w:val="00CD3294"/>
    <w:rsid w:val="00CD4524"/>
    <w:rsid w:val="00CD784D"/>
    <w:rsid w:val="00CE6031"/>
    <w:rsid w:val="00CF230B"/>
    <w:rsid w:val="00CF3A1C"/>
    <w:rsid w:val="00CF40F8"/>
    <w:rsid w:val="00CF640D"/>
    <w:rsid w:val="00D008DA"/>
    <w:rsid w:val="00D0416F"/>
    <w:rsid w:val="00D05851"/>
    <w:rsid w:val="00D10FED"/>
    <w:rsid w:val="00D11736"/>
    <w:rsid w:val="00D12EE8"/>
    <w:rsid w:val="00D14CDF"/>
    <w:rsid w:val="00D15FF1"/>
    <w:rsid w:val="00D167F4"/>
    <w:rsid w:val="00D2092A"/>
    <w:rsid w:val="00D20ADA"/>
    <w:rsid w:val="00D2216D"/>
    <w:rsid w:val="00D31A6F"/>
    <w:rsid w:val="00D353D1"/>
    <w:rsid w:val="00D367DB"/>
    <w:rsid w:val="00D36E05"/>
    <w:rsid w:val="00D44F27"/>
    <w:rsid w:val="00D45304"/>
    <w:rsid w:val="00D46165"/>
    <w:rsid w:val="00D461C7"/>
    <w:rsid w:val="00D50424"/>
    <w:rsid w:val="00D525C9"/>
    <w:rsid w:val="00D57D3E"/>
    <w:rsid w:val="00D76249"/>
    <w:rsid w:val="00D84C04"/>
    <w:rsid w:val="00D9270E"/>
    <w:rsid w:val="00D958D0"/>
    <w:rsid w:val="00DA0947"/>
    <w:rsid w:val="00DA705C"/>
    <w:rsid w:val="00DA7D12"/>
    <w:rsid w:val="00DB0E06"/>
    <w:rsid w:val="00DC0DBC"/>
    <w:rsid w:val="00DC23CF"/>
    <w:rsid w:val="00DC6562"/>
    <w:rsid w:val="00DE130D"/>
    <w:rsid w:val="00DE24CF"/>
    <w:rsid w:val="00DE407C"/>
    <w:rsid w:val="00DE4E6E"/>
    <w:rsid w:val="00DE61D2"/>
    <w:rsid w:val="00DE7C7D"/>
    <w:rsid w:val="00DF2137"/>
    <w:rsid w:val="00DF2517"/>
    <w:rsid w:val="00DF2992"/>
    <w:rsid w:val="00DF2D0C"/>
    <w:rsid w:val="00E00058"/>
    <w:rsid w:val="00E01B9D"/>
    <w:rsid w:val="00E0468F"/>
    <w:rsid w:val="00E04F5E"/>
    <w:rsid w:val="00E0522E"/>
    <w:rsid w:val="00E07EF6"/>
    <w:rsid w:val="00E120F4"/>
    <w:rsid w:val="00E17172"/>
    <w:rsid w:val="00E257B2"/>
    <w:rsid w:val="00E3181C"/>
    <w:rsid w:val="00E3280A"/>
    <w:rsid w:val="00E372AF"/>
    <w:rsid w:val="00E37D68"/>
    <w:rsid w:val="00E40EAE"/>
    <w:rsid w:val="00E42B99"/>
    <w:rsid w:val="00E436AC"/>
    <w:rsid w:val="00E44F7A"/>
    <w:rsid w:val="00E44FF8"/>
    <w:rsid w:val="00E5066A"/>
    <w:rsid w:val="00E52CF9"/>
    <w:rsid w:val="00E53692"/>
    <w:rsid w:val="00E63F34"/>
    <w:rsid w:val="00E63FEA"/>
    <w:rsid w:val="00E667AA"/>
    <w:rsid w:val="00E6715A"/>
    <w:rsid w:val="00E6755B"/>
    <w:rsid w:val="00E72A66"/>
    <w:rsid w:val="00E72C9C"/>
    <w:rsid w:val="00E75DC9"/>
    <w:rsid w:val="00E81610"/>
    <w:rsid w:val="00E84910"/>
    <w:rsid w:val="00E85349"/>
    <w:rsid w:val="00E85B28"/>
    <w:rsid w:val="00E91976"/>
    <w:rsid w:val="00E947A6"/>
    <w:rsid w:val="00E97FC7"/>
    <w:rsid w:val="00EA0690"/>
    <w:rsid w:val="00EA22C7"/>
    <w:rsid w:val="00EA3956"/>
    <w:rsid w:val="00EA4522"/>
    <w:rsid w:val="00EA541D"/>
    <w:rsid w:val="00EA7136"/>
    <w:rsid w:val="00EB325A"/>
    <w:rsid w:val="00EC02A5"/>
    <w:rsid w:val="00EC176B"/>
    <w:rsid w:val="00EC33CD"/>
    <w:rsid w:val="00EC5BE5"/>
    <w:rsid w:val="00ED2650"/>
    <w:rsid w:val="00ED6306"/>
    <w:rsid w:val="00ED721A"/>
    <w:rsid w:val="00EE393D"/>
    <w:rsid w:val="00EF01CF"/>
    <w:rsid w:val="00EF14B0"/>
    <w:rsid w:val="00EF2BD0"/>
    <w:rsid w:val="00EF3CF2"/>
    <w:rsid w:val="00EF4CF6"/>
    <w:rsid w:val="00EF664E"/>
    <w:rsid w:val="00EF6A47"/>
    <w:rsid w:val="00EF6A94"/>
    <w:rsid w:val="00EF7AF9"/>
    <w:rsid w:val="00EF7B4A"/>
    <w:rsid w:val="00F00952"/>
    <w:rsid w:val="00F01495"/>
    <w:rsid w:val="00F03E52"/>
    <w:rsid w:val="00F10138"/>
    <w:rsid w:val="00F13F92"/>
    <w:rsid w:val="00F15B79"/>
    <w:rsid w:val="00F22ECA"/>
    <w:rsid w:val="00F240E8"/>
    <w:rsid w:val="00F244FA"/>
    <w:rsid w:val="00F34820"/>
    <w:rsid w:val="00F366A2"/>
    <w:rsid w:val="00F44F43"/>
    <w:rsid w:val="00F450E1"/>
    <w:rsid w:val="00F50DF4"/>
    <w:rsid w:val="00F57AFE"/>
    <w:rsid w:val="00F6278E"/>
    <w:rsid w:val="00F62BEA"/>
    <w:rsid w:val="00F63C41"/>
    <w:rsid w:val="00F63E96"/>
    <w:rsid w:val="00F701E3"/>
    <w:rsid w:val="00F71008"/>
    <w:rsid w:val="00F71F8C"/>
    <w:rsid w:val="00F86AD4"/>
    <w:rsid w:val="00F876C6"/>
    <w:rsid w:val="00FA0113"/>
    <w:rsid w:val="00FA12B2"/>
    <w:rsid w:val="00FA1B71"/>
    <w:rsid w:val="00FA5AFE"/>
    <w:rsid w:val="00FA7610"/>
    <w:rsid w:val="00FB02BD"/>
    <w:rsid w:val="00FB398F"/>
    <w:rsid w:val="00FB4EF8"/>
    <w:rsid w:val="00FB54AE"/>
    <w:rsid w:val="00FB709A"/>
    <w:rsid w:val="00FB78DD"/>
    <w:rsid w:val="00FC3EF3"/>
    <w:rsid w:val="00FC4D54"/>
    <w:rsid w:val="00FC5D35"/>
    <w:rsid w:val="00FD2049"/>
    <w:rsid w:val="00FD2140"/>
    <w:rsid w:val="00FD5B5F"/>
    <w:rsid w:val="00FD5BDE"/>
    <w:rsid w:val="00FD68EC"/>
    <w:rsid w:val="00FE09F6"/>
    <w:rsid w:val="00FE24A5"/>
    <w:rsid w:val="00FE31E5"/>
    <w:rsid w:val="00FF19AD"/>
    <w:rsid w:val="00FF1EB5"/>
    <w:rsid w:val="00FF292D"/>
    <w:rsid w:val="00FF298D"/>
    <w:rsid w:val="00FF3EC4"/>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chartTrackingRefBased/>
  <w15:docId w15:val="{3C92A706-7834-4F8D-9E56-CCFBA4D1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794664"/>
    <w:rPr>
      <w:color w:val="954F72" w:themeColor="followedHyperlink"/>
      <w:u w:val="single"/>
    </w:rPr>
  </w:style>
  <w:style w:type="character" w:styleId="UnresolvedMention">
    <w:name w:val="Unresolved Mention"/>
    <w:basedOn w:val="DefaultParagraphFont"/>
    <w:uiPriority w:val="99"/>
    <w:semiHidden/>
    <w:unhideWhenUsed/>
    <w:rsid w:val="00666B41"/>
    <w:rPr>
      <w:color w:val="605E5C"/>
      <w:shd w:val="clear" w:color="auto" w:fill="E1DFDD"/>
    </w:rPr>
  </w:style>
  <w:style w:type="character" w:customStyle="1" w:styleId="markedcontent">
    <w:name w:val="markedcontent"/>
    <w:basedOn w:val="DefaultParagraphFont"/>
    <w:rsid w:val="003E6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MethodologicalDetails?m=229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5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l/8.CYSTAT-DB/8.CYSTAT-DB__Trade__" TargetMode="External"/><Relationship Id="rId4" Type="http://schemas.openxmlformats.org/officeDocument/2006/relationships/settings" Target="settings.xml"/><Relationship Id="rId9" Type="http://schemas.openxmlformats.org/officeDocument/2006/relationships/hyperlink" Target="https://www.cystat.gov.cy/el/SubthemeStatistics?s=52"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6DA15-02F8-4F12-B117-22DDFCFE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3</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4952</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515</cp:revision>
  <cp:lastPrinted>2025-09-16T08:41:00Z</cp:lastPrinted>
  <dcterms:created xsi:type="dcterms:W3CDTF">2022-06-09T08:07:00Z</dcterms:created>
  <dcterms:modified xsi:type="dcterms:W3CDTF">2025-12-15T07:52:00Z</dcterms:modified>
</cp:coreProperties>
</file>