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5B87" w14:textId="6252D208" w:rsidR="00972CA0" w:rsidRPr="006E475C" w:rsidRDefault="00463214" w:rsidP="00C26329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5C56EE">
        <w:rPr>
          <w:rFonts w:ascii="Arial" w:hAnsi="Arial" w:cs="Arial"/>
          <w:sz w:val="18"/>
          <w:szCs w:val="18"/>
          <w:lang w:val="el-GR"/>
        </w:rPr>
        <w:tab/>
      </w:r>
    </w:p>
    <w:p w14:paraId="2C43E721" w14:textId="5A9EF9FC" w:rsidR="006E475C" w:rsidRPr="00970856" w:rsidRDefault="009801BB" w:rsidP="006E475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717332">
        <w:rPr>
          <w:rFonts w:ascii="Verdana" w:hAnsi="Verdana" w:cs="Arial"/>
          <w:sz w:val="18"/>
          <w:szCs w:val="18"/>
        </w:rPr>
        <w:t>6</w:t>
      </w:r>
      <w:r w:rsidR="00984A6E">
        <w:rPr>
          <w:rFonts w:ascii="Verdana" w:hAnsi="Verdana" w:cs="Arial"/>
          <w:sz w:val="18"/>
          <w:szCs w:val="18"/>
        </w:rPr>
        <w:t xml:space="preserve"> </w:t>
      </w:r>
      <w:r w:rsidR="00717332">
        <w:rPr>
          <w:rFonts w:ascii="Verdana" w:hAnsi="Verdana" w:cs="Arial"/>
          <w:sz w:val="18"/>
          <w:szCs w:val="18"/>
        </w:rPr>
        <w:t>March</w:t>
      </w:r>
      <w:r w:rsidR="006E475C">
        <w:rPr>
          <w:rFonts w:ascii="Verdana" w:hAnsi="Verdana" w:cs="Arial"/>
          <w:sz w:val="18"/>
          <w:szCs w:val="18"/>
        </w:rPr>
        <w:t>,</w:t>
      </w:r>
      <w:r w:rsidR="006E475C" w:rsidRPr="00970856">
        <w:rPr>
          <w:rFonts w:ascii="Verdana" w:eastAsia="Malgun Gothic" w:hAnsi="Verdana" w:cs="Arial"/>
          <w:sz w:val="18"/>
          <w:szCs w:val="18"/>
        </w:rPr>
        <w:t xml:space="preserve"> 202</w:t>
      </w:r>
      <w:r w:rsidR="00717332">
        <w:rPr>
          <w:rFonts w:ascii="Verdana" w:eastAsia="Malgun Gothic" w:hAnsi="Verdana" w:cs="Arial"/>
          <w:sz w:val="18"/>
          <w:szCs w:val="18"/>
        </w:rPr>
        <w:t>6</w:t>
      </w:r>
    </w:p>
    <w:p w14:paraId="4406B52E" w14:textId="49031662" w:rsidR="006E475C" w:rsidRDefault="006E475C" w:rsidP="006E475C">
      <w:pPr>
        <w:rPr>
          <w:rFonts w:ascii="Verdana" w:eastAsia="Malgun Gothic" w:hAnsi="Verdana" w:cs="Arial"/>
          <w:b/>
          <w:sz w:val="18"/>
          <w:szCs w:val="18"/>
        </w:rPr>
      </w:pPr>
    </w:p>
    <w:p w14:paraId="167E8A11" w14:textId="77777777" w:rsidR="006E475C" w:rsidRPr="00970856" w:rsidRDefault="006E475C" w:rsidP="006E475C">
      <w:pPr>
        <w:rPr>
          <w:rFonts w:ascii="Verdana" w:eastAsia="Malgun Gothic" w:hAnsi="Verdana" w:cs="Arial"/>
          <w:b/>
          <w:sz w:val="18"/>
          <w:szCs w:val="18"/>
        </w:rPr>
      </w:pPr>
    </w:p>
    <w:p w14:paraId="50617788" w14:textId="77777777" w:rsidR="006E475C" w:rsidRPr="00970856" w:rsidRDefault="006E475C" w:rsidP="006E475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970856"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463383BB" w14:textId="0F836733" w:rsidR="006E475C" w:rsidRDefault="006E475C" w:rsidP="006E475C">
      <w:pPr>
        <w:rPr>
          <w:rFonts w:ascii="Verdana" w:eastAsia="Malgun Gothic" w:hAnsi="Verdana" w:cs="Arial"/>
          <w:sz w:val="18"/>
          <w:szCs w:val="18"/>
        </w:rPr>
      </w:pPr>
    </w:p>
    <w:p w14:paraId="3F1ACBC5" w14:textId="77777777" w:rsidR="006E475C" w:rsidRPr="00970856" w:rsidRDefault="006E475C" w:rsidP="006E475C">
      <w:pPr>
        <w:rPr>
          <w:rFonts w:ascii="Verdana" w:eastAsia="Malgun Gothic" w:hAnsi="Verdana" w:cs="Arial"/>
          <w:sz w:val="18"/>
          <w:szCs w:val="18"/>
        </w:rPr>
      </w:pPr>
    </w:p>
    <w:p w14:paraId="41518948" w14:textId="53698CE7" w:rsidR="006E475C" w:rsidRPr="00970856" w:rsidRDefault="006E475C" w:rsidP="00B0642E">
      <w:pPr>
        <w:rPr>
          <w:rFonts w:ascii="Verdana" w:eastAsia="Times New Roman" w:hAnsi="Verdana"/>
          <w:b/>
          <w:bCs/>
          <w:u w:val="single"/>
          <w:shd w:val="clear" w:color="auto" w:fill="FFFFFF"/>
        </w:rPr>
      </w:pPr>
      <w:bookmarkStart w:id="0" w:name="_Hlk57290677"/>
      <w:r w:rsidRPr="00970856">
        <w:rPr>
          <w:rFonts w:ascii="Verdana" w:eastAsia="Times New Roman" w:hAnsi="Verdana"/>
          <w:u w:val="single"/>
          <w:shd w:val="clear" w:color="auto" w:fill="FFFFFF"/>
        </w:rPr>
        <w:t xml:space="preserve">TURNOVER VALUE INDEX </w:t>
      </w:r>
      <w:r>
        <w:rPr>
          <w:rFonts w:ascii="Verdana" w:eastAsia="Times New Roman" w:hAnsi="Verdana"/>
          <w:u w:val="single"/>
          <w:shd w:val="clear" w:color="auto" w:fill="FFFFFF"/>
        </w:rPr>
        <w:t xml:space="preserve">IN THE DIVISIONS OF </w:t>
      </w:r>
      <w:r w:rsidRPr="00970856">
        <w:rPr>
          <w:rFonts w:ascii="Verdana" w:eastAsia="Times New Roman" w:hAnsi="Verdana"/>
          <w:u w:val="single"/>
          <w:shd w:val="clear" w:color="auto" w:fill="FFFFFF"/>
        </w:rPr>
        <w:t>WHOLESALE TRADE</w:t>
      </w:r>
      <w:r>
        <w:rPr>
          <w:rFonts w:ascii="Verdana" w:eastAsia="Times New Roman" w:hAnsi="Verdana"/>
          <w:u w:val="single"/>
          <w:shd w:val="clear" w:color="auto" w:fill="FFFFFF"/>
        </w:rPr>
        <w:t xml:space="preserve"> AND OF TRADE/REPAIR OF </w:t>
      </w:r>
      <w:r w:rsidRPr="00970856">
        <w:rPr>
          <w:rFonts w:ascii="Verdana" w:eastAsia="Times New Roman" w:hAnsi="Verdana"/>
          <w:u w:val="single"/>
          <w:shd w:val="clear" w:color="auto" w:fill="FFFFFF"/>
        </w:rPr>
        <w:t>MOTOR VEHICLES</w:t>
      </w:r>
      <w:r w:rsidRPr="0097085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r w:rsidRPr="00970856">
        <w:rPr>
          <w:rFonts w:ascii="Verdana" w:eastAsia="Times New Roman" w:hAnsi="Verdana"/>
          <w:b/>
          <w:bCs/>
          <w:u w:val="single"/>
          <w:shd w:val="clear" w:color="auto" w:fill="FFFFFF"/>
        </w:rPr>
        <w:t xml:space="preserve"> </w:t>
      </w:r>
      <w:bookmarkEnd w:id="0"/>
      <w:r w:rsidR="002E655A" w:rsidRPr="002E655A">
        <w:rPr>
          <w:rFonts w:ascii="Verdana" w:eastAsia="Times New Roman" w:hAnsi="Verdana"/>
          <w:b/>
          <w:bCs/>
          <w:u w:val="single"/>
          <w:shd w:val="clear" w:color="auto" w:fill="FFFFFF"/>
        </w:rPr>
        <w:t>4</w:t>
      </w:r>
      <w:r w:rsidR="002E655A" w:rsidRPr="002E655A">
        <w:rPr>
          <w:rFonts w:ascii="Verdana" w:eastAsia="Times New Roman" w:hAnsi="Verdana"/>
          <w:b/>
          <w:bCs/>
          <w:u w:val="single"/>
          <w:shd w:val="clear" w:color="auto" w:fill="FFFFFF"/>
          <w:vertAlign w:val="superscript"/>
        </w:rPr>
        <w:t>th</w:t>
      </w:r>
      <w:r w:rsidR="00B922B9" w:rsidRPr="002E655A">
        <w:rPr>
          <w:rFonts w:ascii="Verdana" w:eastAsia="Times New Roman" w:hAnsi="Verdana"/>
          <w:b/>
          <w:bCs/>
          <w:u w:val="single"/>
          <w:shd w:val="clear" w:color="auto" w:fill="FFFFFF"/>
          <w:vertAlign w:val="superscript"/>
        </w:rPr>
        <w:t xml:space="preserve"> </w:t>
      </w:r>
      <w:r w:rsidRPr="002E655A">
        <w:rPr>
          <w:rFonts w:ascii="Verdana" w:eastAsia="Times New Roman" w:hAnsi="Verdana"/>
          <w:b/>
          <w:bCs/>
          <w:u w:val="single"/>
          <w:shd w:val="clear" w:color="auto" w:fill="FFFFFF"/>
        </w:rPr>
        <w:t>QUARTER</w:t>
      </w:r>
      <w:r w:rsidR="00B922B9" w:rsidRPr="002E655A">
        <w:rPr>
          <w:rFonts w:ascii="Verdana" w:eastAsia="Times New Roman" w:hAnsi="Verdana"/>
          <w:b/>
          <w:bCs/>
          <w:u w:val="single"/>
          <w:shd w:val="clear" w:color="auto" w:fill="FFFFFF"/>
        </w:rPr>
        <w:t xml:space="preserve"> </w:t>
      </w:r>
      <w:r w:rsidRPr="002E655A">
        <w:rPr>
          <w:rFonts w:ascii="Verdana" w:eastAsia="Times New Roman" w:hAnsi="Verdana"/>
          <w:b/>
          <w:bCs/>
          <w:u w:val="single"/>
          <w:shd w:val="clear" w:color="auto" w:fill="FFFFFF"/>
        </w:rPr>
        <w:t>202</w:t>
      </w:r>
      <w:r w:rsidR="00821747" w:rsidRPr="002E655A">
        <w:rPr>
          <w:rFonts w:ascii="Verdana" w:eastAsia="Times New Roman" w:hAnsi="Verdana"/>
          <w:b/>
          <w:bCs/>
          <w:u w:val="single"/>
          <w:shd w:val="clear" w:color="auto" w:fill="FFFFFF"/>
        </w:rPr>
        <w:t>5</w:t>
      </w:r>
    </w:p>
    <w:p w14:paraId="700C5BA8" w14:textId="02081FE8" w:rsidR="006E475C" w:rsidRDefault="006E475C" w:rsidP="006E475C">
      <w:pPr>
        <w:jc w:val="both"/>
        <w:rPr>
          <w:rFonts w:ascii="Verdana" w:eastAsia="Times New Roman" w:hAnsi="Verdana"/>
          <w:b/>
          <w:bCs/>
          <w:sz w:val="18"/>
          <w:szCs w:val="18"/>
          <w:u w:val="single"/>
          <w:shd w:val="clear" w:color="auto" w:fill="FFFFFF"/>
        </w:rPr>
      </w:pPr>
    </w:p>
    <w:p w14:paraId="0CBCCADF" w14:textId="77777777" w:rsidR="006E475C" w:rsidRPr="00970856" w:rsidRDefault="006E475C" w:rsidP="006E475C">
      <w:pPr>
        <w:jc w:val="both"/>
        <w:rPr>
          <w:rFonts w:ascii="Verdana" w:eastAsia="Times New Roman" w:hAnsi="Verdana"/>
          <w:b/>
          <w:bCs/>
          <w:sz w:val="18"/>
          <w:szCs w:val="18"/>
          <w:u w:val="single"/>
          <w:shd w:val="clear" w:color="auto" w:fill="FFFFFF"/>
        </w:rPr>
      </w:pPr>
    </w:p>
    <w:p w14:paraId="25252755" w14:textId="0D6FD4D2" w:rsidR="006E475C" w:rsidRPr="00FA67BB" w:rsidRDefault="00027265" w:rsidP="006E475C">
      <w:pPr>
        <w:jc w:val="center"/>
        <w:rPr>
          <w:rFonts w:ascii="Verdana" w:eastAsia="Malgun Gothic" w:hAnsi="Verdana" w:cs="Arial"/>
          <w:b/>
          <w:bCs/>
        </w:rPr>
      </w:pPr>
      <w:r>
        <w:rPr>
          <w:rFonts w:ascii="Verdana" w:eastAsia="Malgun Gothic" w:hAnsi="Verdana" w:cs="Arial"/>
          <w:b/>
          <w:bCs/>
        </w:rPr>
        <w:t xml:space="preserve">Increase of </w:t>
      </w:r>
      <w:r w:rsidR="00FA67BB" w:rsidRPr="00FA67BB">
        <w:rPr>
          <w:rFonts w:ascii="Verdana" w:eastAsia="Malgun Gothic" w:hAnsi="Verdana" w:cs="Arial"/>
          <w:b/>
          <w:bCs/>
        </w:rPr>
        <w:t>9</w:t>
      </w:r>
      <w:r w:rsidR="006E475C" w:rsidRPr="00FA67BB">
        <w:rPr>
          <w:rFonts w:ascii="Verdana" w:eastAsia="Malgun Gothic" w:hAnsi="Verdana" w:cs="Arial"/>
          <w:b/>
          <w:bCs/>
        </w:rPr>
        <w:t>,</w:t>
      </w:r>
      <w:r w:rsidR="00FA67BB" w:rsidRPr="00FA67BB">
        <w:rPr>
          <w:rFonts w:ascii="Verdana" w:eastAsia="Malgun Gothic" w:hAnsi="Verdana" w:cs="Arial"/>
          <w:b/>
          <w:bCs/>
        </w:rPr>
        <w:t>3</w:t>
      </w:r>
      <w:r w:rsidR="006E475C" w:rsidRPr="00FA67BB">
        <w:rPr>
          <w:rFonts w:ascii="Verdana" w:eastAsia="Malgun Gothic" w:hAnsi="Verdana" w:cs="Arial"/>
          <w:b/>
          <w:bCs/>
        </w:rPr>
        <w:t>% in Wholesale Trade and</w:t>
      </w:r>
      <w:r>
        <w:rPr>
          <w:rFonts w:ascii="Verdana" w:eastAsia="Malgun Gothic" w:hAnsi="Verdana" w:cs="Arial"/>
          <w:b/>
          <w:bCs/>
        </w:rPr>
        <w:t xml:space="preserve"> No </w:t>
      </w:r>
      <w:r w:rsidR="00F546CD">
        <w:rPr>
          <w:rFonts w:ascii="Verdana" w:eastAsia="Malgun Gothic" w:hAnsi="Verdana" w:cs="Arial"/>
          <w:b/>
          <w:bCs/>
        </w:rPr>
        <w:t>C</w:t>
      </w:r>
      <w:r>
        <w:rPr>
          <w:rFonts w:ascii="Verdana" w:eastAsia="Malgun Gothic" w:hAnsi="Verdana" w:cs="Arial"/>
          <w:b/>
          <w:bCs/>
        </w:rPr>
        <w:t xml:space="preserve">hange </w:t>
      </w:r>
      <w:r w:rsidR="006E475C" w:rsidRPr="00FA67BB">
        <w:rPr>
          <w:rFonts w:ascii="Verdana" w:eastAsia="Malgun Gothic" w:hAnsi="Verdana" w:cs="Arial"/>
          <w:b/>
          <w:bCs/>
        </w:rPr>
        <w:t>in Motor Vehicles</w:t>
      </w:r>
    </w:p>
    <w:p w14:paraId="1D629F8E" w14:textId="5633E945" w:rsidR="006E475C" w:rsidRPr="00FA67BB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B8FBC7C" w14:textId="385F1D9A" w:rsidR="006E475C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  <w:lang w:val="en-GB"/>
        </w:rPr>
      </w:pPr>
      <w:r w:rsidRPr="00D508B1">
        <w:rPr>
          <w:rFonts w:ascii="Verdana" w:hAnsi="Verdana"/>
          <w:sz w:val="18"/>
          <w:szCs w:val="18"/>
          <w:shd w:val="clear" w:color="auto" w:fill="FFFFFF"/>
        </w:rPr>
        <w:t>The Turnover Value Index of Wholesale Trade (Division 46) during the</w:t>
      </w:r>
      <w:r w:rsidR="009801BB" w:rsidRPr="00D508B1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2E655A" w:rsidRPr="00D508B1">
        <w:rPr>
          <w:rFonts w:ascii="Verdana" w:hAnsi="Verdana"/>
          <w:sz w:val="18"/>
          <w:szCs w:val="18"/>
          <w:shd w:val="clear" w:color="auto" w:fill="FFFFFF"/>
        </w:rPr>
        <w:t xml:space="preserve">fourth </w:t>
      </w:r>
      <w:r w:rsidRPr="00D508B1">
        <w:rPr>
          <w:rFonts w:ascii="Verdana" w:hAnsi="Verdana"/>
          <w:sz w:val="18"/>
          <w:szCs w:val="18"/>
          <w:shd w:val="clear" w:color="auto" w:fill="FFFFFF"/>
        </w:rPr>
        <w:t>quarter of 202</w:t>
      </w:r>
      <w:r w:rsidR="00821747" w:rsidRPr="00D508B1">
        <w:rPr>
          <w:rFonts w:ascii="Verdana" w:hAnsi="Verdana"/>
          <w:sz w:val="18"/>
          <w:szCs w:val="18"/>
          <w:shd w:val="clear" w:color="auto" w:fill="FFFFFF"/>
        </w:rPr>
        <w:t>5</w:t>
      </w:r>
      <w:r w:rsidRPr="00D508B1">
        <w:rPr>
          <w:rFonts w:ascii="Verdana" w:hAnsi="Verdana"/>
          <w:sz w:val="18"/>
          <w:szCs w:val="18"/>
          <w:shd w:val="clear" w:color="auto" w:fill="FFFFFF"/>
        </w:rPr>
        <w:t xml:space="preserve"> recorded </w:t>
      </w:r>
      <w:r w:rsidR="006D423B" w:rsidRPr="00D508B1">
        <w:rPr>
          <w:rFonts w:ascii="Verdana" w:hAnsi="Verdana"/>
          <w:sz w:val="18"/>
          <w:szCs w:val="18"/>
          <w:shd w:val="clear" w:color="auto" w:fill="FFFFFF"/>
        </w:rPr>
        <w:t>an increase</w:t>
      </w:r>
      <w:r w:rsidRPr="00D508B1">
        <w:rPr>
          <w:rFonts w:ascii="Verdana" w:hAnsi="Verdana"/>
          <w:sz w:val="18"/>
          <w:szCs w:val="18"/>
          <w:shd w:val="clear" w:color="auto" w:fill="FFFFFF"/>
        </w:rPr>
        <w:t xml:space="preserve"> of </w:t>
      </w:r>
      <w:r w:rsidR="00FA67BB" w:rsidRPr="00D508B1">
        <w:rPr>
          <w:rFonts w:ascii="Verdana" w:hAnsi="Verdana"/>
          <w:sz w:val="18"/>
          <w:szCs w:val="18"/>
          <w:shd w:val="clear" w:color="auto" w:fill="FFFFFF"/>
        </w:rPr>
        <w:t>9</w:t>
      </w:r>
      <w:r w:rsidRPr="00D508B1">
        <w:rPr>
          <w:rFonts w:ascii="Verdana" w:hAnsi="Verdana"/>
          <w:sz w:val="18"/>
          <w:szCs w:val="18"/>
          <w:shd w:val="clear" w:color="auto" w:fill="FFFFFF"/>
        </w:rPr>
        <w:t>,</w:t>
      </w:r>
      <w:r w:rsidR="00FA67BB" w:rsidRPr="00D508B1">
        <w:rPr>
          <w:rFonts w:ascii="Verdana" w:hAnsi="Verdana"/>
          <w:sz w:val="18"/>
          <w:szCs w:val="18"/>
          <w:shd w:val="clear" w:color="auto" w:fill="FFFFFF"/>
        </w:rPr>
        <w:t>3</w:t>
      </w:r>
      <w:r w:rsidRPr="00D508B1">
        <w:rPr>
          <w:rFonts w:ascii="Verdana" w:hAnsi="Verdana"/>
          <w:sz w:val="18"/>
          <w:szCs w:val="18"/>
          <w:shd w:val="clear" w:color="auto" w:fill="FFFFFF"/>
        </w:rPr>
        <w:t xml:space="preserve">% compared to the corresponding quarter of the </w:t>
      </w:r>
      <w:r w:rsidRPr="00D508B1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previous year. For the same quarter, the </w:t>
      </w:r>
      <w:r w:rsidRPr="00D508B1">
        <w:rPr>
          <w:rFonts w:ascii="Verdana" w:hAnsi="Verdana"/>
          <w:sz w:val="18"/>
          <w:szCs w:val="18"/>
          <w:shd w:val="clear" w:color="auto" w:fill="FFFFFF"/>
        </w:rPr>
        <w:t xml:space="preserve">Turnover Value Index of Sales and Repair of Motor Vehicles (Division 45) </w:t>
      </w:r>
      <w:r w:rsidR="00FA67BB" w:rsidRPr="00D508B1">
        <w:rPr>
          <w:rFonts w:ascii="Verdana" w:hAnsi="Verdana"/>
          <w:sz w:val="18"/>
          <w:szCs w:val="18"/>
          <w:shd w:val="clear" w:color="auto" w:fill="FFFFFF"/>
        </w:rPr>
        <w:t>remain</w:t>
      </w:r>
      <w:r w:rsidR="00027265">
        <w:rPr>
          <w:rFonts w:ascii="Verdana" w:hAnsi="Verdana"/>
          <w:sz w:val="18"/>
          <w:szCs w:val="18"/>
          <w:shd w:val="clear" w:color="auto" w:fill="FFFFFF"/>
        </w:rPr>
        <w:t xml:space="preserve">ed </w:t>
      </w:r>
      <w:r w:rsidR="00FA67BB" w:rsidRPr="00D508B1">
        <w:rPr>
          <w:rFonts w:ascii="Verdana" w:hAnsi="Verdana"/>
          <w:sz w:val="18"/>
          <w:szCs w:val="18"/>
          <w:shd w:val="clear" w:color="auto" w:fill="FFFFFF"/>
        </w:rPr>
        <w:t xml:space="preserve">stable </w:t>
      </w:r>
      <w:r w:rsidRPr="00D508B1">
        <w:rPr>
          <w:rFonts w:ascii="Verdana" w:hAnsi="Verdana"/>
          <w:sz w:val="18"/>
          <w:szCs w:val="18"/>
          <w:shd w:val="clear" w:color="auto" w:fill="FFFFFF"/>
        </w:rPr>
        <w:t xml:space="preserve">compared to the corresponding quarter of the </w:t>
      </w:r>
      <w:r w:rsidRPr="00D508B1">
        <w:rPr>
          <w:rFonts w:ascii="Verdana" w:hAnsi="Verdana"/>
          <w:sz w:val="18"/>
          <w:szCs w:val="18"/>
          <w:shd w:val="clear" w:color="auto" w:fill="FFFFFF"/>
          <w:lang w:val="en-GB"/>
        </w:rPr>
        <w:t>previous year.</w:t>
      </w:r>
    </w:p>
    <w:p w14:paraId="0DF69803" w14:textId="77777777" w:rsidR="00EB14F2" w:rsidRPr="00D508B1" w:rsidRDefault="00EB14F2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E507192" w14:textId="2D014AFF" w:rsidR="00347397" w:rsidRPr="00D508B1" w:rsidRDefault="00347397" w:rsidP="00347397">
      <w:pPr>
        <w:jc w:val="both"/>
        <w:rPr>
          <w:rFonts w:ascii="Verdana" w:eastAsia="Malgun Gothic" w:hAnsi="Verdana" w:cs="Arial"/>
          <w:sz w:val="18"/>
          <w:szCs w:val="18"/>
        </w:rPr>
      </w:pPr>
      <w:r w:rsidRPr="00D508B1">
        <w:rPr>
          <w:rFonts w:ascii="Verdana" w:hAnsi="Verdana" w:cs="Arial"/>
          <w:sz w:val="18"/>
          <w:szCs w:val="18"/>
        </w:rPr>
        <w:t xml:space="preserve">For the period January-December 2025, </w:t>
      </w:r>
      <w:r w:rsidRPr="00D508B1">
        <w:rPr>
          <w:rFonts w:ascii="Verdana" w:hAnsi="Verdana"/>
          <w:sz w:val="18"/>
          <w:szCs w:val="18"/>
          <w:shd w:val="clear" w:color="auto" w:fill="FFFFFF"/>
        </w:rPr>
        <w:t xml:space="preserve">the Turnover Value Index of Wholesale Trade (Division 46) </w:t>
      </w:r>
      <w:r w:rsidRPr="00D508B1">
        <w:rPr>
          <w:rFonts w:ascii="Verdana" w:hAnsi="Verdana" w:cs="Arial"/>
          <w:sz w:val="18"/>
          <w:szCs w:val="18"/>
        </w:rPr>
        <w:t xml:space="preserve">is estimated to have recorded </w:t>
      </w:r>
      <w:r w:rsidRPr="00D508B1">
        <w:rPr>
          <w:rFonts w:ascii="Verdana" w:hAnsi="Verdana" w:cs="Arial"/>
          <w:sz w:val="18"/>
          <w:szCs w:val="18"/>
          <w:lang w:val="en-GB"/>
        </w:rPr>
        <w:t>an in</w:t>
      </w:r>
      <w:r w:rsidRPr="00D508B1">
        <w:rPr>
          <w:rFonts w:ascii="Verdana" w:hAnsi="Verdana" w:cs="Arial"/>
          <w:sz w:val="18"/>
          <w:szCs w:val="18"/>
        </w:rPr>
        <w:t xml:space="preserve">crease of 5,9% and the </w:t>
      </w:r>
      <w:r w:rsidRPr="00D508B1">
        <w:rPr>
          <w:rFonts w:ascii="Verdana" w:hAnsi="Verdana"/>
          <w:sz w:val="18"/>
          <w:szCs w:val="18"/>
          <w:shd w:val="clear" w:color="auto" w:fill="FFFFFF"/>
        </w:rPr>
        <w:t xml:space="preserve">Turnover Value Index of Sales and Repair of Motor Vehicles (Division 45) </w:t>
      </w:r>
      <w:r w:rsidRPr="00D508B1">
        <w:rPr>
          <w:rFonts w:ascii="Verdana" w:hAnsi="Verdana" w:cs="Arial"/>
          <w:sz w:val="18"/>
          <w:szCs w:val="18"/>
          <w:lang w:val="en-GB"/>
        </w:rPr>
        <w:t>an in</w:t>
      </w:r>
      <w:r w:rsidRPr="00D508B1">
        <w:rPr>
          <w:rFonts w:ascii="Verdana" w:hAnsi="Verdana" w:cs="Arial"/>
          <w:sz w:val="18"/>
          <w:szCs w:val="18"/>
        </w:rPr>
        <w:t>crease of 3,0% compared to the same period of 2024.</w:t>
      </w:r>
    </w:p>
    <w:p w14:paraId="0F21C0C3" w14:textId="77777777" w:rsidR="00347397" w:rsidRPr="004F3436" w:rsidRDefault="00347397" w:rsidP="00347397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007D3AF" w14:textId="5542C8EF" w:rsidR="006E475C" w:rsidRPr="004524B8" w:rsidRDefault="00124503" w:rsidP="00A6175D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noProof/>
          <w:sz w:val="18"/>
          <w:szCs w:val="18"/>
          <w:shd w:val="clear" w:color="auto" w:fill="FFFFFF"/>
        </w:rPr>
        <w:drawing>
          <wp:inline distT="0" distB="0" distL="0" distR="0" wp14:anchorId="20642E5E" wp14:editId="0F915E84">
            <wp:extent cx="6136005" cy="4610100"/>
            <wp:effectExtent l="0" t="0" r="0" b="0"/>
            <wp:docPr id="5497721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05" cy="461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BE7CE" w14:textId="5374C211" w:rsidR="006E475C" w:rsidRPr="00970856" w:rsidRDefault="006E475C" w:rsidP="006E475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2659"/>
        <w:gridCol w:w="1623"/>
        <w:gridCol w:w="275"/>
        <w:gridCol w:w="1878"/>
        <w:gridCol w:w="1982"/>
      </w:tblGrid>
      <w:tr w:rsidR="00A6175D" w:rsidRPr="00A6175D" w14:paraId="3C55FBE5" w14:textId="77777777" w:rsidTr="00A6175D">
        <w:trPr>
          <w:trHeight w:hRule="exact" w:val="239"/>
          <w:jc w:val="center"/>
        </w:trPr>
        <w:tc>
          <w:tcPr>
            <w:tcW w:w="115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bottom"/>
          </w:tcPr>
          <w:p w14:paraId="18B858AA" w14:textId="77777777" w:rsidR="00EB763C" w:rsidRPr="00A6175D" w:rsidRDefault="00EB763C" w:rsidP="000A0A7C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lastRenderedPageBreak/>
              <w:t>Table 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32E315E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E28EB84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12E01746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39E9969F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51442275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3DEAD465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74E30420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44222CDF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E203A8E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57347BB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1293AB60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46223E91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2AC71F76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340EC317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355F1F4D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1D408D90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508396D1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33DB108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50BD6954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0D7EAB2A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4F791019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726B5E81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1C156963" w14:textId="77777777" w:rsidR="00EB763C" w:rsidRPr="00A6175D" w:rsidRDefault="00EB763C" w:rsidP="000A0A7C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C78AB71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A6175D" w:rsidRPr="00A6175D" w14:paraId="150100C2" w14:textId="77777777" w:rsidTr="00A6175D">
        <w:trPr>
          <w:trHeight w:val="479"/>
          <w:jc w:val="center"/>
        </w:trPr>
        <w:tc>
          <w:tcPr>
            <w:tcW w:w="1158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49AD651F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1C0D2371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</w:p>
          <w:p w14:paraId="3F155CF9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2659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319C9BC4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62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01089D7" w14:textId="390B38B0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AB77CA"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75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7584DC90" w14:textId="77777777" w:rsidR="00EB763C" w:rsidRPr="00A6175D" w:rsidRDefault="00EB763C" w:rsidP="000A0A7C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50E69E4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Percentage Change </w:t>
            </w: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A6175D" w:rsidRPr="00A6175D" w14:paraId="37392A6F" w14:textId="77777777" w:rsidTr="00A6175D">
        <w:trPr>
          <w:trHeight w:val="537"/>
          <w:jc w:val="center"/>
        </w:trPr>
        <w:tc>
          <w:tcPr>
            <w:tcW w:w="1158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6286DD67" w14:textId="77777777" w:rsidR="00EB763C" w:rsidRPr="00A6175D" w:rsidRDefault="00EB763C" w:rsidP="000A0A7C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659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6AE8AAD5" w14:textId="77777777" w:rsidR="00EB763C" w:rsidRPr="00A6175D" w:rsidRDefault="00EB763C" w:rsidP="000A0A7C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2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6D0803" w14:textId="1BD51C5A" w:rsidR="001F290D" w:rsidRPr="00A6175D" w:rsidRDefault="00717332" w:rsidP="000A0A7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Oct</w:t>
            </w:r>
            <w:r w:rsidR="00852E95"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</w:t>
            </w:r>
            <w:r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</w:p>
          <w:p w14:paraId="7AEE953A" w14:textId="37E45393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311E8"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75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2DDFC8FC" w14:textId="77777777" w:rsidR="00EB763C" w:rsidRPr="00A6175D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7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D19EFF8" w14:textId="1DD5F87D" w:rsidR="00FA2C56" w:rsidRPr="00A6175D" w:rsidRDefault="00717332" w:rsidP="00FA2C56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Oct</w:t>
            </w:r>
            <w:r w:rsidR="00FA2C56"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</w:t>
            </w:r>
            <w:r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</w:p>
          <w:p w14:paraId="6EEFE943" w14:textId="64495A4C" w:rsidR="00EB763C" w:rsidRPr="00A6175D" w:rsidRDefault="00F80D2E" w:rsidP="0040613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EB763C"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F311E8"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  <w:r w:rsidR="00EB763C"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/</w:t>
            </w:r>
            <w:r w:rsidR="00970C3A"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F311E8"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9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AD2E21C" w14:textId="65192BAF" w:rsidR="00EB763C" w:rsidRPr="00A6175D" w:rsidRDefault="00104587" w:rsidP="00970C3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</w:t>
            </w:r>
            <w:r w:rsidR="00717332"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  <w:r w:rsidRPr="00A617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2025/</w:t>
            </w:r>
            <w:r w:rsidRPr="00A617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2024</w:t>
            </w:r>
          </w:p>
        </w:tc>
      </w:tr>
      <w:tr w:rsidR="00A6175D" w:rsidRPr="00A6175D" w14:paraId="43A1936D" w14:textId="77777777" w:rsidTr="00A6175D">
        <w:trPr>
          <w:trHeight w:val="479"/>
          <w:jc w:val="center"/>
        </w:trPr>
        <w:tc>
          <w:tcPr>
            <w:tcW w:w="115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71DAB48" w14:textId="77777777" w:rsidR="00D00AC4" w:rsidRPr="00A6175D" w:rsidRDefault="00D00AC4" w:rsidP="00D00AC4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45.1</w:t>
            </w:r>
          </w:p>
        </w:tc>
        <w:tc>
          <w:tcPr>
            <w:tcW w:w="265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840C385" w14:textId="77777777" w:rsidR="00D00AC4" w:rsidRPr="00A6175D" w:rsidRDefault="00D00AC4" w:rsidP="00D00AC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6175D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Sale of motor vehicles</w:t>
            </w:r>
          </w:p>
        </w:tc>
        <w:tc>
          <w:tcPr>
            <w:tcW w:w="162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799A168" w14:textId="415838E7" w:rsidR="00D00AC4" w:rsidRPr="00A6175D" w:rsidRDefault="00D00AC4" w:rsidP="00D00AC4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154,5</w:t>
            </w:r>
          </w:p>
        </w:tc>
        <w:tc>
          <w:tcPr>
            <w:tcW w:w="27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BD1CF53" w14:textId="77777777" w:rsidR="00D00AC4" w:rsidRPr="00A6175D" w:rsidRDefault="00D00AC4" w:rsidP="00D00AC4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7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B0B7400" w14:textId="3CD98C3B" w:rsidR="00D00AC4" w:rsidRPr="00A6175D" w:rsidRDefault="00D00AC4" w:rsidP="00A6175D">
            <w:pPr>
              <w:ind w:right="53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-1,8</w:t>
            </w:r>
          </w:p>
        </w:tc>
        <w:tc>
          <w:tcPr>
            <w:tcW w:w="19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16DFD78" w14:textId="00E57A18" w:rsidR="00D00AC4" w:rsidRPr="00A6175D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color w:val="366092"/>
                <w:sz w:val="18"/>
                <w:szCs w:val="18"/>
              </w:rPr>
              <w:t>1,0</w:t>
            </w:r>
          </w:p>
        </w:tc>
      </w:tr>
      <w:tr w:rsidR="00A6175D" w:rsidRPr="00A6175D" w14:paraId="015353A7" w14:textId="77777777" w:rsidTr="00A6175D">
        <w:trPr>
          <w:trHeight w:val="777"/>
          <w:jc w:val="center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1843B" w14:textId="77777777" w:rsidR="00D00AC4" w:rsidRPr="00A6175D" w:rsidRDefault="00D00AC4" w:rsidP="00D00AC4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45.2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A97C9" w14:textId="77777777" w:rsidR="00D00AC4" w:rsidRPr="00A6175D" w:rsidRDefault="00D00AC4" w:rsidP="00D00AC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6175D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Maintenance and repair of motor vehicles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DD761" w14:textId="022D42D5" w:rsidR="00D00AC4" w:rsidRPr="00A6175D" w:rsidRDefault="00D00AC4" w:rsidP="00D00AC4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149,6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8A83" w14:textId="77777777" w:rsidR="00D00AC4" w:rsidRPr="00A6175D" w:rsidRDefault="00D00AC4" w:rsidP="00D00AC4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AC179" w14:textId="7439FC56" w:rsidR="00D00AC4" w:rsidRPr="00A6175D" w:rsidRDefault="00D00AC4" w:rsidP="00A6175D">
            <w:pPr>
              <w:ind w:right="53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4,6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F86E" w14:textId="6F9272D0" w:rsidR="00D00AC4" w:rsidRPr="00A6175D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A6175D" w:rsidRPr="00A6175D" w14:paraId="188D42E3" w14:textId="77777777" w:rsidTr="00A6175D">
        <w:trPr>
          <w:trHeight w:val="777"/>
          <w:jc w:val="center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F047" w14:textId="77777777" w:rsidR="00D00AC4" w:rsidRPr="00A6175D" w:rsidRDefault="00D00AC4" w:rsidP="00D00AC4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45.3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BFFE" w14:textId="77777777" w:rsidR="00D00AC4" w:rsidRPr="00A6175D" w:rsidRDefault="00D00AC4" w:rsidP="00D00AC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6175D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Sale of motor vehicles parts and accessories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3D61" w14:textId="4E83D489" w:rsidR="00D00AC4" w:rsidRPr="00A6175D" w:rsidRDefault="00D00AC4" w:rsidP="00D00AC4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148,1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7E5E" w14:textId="77777777" w:rsidR="00D00AC4" w:rsidRPr="00A6175D" w:rsidRDefault="00D00AC4" w:rsidP="00D00AC4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3A49B" w14:textId="11846E44" w:rsidR="00D00AC4" w:rsidRPr="00A6175D" w:rsidRDefault="00D00AC4" w:rsidP="00A6175D">
            <w:pPr>
              <w:ind w:right="53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-0,1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E9A96" w14:textId="2086EC8A" w:rsidR="00D00AC4" w:rsidRPr="00A6175D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color w:val="366092"/>
                <w:sz w:val="18"/>
                <w:szCs w:val="18"/>
              </w:rPr>
              <w:t>4,3</w:t>
            </w:r>
          </w:p>
        </w:tc>
      </w:tr>
      <w:tr w:rsidR="00A6175D" w:rsidRPr="00A6175D" w14:paraId="478AF249" w14:textId="77777777" w:rsidTr="00A6175D">
        <w:trPr>
          <w:trHeight w:val="1018"/>
          <w:jc w:val="center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BC27F" w14:textId="77777777" w:rsidR="00D00AC4" w:rsidRPr="00A6175D" w:rsidRDefault="00D00AC4" w:rsidP="00D00AC4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45.4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7FA4" w14:textId="77777777" w:rsidR="00D00AC4" w:rsidRPr="00A6175D" w:rsidRDefault="00D00AC4" w:rsidP="00D00AC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6175D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Sale, maintenance and repair of motorcycles and related parts and accessories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A9A03" w14:textId="267F2835" w:rsidR="00D00AC4" w:rsidRPr="00A6175D" w:rsidRDefault="00D00AC4" w:rsidP="00D00AC4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145,8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319FD" w14:textId="77777777" w:rsidR="00D00AC4" w:rsidRPr="00A6175D" w:rsidRDefault="00D00AC4" w:rsidP="00D00AC4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8E1E4" w14:textId="74E8CD65" w:rsidR="00D00AC4" w:rsidRPr="00A6175D" w:rsidRDefault="00D00AC4" w:rsidP="00A6175D">
            <w:pPr>
              <w:ind w:right="53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6,2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EBFA6" w14:textId="221C959A" w:rsidR="00D00AC4" w:rsidRPr="00A6175D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color w:val="366092"/>
                <w:sz w:val="18"/>
                <w:szCs w:val="18"/>
              </w:rPr>
              <w:t>19,2</w:t>
            </w:r>
          </w:p>
        </w:tc>
      </w:tr>
      <w:tr w:rsidR="00A6175D" w:rsidRPr="00A6175D" w14:paraId="6ED19C6C" w14:textId="77777777" w:rsidTr="00A6175D">
        <w:trPr>
          <w:trHeight w:val="118"/>
          <w:jc w:val="center"/>
        </w:trPr>
        <w:tc>
          <w:tcPr>
            <w:tcW w:w="115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87DB017" w14:textId="77777777" w:rsidR="00D00AC4" w:rsidRPr="00A6175D" w:rsidRDefault="00D00AC4" w:rsidP="00D00AC4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8D92677" w14:textId="77777777" w:rsidR="00D00AC4" w:rsidRPr="00A6175D" w:rsidRDefault="00D00AC4" w:rsidP="00D00AC4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DA58157" w14:textId="77777777" w:rsidR="00D00AC4" w:rsidRPr="00A6175D" w:rsidRDefault="00D00AC4" w:rsidP="00D00AC4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5FC5D6" w14:textId="77777777" w:rsidR="00D00AC4" w:rsidRPr="00A6175D" w:rsidRDefault="00D00AC4" w:rsidP="00D00AC4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359DC7" w14:textId="77777777" w:rsidR="00D00AC4" w:rsidRPr="00A6175D" w:rsidRDefault="00D00AC4" w:rsidP="00A6175D">
            <w:pPr>
              <w:ind w:right="539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DF29882" w14:textId="77777777" w:rsidR="00D00AC4" w:rsidRPr="00A6175D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A6175D" w:rsidRPr="00A6175D" w14:paraId="39504C8E" w14:textId="77777777" w:rsidTr="00A6175D">
        <w:trPr>
          <w:trHeight w:val="1018"/>
          <w:jc w:val="center"/>
        </w:trPr>
        <w:tc>
          <w:tcPr>
            <w:tcW w:w="115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A6ADC55" w14:textId="77777777" w:rsidR="00D00AC4" w:rsidRPr="00A6175D" w:rsidRDefault="00D00AC4" w:rsidP="00D00AC4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617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45</w:t>
            </w:r>
          </w:p>
        </w:tc>
        <w:tc>
          <w:tcPr>
            <w:tcW w:w="265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093A7E1" w14:textId="77777777" w:rsidR="00D00AC4" w:rsidRPr="00A6175D" w:rsidRDefault="00D00AC4" w:rsidP="00D00AC4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A617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WHOLESALE AND RETAIL TRADE AND REPAIR OF MOTOR VEHICLES</w:t>
            </w:r>
          </w:p>
        </w:tc>
        <w:tc>
          <w:tcPr>
            <w:tcW w:w="162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B9C5E71" w14:textId="572625BA" w:rsidR="00D00AC4" w:rsidRPr="00A6175D" w:rsidRDefault="00D00AC4" w:rsidP="00D00AC4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151,9</w:t>
            </w:r>
          </w:p>
        </w:tc>
        <w:tc>
          <w:tcPr>
            <w:tcW w:w="27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8E0110E" w14:textId="77777777" w:rsidR="00D00AC4" w:rsidRPr="00A6175D" w:rsidRDefault="00D00AC4" w:rsidP="00D00AC4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6FB3799" w14:textId="3A0E5CDD" w:rsidR="00D00AC4" w:rsidRPr="00A6175D" w:rsidRDefault="00D00AC4" w:rsidP="00A6175D">
            <w:pPr>
              <w:ind w:right="539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0,0</w:t>
            </w:r>
          </w:p>
        </w:tc>
        <w:tc>
          <w:tcPr>
            <w:tcW w:w="19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E90EFE8" w14:textId="540D573C" w:rsidR="00D00AC4" w:rsidRPr="00A6175D" w:rsidRDefault="00D00AC4" w:rsidP="00D00AC4">
            <w:pPr>
              <w:ind w:right="62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A6175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3,0</w:t>
            </w:r>
          </w:p>
        </w:tc>
      </w:tr>
    </w:tbl>
    <w:p w14:paraId="04CFE880" w14:textId="540AA781" w:rsidR="00EB763C" w:rsidRDefault="00EB763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37C8DDC0" w14:textId="2FEFD915" w:rsidR="004F6CD3" w:rsidRDefault="004F6CD3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F67B54D" w14:textId="68A30710" w:rsidR="004F6CD3" w:rsidRDefault="004F6CD3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152E493" w14:textId="77777777" w:rsidR="004F6CD3" w:rsidRDefault="004F6CD3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C95C5CF" w14:textId="68D250B7" w:rsidR="00EB763C" w:rsidRDefault="00EB763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853"/>
        <w:gridCol w:w="1611"/>
        <w:gridCol w:w="276"/>
        <w:gridCol w:w="1920"/>
        <w:gridCol w:w="1812"/>
      </w:tblGrid>
      <w:tr w:rsidR="0013119F" w:rsidRPr="0013119F" w14:paraId="2FF49F2A" w14:textId="77777777" w:rsidTr="00A6175D">
        <w:trPr>
          <w:trHeight w:val="242"/>
          <w:jc w:val="center"/>
        </w:trPr>
        <w:tc>
          <w:tcPr>
            <w:tcW w:w="11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5E0DCD" w14:textId="77777777" w:rsidR="004F6CD3" w:rsidRPr="0013119F" w:rsidRDefault="004F6CD3" w:rsidP="000A0A7C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D444C83" w14:textId="77777777" w:rsidR="004F6CD3" w:rsidRPr="0013119F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03822AC" w14:textId="77777777" w:rsidR="004F6CD3" w:rsidRPr="0013119F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2496D53C" w14:textId="77777777" w:rsidR="004F6CD3" w:rsidRPr="0013119F" w:rsidRDefault="004F6CD3" w:rsidP="000A0A7C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7F33D7" w14:textId="77777777" w:rsidR="004F6CD3" w:rsidRPr="0013119F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13119F" w:rsidRPr="0013119F" w14:paraId="582BA5D7" w14:textId="77777777" w:rsidTr="00A6175D">
        <w:trPr>
          <w:trHeight w:val="487"/>
          <w:jc w:val="center"/>
        </w:trPr>
        <w:tc>
          <w:tcPr>
            <w:tcW w:w="118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68AE2DA" w14:textId="77777777" w:rsidR="004F6CD3" w:rsidRPr="0013119F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292DA1CF" w14:textId="77777777" w:rsidR="004F6CD3" w:rsidRPr="0013119F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</w:p>
          <w:p w14:paraId="56A54928" w14:textId="77777777" w:rsidR="004F6CD3" w:rsidRPr="0013119F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2853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DF45DE6" w14:textId="77777777" w:rsidR="004F6CD3" w:rsidRPr="0013119F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6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2C2F647" w14:textId="66E2E259" w:rsidR="004F6CD3" w:rsidRPr="0013119F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AB77CA"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76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C6EE4B3" w14:textId="77777777" w:rsidR="004F6CD3" w:rsidRPr="0013119F" w:rsidRDefault="004F6CD3" w:rsidP="000A0A7C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32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54877E0" w14:textId="77777777" w:rsidR="004F6CD3" w:rsidRPr="0013119F" w:rsidRDefault="004F6CD3" w:rsidP="000A0A7C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Percentage Change </w:t>
            </w: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13119F" w:rsidRPr="0013119F" w14:paraId="7F712727" w14:textId="77777777" w:rsidTr="00A6175D">
        <w:trPr>
          <w:trHeight w:val="548"/>
          <w:jc w:val="center"/>
        </w:trPr>
        <w:tc>
          <w:tcPr>
            <w:tcW w:w="1180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D85FE4D" w14:textId="77777777" w:rsidR="009801BB" w:rsidRPr="0013119F" w:rsidRDefault="009801BB" w:rsidP="009801BB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53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3879979B" w14:textId="77777777" w:rsidR="009801BB" w:rsidRPr="0013119F" w:rsidRDefault="009801BB" w:rsidP="009801BB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3DD7BF5" w14:textId="47954BA5" w:rsidR="00FA2C56" w:rsidRPr="0013119F" w:rsidRDefault="00717332" w:rsidP="00FA2C56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Oct</w:t>
            </w:r>
            <w:r w:rsidR="00FA2C56" w:rsidRPr="0013119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</w:p>
          <w:p w14:paraId="2BB9E1A9" w14:textId="420D0DDF" w:rsidR="009801BB" w:rsidRPr="0013119F" w:rsidRDefault="00104587" w:rsidP="0010458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3119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13119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76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1512EDC2" w14:textId="77777777" w:rsidR="009801BB" w:rsidRPr="0013119F" w:rsidRDefault="009801BB" w:rsidP="009801B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2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2AD2F5" w14:textId="497571EB" w:rsidR="00FA2C56" w:rsidRPr="0013119F" w:rsidRDefault="00717332" w:rsidP="00FA2C56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Oct</w:t>
            </w:r>
            <w:r w:rsidR="00FA2C56" w:rsidRPr="0013119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</w:p>
          <w:p w14:paraId="064E32D9" w14:textId="05A59AA8" w:rsidR="009801BB" w:rsidRPr="0013119F" w:rsidRDefault="00104587" w:rsidP="009801B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3119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2025/</w:t>
            </w: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2024</w:t>
            </w:r>
          </w:p>
        </w:tc>
        <w:tc>
          <w:tcPr>
            <w:tcW w:w="18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E0B3807" w14:textId="5A094DF3" w:rsidR="009801BB" w:rsidRPr="0013119F" w:rsidRDefault="00104587" w:rsidP="009801BB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</w:t>
            </w:r>
            <w:r w:rsidR="0071733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  <w:r w:rsidRPr="0013119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2025/</w:t>
            </w:r>
            <w:r w:rsidRPr="0013119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2024</w:t>
            </w:r>
          </w:p>
        </w:tc>
      </w:tr>
      <w:tr w:rsidR="00D00AC4" w:rsidRPr="0013119F" w14:paraId="248286BE" w14:textId="77777777" w:rsidTr="00A6175D">
        <w:trPr>
          <w:trHeight w:val="737"/>
          <w:jc w:val="center"/>
        </w:trPr>
        <w:tc>
          <w:tcPr>
            <w:tcW w:w="11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2F7FADE" w14:textId="77777777" w:rsidR="00D00AC4" w:rsidRPr="0013119F" w:rsidRDefault="00D00AC4" w:rsidP="00D00AC4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46.1</w:t>
            </w:r>
          </w:p>
        </w:tc>
        <w:tc>
          <w:tcPr>
            <w:tcW w:w="285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E5FE3E6" w14:textId="77777777" w:rsidR="00D00AC4" w:rsidRPr="0013119F" w:rsidRDefault="00D00AC4" w:rsidP="00D00AC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on a fee or contract basis</w:t>
            </w:r>
          </w:p>
        </w:tc>
        <w:tc>
          <w:tcPr>
            <w:tcW w:w="16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FB6D2CE" w14:textId="6A6950F7" w:rsidR="00D00AC4" w:rsidRPr="0013119F" w:rsidRDefault="00D00AC4" w:rsidP="00D00AC4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118,4</w:t>
            </w:r>
          </w:p>
        </w:tc>
        <w:tc>
          <w:tcPr>
            <w:tcW w:w="27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C22A89" w14:textId="77777777" w:rsidR="00D00AC4" w:rsidRPr="0013119F" w:rsidRDefault="00D00AC4" w:rsidP="00D00AC4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AE6B3CB" w14:textId="60F01EA6" w:rsidR="00D00AC4" w:rsidRPr="0013119F" w:rsidRDefault="00D00AC4" w:rsidP="00A6175D">
            <w:pPr>
              <w:ind w:right="63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-4,5</w:t>
            </w:r>
          </w:p>
        </w:tc>
        <w:tc>
          <w:tcPr>
            <w:tcW w:w="181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F8C4D68" w14:textId="76D4A576" w:rsidR="00D00AC4" w:rsidRPr="0013119F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-8,7</w:t>
            </w:r>
          </w:p>
        </w:tc>
      </w:tr>
      <w:tr w:rsidR="00D00AC4" w:rsidRPr="0013119F" w14:paraId="3C095E89" w14:textId="77777777" w:rsidTr="00A6175D">
        <w:trPr>
          <w:trHeight w:val="737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7F972" w14:textId="77777777" w:rsidR="00D00AC4" w:rsidRPr="0013119F" w:rsidRDefault="00D00AC4" w:rsidP="00D00AC4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46.2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5CC3" w14:textId="77777777" w:rsidR="00D00AC4" w:rsidRPr="0013119F" w:rsidRDefault="00D00AC4" w:rsidP="00D00AC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agriculture raw materials and live animals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7038" w14:textId="6723F93C" w:rsidR="00D00AC4" w:rsidRPr="0013119F" w:rsidRDefault="00D00AC4" w:rsidP="00D00AC4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95,3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5E3D8" w14:textId="77777777" w:rsidR="00D00AC4" w:rsidRPr="0013119F" w:rsidRDefault="00D00AC4" w:rsidP="00D00AC4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2A498" w14:textId="045C1500" w:rsidR="00D00AC4" w:rsidRPr="0013119F" w:rsidRDefault="00D00AC4" w:rsidP="00A6175D">
            <w:pPr>
              <w:ind w:right="63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14,7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2DDE" w14:textId="5B9E41D1" w:rsidR="00D00AC4" w:rsidRPr="0013119F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8,6</w:t>
            </w:r>
          </w:p>
        </w:tc>
      </w:tr>
      <w:tr w:rsidR="00D00AC4" w:rsidRPr="0013119F" w14:paraId="2F3F720D" w14:textId="77777777" w:rsidTr="00A6175D">
        <w:trPr>
          <w:trHeight w:val="737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9326" w14:textId="77777777" w:rsidR="00D00AC4" w:rsidRPr="0013119F" w:rsidRDefault="00D00AC4" w:rsidP="00D00AC4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46.3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5E96E" w14:textId="77777777" w:rsidR="00D00AC4" w:rsidRPr="0013119F" w:rsidRDefault="00D00AC4" w:rsidP="00D00AC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food, beverages and tobacco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8E584" w14:textId="500BF3E3" w:rsidR="00D00AC4" w:rsidRPr="0013119F" w:rsidRDefault="00D00AC4" w:rsidP="00D00AC4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140,6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A00E0" w14:textId="77777777" w:rsidR="00D00AC4" w:rsidRPr="0013119F" w:rsidRDefault="00D00AC4" w:rsidP="00D00AC4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5809" w14:textId="6A62E16B" w:rsidR="00D00AC4" w:rsidRPr="0013119F" w:rsidRDefault="00D00AC4" w:rsidP="00A6175D">
            <w:pPr>
              <w:ind w:right="63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5,8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E0FC2" w14:textId="6E6EAE65" w:rsidR="00D00AC4" w:rsidRPr="0013119F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D00AC4" w:rsidRPr="0013119F" w14:paraId="375BDCD4" w14:textId="77777777" w:rsidTr="00A6175D">
        <w:trPr>
          <w:trHeight w:val="608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717C4" w14:textId="77777777" w:rsidR="00D00AC4" w:rsidRPr="0013119F" w:rsidRDefault="00D00AC4" w:rsidP="00D00AC4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46.4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79924" w14:textId="77777777" w:rsidR="00D00AC4" w:rsidRPr="0013119F" w:rsidRDefault="00D00AC4" w:rsidP="00D00AC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household goods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AB2DF" w14:textId="5B4C637E" w:rsidR="00D00AC4" w:rsidRPr="0013119F" w:rsidRDefault="00D00AC4" w:rsidP="00D00AC4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168,8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0913" w14:textId="77777777" w:rsidR="00D00AC4" w:rsidRPr="0013119F" w:rsidRDefault="00D00AC4" w:rsidP="00D00AC4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2059B" w14:textId="1C58A464" w:rsidR="00D00AC4" w:rsidRPr="0013119F" w:rsidRDefault="00D00AC4" w:rsidP="00A6175D">
            <w:pPr>
              <w:ind w:right="63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14,8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DCDC6" w14:textId="0FA75291" w:rsidR="00D00AC4" w:rsidRPr="0013119F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11,0</w:t>
            </w:r>
          </w:p>
        </w:tc>
      </w:tr>
      <w:tr w:rsidR="00D00AC4" w:rsidRPr="0013119F" w14:paraId="64DDE066" w14:textId="77777777" w:rsidTr="00A6175D">
        <w:trPr>
          <w:trHeight w:val="737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377D2" w14:textId="77777777" w:rsidR="00D00AC4" w:rsidRPr="0013119F" w:rsidRDefault="00D00AC4" w:rsidP="00D00AC4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46.5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8A615" w14:textId="77777777" w:rsidR="00D00AC4" w:rsidRPr="0013119F" w:rsidRDefault="00D00AC4" w:rsidP="00D00AC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information and communication equipment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83199" w14:textId="16195C14" w:rsidR="00D00AC4" w:rsidRPr="0013119F" w:rsidRDefault="00D00AC4" w:rsidP="00D00AC4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160,6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37660" w14:textId="77777777" w:rsidR="00D00AC4" w:rsidRPr="0013119F" w:rsidRDefault="00D00AC4" w:rsidP="00D00AC4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118C4" w14:textId="7EB04791" w:rsidR="00D00AC4" w:rsidRPr="0013119F" w:rsidRDefault="00D00AC4" w:rsidP="00A6175D">
            <w:pPr>
              <w:ind w:right="63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11,2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F383" w14:textId="4BB67F49" w:rsidR="00D00AC4" w:rsidRPr="0013119F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9,4</w:t>
            </w:r>
          </w:p>
        </w:tc>
      </w:tr>
      <w:tr w:rsidR="00D00AC4" w:rsidRPr="0013119F" w14:paraId="2C9F43AC" w14:textId="77777777" w:rsidTr="00A6175D">
        <w:trPr>
          <w:trHeight w:val="737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93E7" w14:textId="77777777" w:rsidR="00D00AC4" w:rsidRPr="0013119F" w:rsidRDefault="00D00AC4" w:rsidP="00D00AC4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46.6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DF82" w14:textId="77777777" w:rsidR="00D00AC4" w:rsidRPr="0013119F" w:rsidRDefault="00D00AC4" w:rsidP="00D00AC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other machinery, equipment and supplies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F48DC" w14:textId="68A84106" w:rsidR="00D00AC4" w:rsidRPr="0013119F" w:rsidRDefault="00D00AC4" w:rsidP="00D00AC4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138,0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AD019" w14:textId="77777777" w:rsidR="00D00AC4" w:rsidRPr="0013119F" w:rsidRDefault="00D00AC4" w:rsidP="00D00AC4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476B" w14:textId="60D76A1E" w:rsidR="00D00AC4" w:rsidRPr="0013119F" w:rsidRDefault="00D00AC4" w:rsidP="00A6175D">
            <w:pPr>
              <w:ind w:right="63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6,7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6A2C6" w14:textId="430EF9E8" w:rsidR="00D00AC4" w:rsidRPr="0013119F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6,5</w:t>
            </w:r>
          </w:p>
        </w:tc>
      </w:tr>
      <w:tr w:rsidR="00D00AC4" w:rsidRPr="0013119F" w14:paraId="3A5C3424" w14:textId="77777777" w:rsidTr="00A6175D">
        <w:trPr>
          <w:trHeight w:val="608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EABC" w14:textId="77777777" w:rsidR="00D00AC4" w:rsidRPr="0013119F" w:rsidRDefault="00D00AC4" w:rsidP="00D00AC4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46.7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1128D" w14:textId="77777777" w:rsidR="00D00AC4" w:rsidRPr="0013119F" w:rsidRDefault="00D00AC4" w:rsidP="00D00AC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specialized wholesale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18690" w14:textId="0A6AE6CA" w:rsidR="00D00AC4" w:rsidRPr="0013119F" w:rsidRDefault="00D00AC4" w:rsidP="00D00AC4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145,9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405E6" w14:textId="77777777" w:rsidR="00D00AC4" w:rsidRPr="0013119F" w:rsidRDefault="00D00AC4" w:rsidP="00D00AC4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1C40" w14:textId="0CF4E781" w:rsidR="00D00AC4" w:rsidRPr="0013119F" w:rsidRDefault="00D00AC4" w:rsidP="00A6175D">
            <w:pPr>
              <w:ind w:right="63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8,4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F98F7" w14:textId="2A61FB0F" w:rsidR="00D00AC4" w:rsidRPr="0013119F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1,9</w:t>
            </w:r>
          </w:p>
        </w:tc>
      </w:tr>
      <w:tr w:rsidR="00D00AC4" w:rsidRPr="0013119F" w14:paraId="627807E6" w14:textId="77777777" w:rsidTr="00A6175D">
        <w:trPr>
          <w:trHeight w:val="608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91F04" w14:textId="77777777" w:rsidR="00D00AC4" w:rsidRPr="0013119F" w:rsidRDefault="00D00AC4" w:rsidP="00D00AC4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46.9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7E9C4" w14:textId="77777777" w:rsidR="00D00AC4" w:rsidRPr="0013119F" w:rsidRDefault="00D00AC4" w:rsidP="00D00AC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Non-specialized wholesale</w:t>
            </w: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r w:rsidRPr="0013119F">
              <w:rPr>
                <w:rFonts w:ascii="Verdana" w:eastAsia="Times New Roman" w:hAnsi="Verdana" w:cs="Arial"/>
                <w:color w:val="366092"/>
                <w:sz w:val="18"/>
                <w:szCs w:val="18"/>
                <w:lang w:val="en-GB"/>
              </w:rPr>
              <w:t>trade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F439" w14:textId="0CA171ED" w:rsidR="00D00AC4" w:rsidRPr="0013119F" w:rsidRDefault="00D00AC4" w:rsidP="00D00AC4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141,4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F764" w14:textId="77777777" w:rsidR="00D00AC4" w:rsidRPr="0013119F" w:rsidRDefault="00D00AC4" w:rsidP="00D00AC4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77227" w14:textId="0C4AA0BC" w:rsidR="00D00AC4" w:rsidRPr="0013119F" w:rsidRDefault="00D00AC4" w:rsidP="00A6175D">
            <w:pPr>
              <w:ind w:right="63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7,0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2E5D6" w14:textId="26050BEA" w:rsidR="00D00AC4" w:rsidRPr="0013119F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7,5</w:t>
            </w:r>
          </w:p>
        </w:tc>
      </w:tr>
      <w:tr w:rsidR="00D00AC4" w:rsidRPr="0013119F" w14:paraId="393611ED" w14:textId="77777777" w:rsidTr="00A6175D">
        <w:trPr>
          <w:trHeight w:val="120"/>
          <w:jc w:val="center"/>
        </w:trPr>
        <w:tc>
          <w:tcPr>
            <w:tcW w:w="11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D3F57F" w14:textId="77777777" w:rsidR="00D00AC4" w:rsidRPr="0013119F" w:rsidRDefault="00D00AC4" w:rsidP="00D00AC4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B7DD50A" w14:textId="77777777" w:rsidR="00D00AC4" w:rsidRPr="0013119F" w:rsidRDefault="00D00AC4" w:rsidP="00D00AC4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562BA8D" w14:textId="77777777" w:rsidR="00D00AC4" w:rsidRPr="0013119F" w:rsidRDefault="00D00AC4" w:rsidP="00D00AC4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79B6581" w14:textId="77777777" w:rsidR="00D00AC4" w:rsidRPr="0013119F" w:rsidRDefault="00D00AC4" w:rsidP="00D00AC4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F91B4C4" w14:textId="77777777" w:rsidR="00D00AC4" w:rsidRPr="0013119F" w:rsidRDefault="00D00AC4" w:rsidP="00A6175D">
            <w:pPr>
              <w:ind w:right="63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3D0B82B" w14:textId="77777777" w:rsidR="00D00AC4" w:rsidRPr="0013119F" w:rsidRDefault="00D00AC4" w:rsidP="00D00AC4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D00AC4" w:rsidRPr="0013119F" w14:paraId="3344D9F9" w14:textId="77777777" w:rsidTr="00A6175D">
        <w:trPr>
          <w:trHeight w:val="791"/>
          <w:jc w:val="center"/>
        </w:trPr>
        <w:tc>
          <w:tcPr>
            <w:tcW w:w="11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A5A95CD" w14:textId="77777777" w:rsidR="00D00AC4" w:rsidRPr="0013119F" w:rsidRDefault="00D00AC4" w:rsidP="00D00AC4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3119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46</w:t>
            </w:r>
          </w:p>
        </w:tc>
        <w:tc>
          <w:tcPr>
            <w:tcW w:w="285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31B81C" w14:textId="77777777" w:rsidR="00D00AC4" w:rsidRPr="0013119F" w:rsidRDefault="00D00AC4" w:rsidP="00D00AC4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13119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WHOLESALE TRADE, EXCEPT OF MOTOR VEHICLES</w:t>
            </w:r>
          </w:p>
        </w:tc>
        <w:tc>
          <w:tcPr>
            <w:tcW w:w="16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E70CD74" w14:textId="5BDF8F9F" w:rsidR="00D00AC4" w:rsidRPr="0013119F" w:rsidRDefault="00D00AC4" w:rsidP="00D00AC4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147,8</w:t>
            </w:r>
          </w:p>
        </w:tc>
        <w:tc>
          <w:tcPr>
            <w:tcW w:w="27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886DFB0" w14:textId="77777777" w:rsidR="00D00AC4" w:rsidRPr="0013119F" w:rsidRDefault="00D00AC4" w:rsidP="00D00AC4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404936" w14:textId="4ADA1320" w:rsidR="00D00AC4" w:rsidRPr="0013119F" w:rsidRDefault="00D00AC4" w:rsidP="00A6175D">
            <w:pPr>
              <w:ind w:right="63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9,3</w:t>
            </w:r>
          </w:p>
        </w:tc>
        <w:tc>
          <w:tcPr>
            <w:tcW w:w="18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2459A7F" w14:textId="2B1C7E28" w:rsidR="00D00AC4" w:rsidRPr="0013119F" w:rsidRDefault="00D00AC4" w:rsidP="00D00AC4">
            <w:pPr>
              <w:ind w:right="62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5,9</w:t>
            </w:r>
          </w:p>
        </w:tc>
      </w:tr>
    </w:tbl>
    <w:p w14:paraId="60D7E117" w14:textId="77777777" w:rsidR="006E475C" w:rsidRPr="004F6CD3" w:rsidRDefault="006E475C" w:rsidP="004F6CD3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6FF226A" w14:textId="63AAF8BF" w:rsidR="006E475C" w:rsidRDefault="006E475C" w:rsidP="006E475C">
      <w:pPr>
        <w:tabs>
          <w:tab w:val="left" w:pos="885"/>
        </w:tabs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47230A1" w14:textId="77777777" w:rsidR="006E475C" w:rsidRPr="00970856" w:rsidRDefault="006E475C" w:rsidP="006E475C">
      <w:pPr>
        <w:jc w:val="center"/>
        <w:rPr>
          <w:rFonts w:ascii="Verdana" w:eastAsia="Malgun Gothic" w:hAnsi="Verdana" w:cs="Arial"/>
          <w:b/>
          <w:u w:val="single"/>
        </w:rPr>
      </w:pPr>
      <w:r w:rsidRPr="00970856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5BC0823A" w14:textId="77777777" w:rsidR="006E475C" w:rsidRDefault="006E475C" w:rsidP="006E475C">
      <w:pPr>
        <w:jc w:val="center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33B808B9" w14:textId="77777777" w:rsidR="00A6175D" w:rsidRPr="00970856" w:rsidRDefault="00A6175D" w:rsidP="006E475C">
      <w:pPr>
        <w:jc w:val="center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50D7BFB0" w14:textId="5C884531" w:rsidR="006E475C" w:rsidRPr="00970856" w:rsidRDefault="006E475C" w:rsidP="006E475C">
      <w:pPr>
        <w:jc w:val="both"/>
        <w:rPr>
          <w:rFonts w:ascii="Verdana" w:eastAsia="Times New Roman" w:hAnsi="Verdana" w:cs="Arial"/>
          <w:b/>
          <w:bCs/>
          <w:sz w:val="18"/>
          <w:szCs w:val="18"/>
          <w:u w:val="single"/>
          <w:shd w:val="clear" w:color="auto" w:fill="FFFFFF"/>
        </w:rPr>
      </w:pPr>
      <w:r w:rsidRPr="00970856">
        <w:rPr>
          <w:rFonts w:ascii="Verdana" w:eastAsia="Times New Roman" w:hAnsi="Verdana" w:cs="Arial"/>
          <w:b/>
          <w:bCs/>
          <w:sz w:val="18"/>
          <w:szCs w:val="18"/>
          <w:u w:val="single"/>
          <w:shd w:val="clear" w:color="auto" w:fill="FFFFFF"/>
        </w:rPr>
        <w:t xml:space="preserve">Scope and </w:t>
      </w:r>
      <w:r w:rsidR="007B36E4">
        <w:rPr>
          <w:rFonts w:ascii="Verdana" w:eastAsia="Times New Roman" w:hAnsi="Verdana" w:cs="Arial"/>
          <w:b/>
          <w:bCs/>
          <w:sz w:val="18"/>
          <w:szCs w:val="18"/>
          <w:u w:val="single"/>
          <w:shd w:val="clear" w:color="auto" w:fill="FFFFFF"/>
        </w:rPr>
        <w:t>C</w:t>
      </w:r>
      <w:r w:rsidRPr="00970856">
        <w:rPr>
          <w:rFonts w:ascii="Verdana" w:eastAsia="Times New Roman" w:hAnsi="Verdana" w:cs="Arial"/>
          <w:b/>
          <w:bCs/>
          <w:sz w:val="18"/>
          <w:szCs w:val="18"/>
          <w:u w:val="single"/>
          <w:shd w:val="clear" w:color="auto" w:fill="FFFFFF"/>
        </w:rPr>
        <w:t>overage</w:t>
      </w:r>
    </w:p>
    <w:p w14:paraId="7FE1B3B4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0B7FF66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The purpose of the Turnover Value Indices is to monitor short-term developments classified under Division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s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45 </w:t>
      </w:r>
      <w:r w:rsidRPr="00CA693B">
        <w:rPr>
          <w:rFonts w:ascii="Verdana" w:eastAsia="Times New Roman" w:hAnsi="Verdana" w:cs="Arial"/>
          <w:sz w:val="18"/>
          <w:szCs w:val="18"/>
          <w:shd w:val="clear" w:color="auto" w:fill="FFFFFF"/>
        </w:rPr>
        <w:t>(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Sales and Repair of Motor Vehicles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)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and 46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(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Wholesale Trade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)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of the Statistical Classification of Economic Activities of the European Union NACE Rev.2. Turnover comprises the total amounts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invoiced by an 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enterprise during the reference period </w:t>
      </w:r>
      <w:r w:rsidRPr="003D1D1C">
        <w:rPr>
          <w:rFonts w:ascii="Verdana" w:hAnsi="Verdana"/>
          <w:sz w:val="18"/>
          <w:szCs w:val="18"/>
        </w:rPr>
        <w:t>and this corresponds to</w:t>
      </w:r>
      <w:r>
        <w:rPr>
          <w:rFonts w:ascii="Verdana" w:hAnsi="Verdana"/>
          <w:sz w:val="18"/>
          <w:szCs w:val="18"/>
        </w:rPr>
        <w:t xml:space="preserve"> the </w:t>
      </w:r>
      <w:r w:rsidRPr="003D1D1C">
        <w:rPr>
          <w:rFonts w:ascii="Verdana" w:hAnsi="Verdana"/>
          <w:sz w:val="18"/>
          <w:szCs w:val="18"/>
        </w:rPr>
        <w:t>market sales of goods and services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, excluding VAT but including other duties and taxes on the goods.</w:t>
      </w:r>
    </w:p>
    <w:p w14:paraId="4105655E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70E8CD6" w14:textId="2FBB87B7" w:rsidR="006E475C" w:rsidRPr="00970856" w:rsidRDefault="006E475C" w:rsidP="006E475C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7B36E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543D9E5F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5AF177EE" w14:textId="2CBFE63D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Statistical Service collects data monthly by telephone enquiries or e-mail. Data collection starts five days after the end of the reference period and is usually completed within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forty-five days</w:t>
      </w:r>
      <w:r w:rsidRPr="001665D9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7C92C1FE" w14:textId="77777777" w:rsidR="006E475C" w:rsidRPr="00970856" w:rsidRDefault="006E475C" w:rsidP="006E475C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252939FE" w14:textId="69FA30DD" w:rsidR="006E475C" w:rsidRPr="00970856" w:rsidRDefault="006E475C" w:rsidP="006E475C">
      <w:pPr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7B36E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7B36E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7B36E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39A27D8C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9B72726" w14:textId="00245B71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ices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are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C333A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they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 the quarterly changes in Turnover in relation to the quarterly Turnover average of the year 20</w:t>
      </w:r>
      <w:r w:rsidR="00C333A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In the base year, the average of the Turnover indices for the four quarters is 100,0. For example, a quarterly Turnover index of 105,3 means that the Turnover for the specific quarter has increased by 5,3% in relation to the average quarterly Turnover of 20</w:t>
      </w:r>
      <w:r w:rsidR="00FC3D6D" w:rsidRPr="00FC3D6D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</w:t>
      </w:r>
      <w:r w:rsidR="00FC3D6D" w:rsidRPr="0005349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ices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are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calculated at current prices.</w:t>
      </w:r>
    </w:p>
    <w:p w14:paraId="726594A0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E03A454" w14:textId="392C32E8" w:rsidR="006E475C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Indices are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 weighted average of the Turnover indices of the various Groups (subsets of activities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within the Division)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 as defined in NACE 2. The weights used are derived from the results of the annual Wholesale and Retail Trade Survey in the base year (20</w:t>
      </w:r>
      <w:r w:rsidR="00C333A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) and reflect the share of Turnover of each Group in relation to the total turnover of the activities of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Division.</w:t>
      </w:r>
    </w:p>
    <w:p w14:paraId="2CC3FB11" w14:textId="77777777" w:rsidR="006E475C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758378C4" w14:textId="26CA3312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The compilation of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ices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follows </w:t>
      </w:r>
      <w:r w:rsidRPr="00FC3D6D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provisions of Regulation (EU) 2019/2152 on European business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statistics. The Indices are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transmitted</w:t>
      </w:r>
      <w:r w:rsidR="00963B69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</w:t>
      </w:r>
      <w:r w:rsidRPr="00B94B86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to the Statistical Office of the European Union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ices are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their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.</w:t>
      </w:r>
    </w:p>
    <w:p w14:paraId="4FBCDCE1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B729050" w14:textId="77777777" w:rsidR="006E475C" w:rsidRPr="00970856" w:rsidRDefault="006E475C" w:rsidP="006E475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1517081C" w14:textId="77777777" w:rsidR="006E475C" w:rsidRPr="00C40E2B" w:rsidRDefault="006E475C" w:rsidP="006E475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2F9ED2BE" w14:textId="19A57B0C" w:rsidR="006E475C" w:rsidRDefault="006E475C" w:rsidP="006E475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9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1D535DE5" w14:textId="4D20BD48" w:rsidR="00737136" w:rsidRDefault="00737136" w:rsidP="00737136">
      <w:pPr>
        <w:rPr>
          <w:color w:val="000000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</w:t>
        </w:r>
        <w:r>
          <w:rPr>
            <w:rStyle w:val="Hyperlink"/>
            <w:rFonts w:ascii="Verdana" w:hAnsi="Verdana"/>
            <w:sz w:val="18"/>
            <w:szCs w:val="18"/>
          </w:rPr>
          <w:t>T</w:t>
        </w:r>
        <w:r>
          <w:rPr>
            <w:rStyle w:val="Hyperlink"/>
            <w:rFonts w:ascii="Verdana" w:hAnsi="Verdana"/>
            <w:sz w:val="18"/>
            <w:szCs w:val="18"/>
          </w:rPr>
          <w:t>-DB</w:t>
        </w:r>
      </w:hyperlink>
      <w:r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7B07A22E" w14:textId="77777777" w:rsidR="006E475C" w:rsidRPr="003971EB" w:rsidRDefault="006E475C" w:rsidP="006E475C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F04A35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Pr="00040F97">
        <w:rPr>
          <w:rFonts w:ascii="Verdana" w:hAnsi="Verdana"/>
          <w:sz w:val="18"/>
          <w:szCs w:val="18"/>
        </w:rPr>
        <w:t xml:space="preserve"> (Excel)</w:t>
      </w:r>
      <w:r w:rsidRPr="003971EB">
        <w:rPr>
          <w:rFonts w:ascii="Verdana" w:hAnsi="Verdana"/>
          <w:sz w:val="18"/>
          <w:szCs w:val="18"/>
        </w:rPr>
        <w:t xml:space="preserve"> </w:t>
      </w:r>
    </w:p>
    <w:p w14:paraId="6EE5B2C6" w14:textId="5408DD71" w:rsidR="006E475C" w:rsidRDefault="00757BB1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hyperlink r:id="rId12" w:history="1">
        <w:r w:rsidRPr="00757BB1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Methodological Information</w:t>
        </w:r>
      </w:hyperlink>
    </w:p>
    <w:p w14:paraId="159F196D" w14:textId="139F2857" w:rsidR="006E693A" w:rsidRDefault="006E693A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77E2075" w14:textId="6CB02016" w:rsidR="00C333A6" w:rsidRDefault="00C333A6" w:rsidP="006E475C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55294E72" w14:textId="77777777" w:rsidR="00C333A6" w:rsidRDefault="00C333A6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40341242" w14:textId="51193641" w:rsidR="006E475C" w:rsidRPr="006B5929" w:rsidRDefault="006E475C" w:rsidP="006E475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proofErr w:type="spellStart"/>
      <w:r w:rsidRPr="006B5929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  <w:proofErr w:type="spellEnd"/>
    </w:p>
    <w:p w14:paraId="28AD4F29" w14:textId="77777777" w:rsidR="006E475C" w:rsidRPr="001F290D" w:rsidRDefault="006E475C" w:rsidP="006E475C">
      <w:pPr>
        <w:rPr>
          <w:rFonts w:ascii="Verdana" w:eastAsia="Malgun Gothic" w:hAnsi="Verdana"/>
          <w:sz w:val="18"/>
          <w:szCs w:val="18"/>
          <w:lang w:val="pt-PT"/>
        </w:rPr>
      </w:pPr>
      <w:proofErr w:type="spellStart"/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</w:t>
      </w:r>
      <w:proofErr w:type="spellEnd"/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 </w:t>
      </w:r>
      <w:proofErr w:type="spellStart"/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Efstathiou</w:t>
      </w:r>
      <w:proofErr w:type="spellEnd"/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>: Tel.: 2260</w:t>
      </w:r>
      <w:r w:rsidRPr="001F290D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r w:rsidRPr="001F290D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eefstathiou@cystat.mof.gov.cy</w:t>
      </w:r>
    </w:p>
    <w:p w14:paraId="66C31539" w14:textId="46022C8D" w:rsidR="00122E6B" w:rsidRPr="00122E6B" w:rsidRDefault="00122E6B" w:rsidP="00122E6B">
      <w:pPr>
        <w:jc w:val="both"/>
        <w:rPr>
          <w:rFonts w:ascii="Verdana" w:hAnsi="Verdana"/>
          <w:sz w:val="18"/>
          <w:szCs w:val="18"/>
          <w:shd w:val="clear" w:color="auto" w:fill="FFFFFF"/>
          <w:lang w:val="pt-PT"/>
        </w:rPr>
      </w:pPr>
      <w:proofErr w:type="spellStart"/>
      <w:r w:rsidRPr="00122E6B">
        <w:rPr>
          <w:rFonts w:ascii="Verdana" w:hAnsi="Verdana"/>
          <w:sz w:val="18"/>
          <w:szCs w:val="18"/>
          <w:shd w:val="clear" w:color="auto" w:fill="FFFFFF"/>
          <w:lang w:val="pt-PT"/>
        </w:rPr>
        <w:t>Isidoros</w:t>
      </w:r>
      <w:proofErr w:type="spellEnd"/>
      <w:r w:rsidRPr="00122E6B">
        <w:rPr>
          <w:rFonts w:ascii="Verdana" w:hAnsi="Verdana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122E6B">
        <w:rPr>
          <w:rFonts w:ascii="Verdana" w:hAnsi="Verdana"/>
          <w:sz w:val="18"/>
          <w:szCs w:val="18"/>
          <w:shd w:val="clear" w:color="auto" w:fill="FFFFFF"/>
          <w:lang w:val="pt-PT"/>
        </w:rPr>
        <w:t>Kypridakis</w:t>
      </w:r>
      <w:proofErr w:type="spellEnd"/>
      <w:r w:rsidRPr="00122E6B">
        <w:rPr>
          <w:rFonts w:ascii="Verdana" w:hAnsi="Verdana"/>
          <w:sz w:val="18"/>
          <w:szCs w:val="18"/>
          <w:shd w:val="clear" w:color="auto" w:fill="FFFFFF"/>
          <w:lang w:val="pt-PT"/>
        </w:rPr>
        <w:t>:</w:t>
      </w:r>
      <w:r w:rsidRPr="00122E6B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 </w:t>
      </w:r>
      <w:r w:rsidR="00004A54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  </w:t>
      </w:r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>Tel</w:t>
      </w:r>
      <w:r w:rsidRPr="00122E6B">
        <w:rPr>
          <w:rFonts w:ascii="Verdana" w:eastAsia="Malgun Gothic" w:hAnsi="Verdana" w:cs="Arial"/>
          <w:bCs/>
          <w:iCs/>
          <w:sz w:val="18"/>
          <w:szCs w:val="18"/>
          <w:lang w:val="pt-PT"/>
        </w:rPr>
        <w:t>.</w:t>
      </w:r>
      <w:r w:rsidRPr="00122E6B">
        <w:rPr>
          <w:rFonts w:ascii="Verdana" w:hAnsi="Verdana"/>
          <w:sz w:val="18"/>
          <w:szCs w:val="18"/>
          <w:shd w:val="clear" w:color="auto" w:fill="FFFFFF"/>
          <w:lang w:val="pt-PT"/>
        </w:rPr>
        <w:t>: 22602166,</w:t>
      </w:r>
      <w:r w:rsidRPr="00122E6B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 </w:t>
      </w:r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</w:t>
      </w:r>
      <w:r w:rsidRPr="00122E6B">
        <w:rPr>
          <w:rFonts w:ascii="Verdana" w:eastAsia="Malgun Gothic" w:hAnsi="Verdana" w:cs="Arial"/>
          <w:bCs/>
          <w:iCs/>
          <w:sz w:val="18"/>
          <w:szCs w:val="18"/>
          <w:lang w:val="pt-PT"/>
        </w:rPr>
        <w:t>-</w:t>
      </w:r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>mail</w:t>
      </w:r>
      <w:r w:rsidRPr="00122E6B">
        <w:rPr>
          <w:rFonts w:ascii="Verdana" w:hAnsi="Verdana"/>
          <w:sz w:val="18"/>
          <w:szCs w:val="18"/>
          <w:shd w:val="clear" w:color="auto" w:fill="FFFFFF"/>
          <w:lang w:val="pt-PT"/>
        </w:rPr>
        <w:t>: </w:t>
      </w:r>
      <w:hyperlink r:id="rId13" w:history="1">
        <w:r w:rsidRPr="00122E6B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ikypridakis@cystat.mof.gov.cy</w:t>
        </w:r>
      </w:hyperlink>
    </w:p>
    <w:p w14:paraId="65120D09" w14:textId="77777777" w:rsidR="00122E6B" w:rsidRPr="00122E6B" w:rsidRDefault="00122E6B" w:rsidP="00122E6B">
      <w:pPr>
        <w:jc w:val="both"/>
        <w:rPr>
          <w:rFonts w:ascii="Verdana" w:hAnsi="Verdana" w:cs="Arial"/>
          <w:sz w:val="18"/>
          <w:szCs w:val="18"/>
          <w:lang w:val="pt-PT"/>
        </w:rPr>
      </w:pPr>
    </w:p>
    <w:p w14:paraId="18AF7D71" w14:textId="77777777" w:rsidR="00963B69" w:rsidRPr="00122E6B" w:rsidRDefault="00963B6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101BA79" w14:textId="7A5B7E3F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3072795" w14:textId="648639CC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C642992" w14:textId="799B6D13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175B984" w14:textId="7C5AF835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43177889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677F316" w14:textId="72B59298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AC5B7F2" w14:textId="4E2E99F4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CD4F3B7" w14:textId="409697A9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C4502B0" w14:textId="2E85010A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A69251E" w14:textId="77777777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122E6B" w:rsidSect="00432B5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1" w:right="1185" w:bottom="102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35F0" w14:textId="77777777" w:rsidR="00B64DF6" w:rsidRDefault="00B64DF6" w:rsidP="00FB398F">
      <w:r>
        <w:separator/>
      </w:r>
    </w:p>
  </w:endnote>
  <w:endnote w:type="continuationSeparator" w:id="0">
    <w:p w14:paraId="3B193FDE" w14:textId="77777777" w:rsidR="00B64DF6" w:rsidRDefault="00B64DF6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A342A1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2A16BAFD" w:rsidR="0060256A" w:rsidRPr="0013119F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13119F">
      <w:rPr>
        <w:rFonts w:ascii="Verdana" w:hAnsi="Verdana" w:cs="Arial"/>
        <w:sz w:val="16"/>
        <w:szCs w:val="16"/>
      </w:rPr>
      <w:t>Address: Micha</w:t>
    </w:r>
    <w:r w:rsidR="00EF6A66" w:rsidRPr="0013119F">
      <w:rPr>
        <w:rFonts w:ascii="Verdana" w:hAnsi="Verdana" w:cs="Arial"/>
        <w:sz w:val="16"/>
        <w:szCs w:val="16"/>
      </w:rPr>
      <w:t>el</w:t>
    </w:r>
    <w:r w:rsidRPr="0013119F">
      <w:rPr>
        <w:rFonts w:ascii="Verdana" w:hAnsi="Verdana" w:cs="Arial"/>
        <w:sz w:val="16"/>
        <w:szCs w:val="16"/>
      </w:rPr>
      <w:t xml:space="preserve"> Karaoli Str., 1444 Nicosia, Cyprus</w:t>
    </w:r>
  </w:p>
  <w:p w14:paraId="29A4353C" w14:textId="434856AC" w:rsidR="0013119F" w:rsidRPr="0013119F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13119F">
      <w:rPr>
        <w:rFonts w:ascii="Verdana" w:hAnsi="Verdana" w:cs="Arial"/>
        <w:sz w:val="16"/>
        <w:szCs w:val="16"/>
        <w:lang w:val="pt-PT"/>
      </w:rPr>
      <w:t>Tel.: 22 602129,</w:t>
    </w:r>
    <w:r w:rsidR="00201821" w:rsidRPr="0013119F">
      <w:rPr>
        <w:rFonts w:ascii="Verdana" w:hAnsi="Verdana" w:cs="Arial"/>
        <w:sz w:val="16"/>
        <w:szCs w:val="16"/>
        <w:lang w:val="pt-PT"/>
      </w:rPr>
      <w:t xml:space="preserve"> </w:t>
    </w:r>
    <w:r w:rsidR="0060256A" w:rsidRPr="0013119F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13119F" w:rsidRPr="00067985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996B35A" w:rsidR="004E4F42" w:rsidRPr="00201821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13119F">
      <w:rPr>
        <w:rFonts w:ascii="Verdana" w:hAnsi="Verdana" w:cs="Arial"/>
        <w:sz w:val="16"/>
        <w:szCs w:val="16"/>
        <w:lang w:val="pt-PT"/>
      </w:rPr>
      <w:t xml:space="preserve">Web </w:t>
    </w:r>
    <w:r w:rsidR="0013119F">
      <w:rPr>
        <w:rFonts w:ascii="Verdana" w:hAnsi="Verdana" w:cs="Arial"/>
        <w:sz w:val="16"/>
        <w:szCs w:val="16"/>
        <w:lang w:val="pt-PT"/>
      </w:rPr>
      <w:t>P</w:t>
    </w:r>
    <w:r w:rsidR="00201821" w:rsidRPr="0013119F">
      <w:rPr>
        <w:rFonts w:ascii="Verdana" w:hAnsi="Verdana" w:cs="Arial"/>
        <w:sz w:val="16"/>
        <w:szCs w:val="16"/>
        <w:lang w:val="pt-PT"/>
      </w:rPr>
      <w:t>ortal</w:t>
    </w:r>
    <w:r w:rsidRPr="0013119F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13119F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47FD" w14:textId="77777777" w:rsidR="00B64DF6" w:rsidRDefault="00B64DF6" w:rsidP="00FB398F">
      <w:r>
        <w:separator/>
      </w:r>
    </w:p>
  </w:footnote>
  <w:footnote w:type="continuationSeparator" w:id="0">
    <w:p w14:paraId="67D6B740" w14:textId="77777777" w:rsidR="00B64DF6" w:rsidRDefault="00B64DF6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13A4E53E" w:rsidR="004E4F42" w:rsidRDefault="0013119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27122D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E7DC245">
              <wp:simplePos x="0" y="0"/>
              <wp:positionH relativeFrom="column">
                <wp:posOffset>4099560</wp:posOffset>
              </wp:positionH>
              <wp:positionV relativeFrom="paragraph">
                <wp:posOffset>55880</wp:posOffset>
              </wp:positionV>
              <wp:extent cx="1828800" cy="4191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13119F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13119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13119F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13119F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2.8pt;margin-top:4.4pt;width:2in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" stroked="f">
              <v:textbox>
                <w:txbxContent>
                  <w:p w14:paraId="236D2ABB" w14:textId="77777777" w:rsidR="0060256A" w:rsidRPr="0013119F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13119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13119F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13119F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</w:p>
  <w:p w14:paraId="4EC1C2D7" w14:textId="2019AA3F" w:rsidR="00364377" w:rsidRPr="0013119F" w:rsidRDefault="004E4F4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13119F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13119F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13119F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496A0710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340972">
    <w:abstractNumId w:val="4"/>
  </w:num>
  <w:num w:numId="2" w16cid:durableId="452868763">
    <w:abstractNumId w:val="1"/>
  </w:num>
  <w:num w:numId="3" w16cid:durableId="726488775">
    <w:abstractNumId w:val="2"/>
  </w:num>
  <w:num w:numId="4" w16cid:durableId="832600247">
    <w:abstractNumId w:val="3"/>
  </w:num>
  <w:num w:numId="5" w16cid:durableId="30883551">
    <w:abstractNumId w:val="0"/>
  </w:num>
  <w:num w:numId="6" w16cid:durableId="1928072878">
    <w:abstractNumId w:val="5"/>
  </w:num>
  <w:num w:numId="7" w16cid:durableId="36398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8F"/>
    <w:rsid w:val="000029F5"/>
    <w:rsid w:val="00004A54"/>
    <w:rsid w:val="00004F86"/>
    <w:rsid w:val="0000542E"/>
    <w:rsid w:val="00013E40"/>
    <w:rsid w:val="000161B1"/>
    <w:rsid w:val="00025A39"/>
    <w:rsid w:val="0002665F"/>
    <w:rsid w:val="00027265"/>
    <w:rsid w:val="00027853"/>
    <w:rsid w:val="00030E18"/>
    <w:rsid w:val="00031D32"/>
    <w:rsid w:val="0003603D"/>
    <w:rsid w:val="00036FA9"/>
    <w:rsid w:val="00045088"/>
    <w:rsid w:val="00045A06"/>
    <w:rsid w:val="00050391"/>
    <w:rsid w:val="00053496"/>
    <w:rsid w:val="00054882"/>
    <w:rsid w:val="000551A7"/>
    <w:rsid w:val="00055291"/>
    <w:rsid w:val="000563D3"/>
    <w:rsid w:val="00057E44"/>
    <w:rsid w:val="00061299"/>
    <w:rsid w:val="00070576"/>
    <w:rsid w:val="00072754"/>
    <w:rsid w:val="000731B5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1A44"/>
    <w:rsid w:val="000B6F3B"/>
    <w:rsid w:val="000C4E72"/>
    <w:rsid w:val="000D1E7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0F7F22"/>
    <w:rsid w:val="00104587"/>
    <w:rsid w:val="00106852"/>
    <w:rsid w:val="00107555"/>
    <w:rsid w:val="00110F9D"/>
    <w:rsid w:val="00114A67"/>
    <w:rsid w:val="00122143"/>
    <w:rsid w:val="00122E6B"/>
    <w:rsid w:val="00124503"/>
    <w:rsid w:val="001253B6"/>
    <w:rsid w:val="00127320"/>
    <w:rsid w:val="00127456"/>
    <w:rsid w:val="0013119F"/>
    <w:rsid w:val="001312D8"/>
    <w:rsid w:val="0013137B"/>
    <w:rsid w:val="0014743C"/>
    <w:rsid w:val="0015118B"/>
    <w:rsid w:val="001512AA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221"/>
    <w:rsid w:val="00183DFC"/>
    <w:rsid w:val="00184384"/>
    <w:rsid w:val="00186717"/>
    <w:rsid w:val="00187FFC"/>
    <w:rsid w:val="001922FA"/>
    <w:rsid w:val="00192F46"/>
    <w:rsid w:val="001A2018"/>
    <w:rsid w:val="001A3DD4"/>
    <w:rsid w:val="001B2C39"/>
    <w:rsid w:val="001B3675"/>
    <w:rsid w:val="001B54AB"/>
    <w:rsid w:val="001B5E10"/>
    <w:rsid w:val="001B6AB3"/>
    <w:rsid w:val="001B73D5"/>
    <w:rsid w:val="001B7C68"/>
    <w:rsid w:val="001C0681"/>
    <w:rsid w:val="001C14B9"/>
    <w:rsid w:val="001C2DFD"/>
    <w:rsid w:val="001C62B3"/>
    <w:rsid w:val="001C7C8C"/>
    <w:rsid w:val="001D0D6A"/>
    <w:rsid w:val="001D20A4"/>
    <w:rsid w:val="001E00D1"/>
    <w:rsid w:val="001E0E58"/>
    <w:rsid w:val="001E14F3"/>
    <w:rsid w:val="001E15ED"/>
    <w:rsid w:val="001E20C0"/>
    <w:rsid w:val="001E61AA"/>
    <w:rsid w:val="001E7D09"/>
    <w:rsid w:val="001F290D"/>
    <w:rsid w:val="00201821"/>
    <w:rsid w:val="0020309E"/>
    <w:rsid w:val="00205BA0"/>
    <w:rsid w:val="00210B58"/>
    <w:rsid w:val="00222423"/>
    <w:rsid w:val="00225B28"/>
    <w:rsid w:val="0023032C"/>
    <w:rsid w:val="002313AC"/>
    <w:rsid w:val="0023512E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6802"/>
    <w:rsid w:val="002568BD"/>
    <w:rsid w:val="00257149"/>
    <w:rsid w:val="002576E7"/>
    <w:rsid w:val="0025787C"/>
    <w:rsid w:val="00260357"/>
    <w:rsid w:val="00264F04"/>
    <w:rsid w:val="00267554"/>
    <w:rsid w:val="0027122D"/>
    <w:rsid w:val="00281040"/>
    <w:rsid w:val="0028338F"/>
    <w:rsid w:val="002854CF"/>
    <w:rsid w:val="00285C24"/>
    <w:rsid w:val="002915C4"/>
    <w:rsid w:val="002A1D1C"/>
    <w:rsid w:val="002A4D64"/>
    <w:rsid w:val="002B6554"/>
    <w:rsid w:val="002D05F0"/>
    <w:rsid w:val="002D09A0"/>
    <w:rsid w:val="002D7D4A"/>
    <w:rsid w:val="002D7F4F"/>
    <w:rsid w:val="002E1906"/>
    <w:rsid w:val="002E3846"/>
    <w:rsid w:val="002E3F78"/>
    <w:rsid w:val="002E655A"/>
    <w:rsid w:val="002F400C"/>
    <w:rsid w:val="002F4D76"/>
    <w:rsid w:val="002F6D26"/>
    <w:rsid w:val="0030231E"/>
    <w:rsid w:val="003042C4"/>
    <w:rsid w:val="00304CB4"/>
    <w:rsid w:val="0030639C"/>
    <w:rsid w:val="00306E10"/>
    <w:rsid w:val="00313F37"/>
    <w:rsid w:val="003141D0"/>
    <w:rsid w:val="003168C1"/>
    <w:rsid w:val="00322FBE"/>
    <w:rsid w:val="00325632"/>
    <w:rsid w:val="00327549"/>
    <w:rsid w:val="00330CBC"/>
    <w:rsid w:val="003342A5"/>
    <w:rsid w:val="00336C36"/>
    <w:rsid w:val="00343815"/>
    <w:rsid w:val="00347397"/>
    <w:rsid w:val="003522BB"/>
    <w:rsid w:val="00352F6C"/>
    <w:rsid w:val="003556EA"/>
    <w:rsid w:val="00362AC3"/>
    <w:rsid w:val="00364377"/>
    <w:rsid w:val="003644CA"/>
    <w:rsid w:val="003650DA"/>
    <w:rsid w:val="003652CE"/>
    <w:rsid w:val="00372E89"/>
    <w:rsid w:val="00377ABB"/>
    <w:rsid w:val="003854F5"/>
    <w:rsid w:val="00386FC7"/>
    <w:rsid w:val="00390A32"/>
    <w:rsid w:val="00396C89"/>
    <w:rsid w:val="003A104A"/>
    <w:rsid w:val="003A223E"/>
    <w:rsid w:val="003A40F2"/>
    <w:rsid w:val="003A50D1"/>
    <w:rsid w:val="003B196D"/>
    <w:rsid w:val="003B2710"/>
    <w:rsid w:val="003B4242"/>
    <w:rsid w:val="003B4608"/>
    <w:rsid w:val="003C1B8E"/>
    <w:rsid w:val="003C2392"/>
    <w:rsid w:val="003C5174"/>
    <w:rsid w:val="003C5240"/>
    <w:rsid w:val="003D0A25"/>
    <w:rsid w:val="003D14E0"/>
    <w:rsid w:val="003D1EA5"/>
    <w:rsid w:val="003D3348"/>
    <w:rsid w:val="003D4F4E"/>
    <w:rsid w:val="003D6822"/>
    <w:rsid w:val="003D724C"/>
    <w:rsid w:val="003E0CE2"/>
    <w:rsid w:val="003F49E4"/>
    <w:rsid w:val="003F4D2F"/>
    <w:rsid w:val="003F5E32"/>
    <w:rsid w:val="003F75F6"/>
    <w:rsid w:val="003F7746"/>
    <w:rsid w:val="00404670"/>
    <w:rsid w:val="00406130"/>
    <w:rsid w:val="00414CA0"/>
    <w:rsid w:val="00422F54"/>
    <w:rsid w:val="00423EAE"/>
    <w:rsid w:val="00430179"/>
    <w:rsid w:val="00431516"/>
    <w:rsid w:val="00432B50"/>
    <w:rsid w:val="004361B3"/>
    <w:rsid w:val="0044249D"/>
    <w:rsid w:val="0044379F"/>
    <w:rsid w:val="00446FB1"/>
    <w:rsid w:val="004524B8"/>
    <w:rsid w:val="0046078F"/>
    <w:rsid w:val="00463214"/>
    <w:rsid w:val="0046434D"/>
    <w:rsid w:val="004656FA"/>
    <w:rsid w:val="004658FA"/>
    <w:rsid w:val="004705C8"/>
    <w:rsid w:val="00471D77"/>
    <w:rsid w:val="00475587"/>
    <w:rsid w:val="00477DD0"/>
    <w:rsid w:val="00480BC2"/>
    <w:rsid w:val="00486B76"/>
    <w:rsid w:val="00487461"/>
    <w:rsid w:val="004929C2"/>
    <w:rsid w:val="00492DBF"/>
    <w:rsid w:val="00493FDD"/>
    <w:rsid w:val="0049586B"/>
    <w:rsid w:val="004A3E4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CD3"/>
    <w:rsid w:val="004F6D8F"/>
    <w:rsid w:val="00505503"/>
    <w:rsid w:val="00507644"/>
    <w:rsid w:val="0051107B"/>
    <w:rsid w:val="00512F9C"/>
    <w:rsid w:val="00513B27"/>
    <w:rsid w:val="00514E91"/>
    <w:rsid w:val="00515B41"/>
    <w:rsid w:val="00527CDB"/>
    <w:rsid w:val="005317FB"/>
    <w:rsid w:val="00533F54"/>
    <w:rsid w:val="005341C9"/>
    <w:rsid w:val="005369CA"/>
    <w:rsid w:val="00536DE9"/>
    <w:rsid w:val="00540668"/>
    <w:rsid w:val="00541E08"/>
    <w:rsid w:val="00553722"/>
    <w:rsid w:val="0055789A"/>
    <w:rsid w:val="00561D45"/>
    <w:rsid w:val="005652D1"/>
    <w:rsid w:val="005660A0"/>
    <w:rsid w:val="00566A4F"/>
    <w:rsid w:val="00567D64"/>
    <w:rsid w:val="00572BC2"/>
    <w:rsid w:val="00582CC4"/>
    <w:rsid w:val="00585381"/>
    <w:rsid w:val="005938ED"/>
    <w:rsid w:val="0059404F"/>
    <w:rsid w:val="0059478C"/>
    <w:rsid w:val="005978D4"/>
    <w:rsid w:val="005A0633"/>
    <w:rsid w:val="005A64A0"/>
    <w:rsid w:val="005B2A67"/>
    <w:rsid w:val="005B3DCD"/>
    <w:rsid w:val="005B40B7"/>
    <w:rsid w:val="005B4AD4"/>
    <w:rsid w:val="005B5CC7"/>
    <w:rsid w:val="005C0DDB"/>
    <w:rsid w:val="005C2798"/>
    <w:rsid w:val="005C36C3"/>
    <w:rsid w:val="005C4067"/>
    <w:rsid w:val="005C56EE"/>
    <w:rsid w:val="005C5D4B"/>
    <w:rsid w:val="005D1714"/>
    <w:rsid w:val="005D2D39"/>
    <w:rsid w:val="005D7638"/>
    <w:rsid w:val="005E4AAB"/>
    <w:rsid w:val="005E59E5"/>
    <w:rsid w:val="005F12F5"/>
    <w:rsid w:val="005F4B4F"/>
    <w:rsid w:val="005F689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1743F"/>
    <w:rsid w:val="0062327B"/>
    <w:rsid w:val="0062522F"/>
    <w:rsid w:val="00632777"/>
    <w:rsid w:val="00633750"/>
    <w:rsid w:val="00633BA7"/>
    <w:rsid w:val="00634491"/>
    <w:rsid w:val="0063679C"/>
    <w:rsid w:val="00637055"/>
    <w:rsid w:val="0063754C"/>
    <w:rsid w:val="00641D59"/>
    <w:rsid w:val="00644507"/>
    <w:rsid w:val="00644BB0"/>
    <w:rsid w:val="00644E68"/>
    <w:rsid w:val="00646880"/>
    <w:rsid w:val="00647D2A"/>
    <w:rsid w:val="006537BB"/>
    <w:rsid w:val="0065711B"/>
    <w:rsid w:val="00671785"/>
    <w:rsid w:val="00672BA9"/>
    <w:rsid w:val="00673005"/>
    <w:rsid w:val="00675190"/>
    <w:rsid w:val="006804BE"/>
    <w:rsid w:val="0069008E"/>
    <w:rsid w:val="0069087E"/>
    <w:rsid w:val="00691191"/>
    <w:rsid w:val="006925C4"/>
    <w:rsid w:val="0069309C"/>
    <w:rsid w:val="006A02B7"/>
    <w:rsid w:val="006A2267"/>
    <w:rsid w:val="006A7D19"/>
    <w:rsid w:val="006B0C2E"/>
    <w:rsid w:val="006B46D5"/>
    <w:rsid w:val="006B46F4"/>
    <w:rsid w:val="006B5929"/>
    <w:rsid w:val="006C7AF3"/>
    <w:rsid w:val="006D423B"/>
    <w:rsid w:val="006D6548"/>
    <w:rsid w:val="006E0E20"/>
    <w:rsid w:val="006E4256"/>
    <w:rsid w:val="006E475C"/>
    <w:rsid w:val="006E4BBA"/>
    <w:rsid w:val="006E5F43"/>
    <w:rsid w:val="006E60A6"/>
    <w:rsid w:val="006E693A"/>
    <w:rsid w:val="006F0F69"/>
    <w:rsid w:val="006F116B"/>
    <w:rsid w:val="006F117F"/>
    <w:rsid w:val="006F13DF"/>
    <w:rsid w:val="006F1E66"/>
    <w:rsid w:val="006F65C6"/>
    <w:rsid w:val="00702F26"/>
    <w:rsid w:val="0070313E"/>
    <w:rsid w:val="00703799"/>
    <w:rsid w:val="00705C5C"/>
    <w:rsid w:val="00707041"/>
    <w:rsid w:val="00711475"/>
    <w:rsid w:val="00717332"/>
    <w:rsid w:val="0072548A"/>
    <w:rsid w:val="007277A6"/>
    <w:rsid w:val="00737136"/>
    <w:rsid w:val="007437AB"/>
    <w:rsid w:val="00745BE9"/>
    <w:rsid w:val="007534F8"/>
    <w:rsid w:val="007545AD"/>
    <w:rsid w:val="00757BB1"/>
    <w:rsid w:val="00763722"/>
    <w:rsid w:val="00764BC1"/>
    <w:rsid w:val="00770869"/>
    <w:rsid w:val="007738AA"/>
    <w:rsid w:val="00780A62"/>
    <w:rsid w:val="00783241"/>
    <w:rsid w:val="007838EC"/>
    <w:rsid w:val="00784BDC"/>
    <w:rsid w:val="00792F28"/>
    <w:rsid w:val="0079543F"/>
    <w:rsid w:val="00795880"/>
    <w:rsid w:val="007A4367"/>
    <w:rsid w:val="007A5EF5"/>
    <w:rsid w:val="007B0867"/>
    <w:rsid w:val="007B1AC1"/>
    <w:rsid w:val="007B36E4"/>
    <w:rsid w:val="007B5A08"/>
    <w:rsid w:val="007B693D"/>
    <w:rsid w:val="007E041B"/>
    <w:rsid w:val="007E199A"/>
    <w:rsid w:val="007E2415"/>
    <w:rsid w:val="007E2580"/>
    <w:rsid w:val="007E39F3"/>
    <w:rsid w:val="007E68F4"/>
    <w:rsid w:val="007F31BA"/>
    <w:rsid w:val="007F4078"/>
    <w:rsid w:val="007F6342"/>
    <w:rsid w:val="0080014B"/>
    <w:rsid w:val="00801793"/>
    <w:rsid w:val="00803642"/>
    <w:rsid w:val="00806EA2"/>
    <w:rsid w:val="00812A2B"/>
    <w:rsid w:val="00814694"/>
    <w:rsid w:val="00814A4C"/>
    <w:rsid w:val="00821747"/>
    <w:rsid w:val="00831AAB"/>
    <w:rsid w:val="008335AD"/>
    <w:rsid w:val="00834E45"/>
    <w:rsid w:val="0083574E"/>
    <w:rsid w:val="0083640C"/>
    <w:rsid w:val="0084157B"/>
    <w:rsid w:val="00842BFB"/>
    <w:rsid w:val="00843B7C"/>
    <w:rsid w:val="00846B85"/>
    <w:rsid w:val="00847DC3"/>
    <w:rsid w:val="00847F49"/>
    <w:rsid w:val="008503CA"/>
    <w:rsid w:val="00852E95"/>
    <w:rsid w:val="008535C5"/>
    <w:rsid w:val="00853765"/>
    <w:rsid w:val="0085516F"/>
    <w:rsid w:val="00861278"/>
    <w:rsid w:val="0086364F"/>
    <w:rsid w:val="00864F8D"/>
    <w:rsid w:val="00867186"/>
    <w:rsid w:val="00870AF6"/>
    <w:rsid w:val="00876F12"/>
    <w:rsid w:val="0088007F"/>
    <w:rsid w:val="00881268"/>
    <w:rsid w:val="00882E57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315B"/>
    <w:rsid w:val="008B5FF0"/>
    <w:rsid w:val="008B65BD"/>
    <w:rsid w:val="008B69F0"/>
    <w:rsid w:val="008B7900"/>
    <w:rsid w:val="008C71BF"/>
    <w:rsid w:val="008C7FE0"/>
    <w:rsid w:val="008D0525"/>
    <w:rsid w:val="008D2724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14A23"/>
    <w:rsid w:val="00927632"/>
    <w:rsid w:val="00930754"/>
    <w:rsid w:val="00931164"/>
    <w:rsid w:val="00934F68"/>
    <w:rsid w:val="009355AC"/>
    <w:rsid w:val="00935F38"/>
    <w:rsid w:val="00937586"/>
    <w:rsid w:val="00947889"/>
    <w:rsid w:val="00960E98"/>
    <w:rsid w:val="009614D9"/>
    <w:rsid w:val="00963A82"/>
    <w:rsid w:val="00963B69"/>
    <w:rsid w:val="009671C2"/>
    <w:rsid w:val="00970C3A"/>
    <w:rsid w:val="00972912"/>
    <w:rsid w:val="00972CA0"/>
    <w:rsid w:val="00976D1F"/>
    <w:rsid w:val="009801BB"/>
    <w:rsid w:val="00981C81"/>
    <w:rsid w:val="00983A14"/>
    <w:rsid w:val="00984A6E"/>
    <w:rsid w:val="00992209"/>
    <w:rsid w:val="009947AE"/>
    <w:rsid w:val="009A2D24"/>
    <w:rsid w:val="009A456C"/>
    <w:rsid w:val="009A4B24"/>
    <w:rsid w:val="009B00E0"/>
    <w:rsid w:val="009B292A"/>
    <w:rsid w:val="009B76D5"/>
    <w:rsid w:val="009B7F62"/>
    <w:rsid w:val="009C165D"/>
    <w:rsid w:val="009C37F7"/>
    <w:rsid w:val="009C3CEA"/>
    <w:rsid w:val="009C583D"/>
    <w:rsid w:val="009D2611"/>
    <w:rsid w:val="009D48B4"/>
    <w:rsid w:val="009D6C4E"/>
    <w:rsid w:val="009D79D2"/>
    <w:rsid w:val="009E247C"/>
    <w:rsid w:val="009E31BA"/>
    <w:rsid w:val="009F0528"/>
    <w:rsid w:val="009F0806"/>
    <w:rsid w:val="009F0B47"/>
    <w:rsid w:val="009F233B"/>
    <w:rsid w:val="00A00A76"/>
    <w:rsid w:val="00A05D16"/>
    <w:rsid w:val="00A0659F"/>
    <w:rsid w:val="00A07357"/>
    <w:rsid w:val="00A079BA"/>
    <w:rsid w:val="00A33875"/>
    <w:rsid w:val="00A342A1"/>
    <w:rsid w:val="00A360A1"/>
    <w:rsid w:val="00A402B3"/>
    <w:rsid w:val="00A42422"/>
    <w:rsid w:val="00A45AB5"/>
    <w:rsid w:val="00A45D86"/>
    <w:rsid w:val="00A45EC8"/>
    <w:rsid w:val="00A544B7"/>
    <w:rsid w:val="00A6175D"/>
    <w:rsid w:val="00A618CF"/>
    <w:rsid w:val="00A62770"/>
    <w:rsid w:val="00A62CAB"/>
    <w:rsid w:val="00A62EEB"/>
    <w:rsid w:val="00A64DA0"/>
    <w:rsid w:val="00A660FF"/>
    <w:rsid w:val="00A6625A"/>
    <w:rsid w:val="00A73395"/>
    <w:rsid w:val="00A811CD"/>
    <w:rsid w:val="00A82B4C"/>
    <w:rsid w:val="00A8322D"/>
    <w:rsid w:val="00A93A4C"/>
    <w:rsid w:val="00A94D5D"/>
    <w:rsid w:val="00AA1D9B"/>
    <w:rsid w:val="00AA2543"/>
    <w:rsid w:val="00AA3804"/>
    <w:rsid w:val="00AA55C2"/>
    <w:rsid w:val="00AB0ACA"/>
    <w:rsid w:val="00AB1D41"/>
    <w:rsid w:val="00AB77CA"/>
    <w:rsid w:val="00AC43C2"/>
    <w:rsid w:val="00AC5E9A"/>
    <w:rsid w:val="00AC704B"/>
    <w:rsid w:val="00AD553E"/>
    <w:rsid w:val="00AD5848"/>
    <w:rsid w:val="00AE3741"/>
    <w:rsid w:val="00AE5ADA"/>
    <w:rsid w:val="00AF1DD1"/>
    <w:rsid w:val="00AF6145"/>
    <w:rsid w:val="00AF7B99"/>
    <w:rsid w:val="00B01129"/>
    <w:rsid w:val="00B01386"/>
    <w:rsid w:val="00B01BB5"/>
    <w:rsid w:val="00B04AF4"/>
    <w:rsid w:val="00B05214"/>
    <w:rsid w:val="00B0642E"/>
    <w:rsid w:val="00B0736F"/>
    <w:rsid w:val="00B07501"/>
    <w:rsid w:val="00B17779"/>
    <w:rsid w:val="00B30D97"/>
    <w:rsid w:val="00B31738"/>
    <w:rsid w:val="00B3181A"/>
    <w:rsid w:val="00B35A7C"/>
    <w:rsid w:val="00B412BD"/>
    <w:rsid w:val="00B44BD8"/>
    <w:rsid w:val="00B450D1"/>
    <w:rsid w:val="00B53D47"/>
    <w:rsid w:val="00B54A25"/>
    <w:rsid w:val="00B618C3"/>
    <w:rsid w:val="00B63652"/>
    <w:rsid w:val="00B64DF6"/>
    <w:rsid w:val="00B668B0"/>
    <w:rsid w:val="00B70F5C"/>
    <w:rsid w:val="00B71873"/>
    <w:rsid w:val="00B7236C"/>
    <w:rsid w:val="00B75AE5"/>
    <w:rsid w:val="00B800C0"/>
    <w:rsid w:val="00B8132B"/>
    <w:rsid w:val="00B82E57"/>
    <w:rsid w:val="00B840A6"/>
    <w:rsid w:val="00B84C5A"/>
    <w:rsid w:val="00B858F5"/>
    <w:rsid w:val="00B85ADA"/>
    <w:rsid w:val="00B922B9"/>
    <w:rsid w:val="00B93668"/>
    <w:rsid w:val="00B94B86"/>
    <w:rsid w:val="00BA68C6"/>
    <w:rsid w:val="00BB12F1"/>
    <w:rsid w:val="00BB276E"/>
    <w:rsid w:val="00BB3FEE"/>
    <w:rsid w:val="00BB5EB0"/>
    <w:rsid w:val="00BB7A27"/>
    <w:rsid w:val="00BC245A"/>
    <w:rsid w:val="00BC340C"/>
    <w:rsid w:val="00BC5A4C"/>
    <w:rsid w:val="00BD16FA"/>
    <w:rsid w:val="00BD41C3"/>
    <w:rsid w:val="00BD488B"/>
    <w:rsid w:val="00BD7CCC"/>
    <w:rsid w:val="00BE002A"/>
    <w:rsid w:val="00BE1BC9"/>
    <w:rsid w:val="00BE5CDA"/>
    <w:rsid w:val="00BE608F"/>
    <w:rsid w:val="00BE6F1F"/>
    <w:rsid w:val="00BF23BB"/>
    <w:rsid w:val="00BF33DD"/>
    <w:rsid w:val="00BF5755"/>
    <w:rsid w:val="00BF684B"/>
    <w:rsid w:val="00C016F3"/>
    <w:rsid w:val="00C15193"/>
    <w:rsid w:val="00C15609"/>
    <w:rsid w:val="00C15F6A"/>
    <w:rsid w:val="00C22180"/>
    <w:rsid w:val="00C23EA7"/>
    <w:rsid w:val="00C256F3"/>
    <w:rsid w:val="00C26329"/>
    <w:rsid w:val="00C270A2"/>
    <w:rsid w:val="00C315B5"/>
    <w:rsid w:val="00C32D3A"/>
    <w:rsid w:val="00C333A6"/>
    <w:rsid w:val="00C35E28"/>
    <w:rsid w:val="00C426AF"/>
    <w:rsid w:val="00C469C1"/>
    <w:rsid w:val="00C50659"/>
    <w:rsid w:val="00C51B39"/>
    <w:rsid w:val="00C5338A"/>
    <w:rsid w:val="00C54EF9"/>
    <w:rsid w:val="00C559AA"/>
    <w:rsid w:val="00C56BBF"/>
    <w:rsid w:val="00C572AA"/>
    <w:rsid w:val="00C57A9A"/>
    <w:rsid w:val="00C6016A"/>
    <w:rsid w:val="00C60B3F"/>
    <w:rsid w:val="00C60B80"/>
    <w:rsid w:val="00C623EB"/>
    <w:rsid w:val="00C6258A"/>
    <w:rsid w:val="00C64C6B"/>
    <w:rsid w:val="00C65138"/>
    <w:rsid w:val="00C66F2E"/>
    <w:rsid w:val="00C6785C"/>
    <w:rsid w:val="00C706BB"/>
    <w:rsid w:val="00C70FD1"/>
    <w:rsid w:val="00C733AA"/>
    <w:rsid w:val="00C83027"/>
    <w:rsid w:val="00C84B8A"/>
    <w:rsid w:val="00C85E65"/>
    <w:rsid w:val="00C87CA1"/>
    <w:rsid w:val="00C9083D"/>
    <w:rsid w:val="00C911B4"/>
    <w:rsid w:val="00C91B3B"/>
    <w:rsid w:val="00C94262"/>
    <w:rsid w:val="00C976E1"/>
    <w:rsid w:val="00CA148E"/>
    <w:rsid w:val="00CA3A9A"/>
    <w:rsid w:val="00CA4F80"/>
    <w:rsid w:val="00CB6BC1"/>
    <w:rsid w:val="00CB7021"/>
    <w:rsid w:val="00CD3294"/>
    <w:rsid w:val="00CD4524"/>
    <w:rsid w:val="00CD5138"/>
    <w:rsid w:val="00CD784D"/>
    <w:rsid w:val="00CF40F8"/>
    <w:rsid w:val="00D008DA"/>
    <w:rsid w:val="00D00AC4"/>
    <w:rsid w:val="00D0416F"/>
    <w:rsid w:val="00D05851"/>
    <w:rsid w:val="00D10FED"/>
    <w:rsid w:val="00D11736"/>
    <w:rsid w:val="00D12EE8"/>
    <w:rsid w:val="00D15FF1"/>
    <w:rsid w:val="00D167F4"/>
    <w:rsid w:val="00D17BC9"/>
    <w:rsid w:val="00D2092A"/>
    <w:rsid w:val="00D21A25"/>
    <w:rsid w:val="00D2216D"/>
    <w:rsid w:val="00D27EAF"/>
    <w:rsid w:val="00D31A6F"/>
    <w:rsid w:val="00D33293"/>
    <w:rsid w:val="00D353D1"/>
    <w:rsid w:val="00D367DB"/>
    <w:rsid w:val="00D36E05"/>
    <w:rsid w:val="00D41EFC"/>
    <w:rsid w:val="00D44444"/>
    <w:rsid w:val="00D44BBD"/>
    <w:rsid w:val="00D44F27"/>
    <w:rsid w:val="00D45304"/>
    <w:rsid w:val="00D461C7"/>
    <w:rsid w:val="00D50424"/>
    <w:rsid w:val="00D508B1"/>
    <w:rsid w:val="00D57D3E"/>
    <w:rsid w:val="00D814FF"/>
    <w:rsid w:val="00D843F4"/>
    <w:rsid w:val="00DC23CF"/>
    <w:rsid w:val="00DC6562"/>
    <w:rsid w:val="00DD5BD8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55F9"/>
    <w:rsid w:val="00E17172"/>
    <w:rsid w:val="00E3181C"/>
    <w:rsid w:val="00E3280A"/>
    <w:rsid w:val="00E372AF"/>
    <w:rsid w:val="00E37D68"/>
    <w:rsid w:val="00E403BC"/>
    <w:rsid w:val="00E40EAE"/>
    <w:rsid w:val="00E415EE"/>
    <w:rsid w:val="00E42B99"/>
    <w:rsid w:val="00E436AC"/>
    <w:rsid w:val="00E44FF8"/>
    <w:rsid w:val="00E5066A"/>
    <w:rsid w:val="00E52CF9"/>
    <w:rsid w:val="00E601AD"/>
    <w:rsid w:val="00E63F34"/>
    <w:rsid w:val="00E667AA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5571"/>
    <w:rsid w:val="00EA7832"/>
    <w:rsid w:val="00EB14F2"/>
    <w:rsid w:val="00EB4CC4"/>
    <w:rsid w:val="00EB763C"/>
    <w:rsid w:val="00EC02A5"/>
    <w:rsid w:val="00EC176B"/>
    <w:rsid w:val="00EC33CD"/>
    <w:rsid w:val="00EC5BE5"/>
    <w:rsid w:val="00EC755D"/>
    <w:rsid w:val="00EC7982"/>
    <w:rsid w:val="00ED1851"/>
    <w:rsid w:val="00ED2650"/>
    <w:rsid w:val="00ED721A"/>
    <w:rsid w:val="00EE316E"/>
    <w:rsid w:val="00EE393D"/>
    <w:rsid w:val="00EF01CF"/>
    <w:rsid w:val="00EF57FC"/>
    <w:rsid w:val="00EF664E"/>
    <w:rsid w:val="00EF6A66"/>
    <w:rsid w:val="00EF7AF9"/>
    <w:rsid w:val="00F01495"/>
    <w:rsid w:val="00F01EE6"/>
    <w:rsid w:val="00F06950"/>
    <w:rsid w:val="00F10138"/>
    <w:rsid w:val="00F12FEA"/>
    <w:rsid w:val="00F13F92"/>
    <w:rsid w:val="00F22ECA"/>
    <w:rsid w:val="00F240E8"/>
    <w:rsid w:val="00F244FA"/>
    <w:rsid w:val="00F311E8"/>
    <w:rsid w:val="00F3363A"/>
    <w:rsid w:val="00F366A2"/>
    <w:rsid w:val="00F44F43"/>
    <w:rsid w:val="00F450E1"/>
    <w:rsid w:val="00F50DF4"/>
    <w:rsid w:val="00F546CD"/>
    <w:rsid w:val="00F57AFE"/>
    <w:rsid w:val="00F6278E"/>
    <w:rsid w:val="00F63C41"/>
    <w:rsid w:val="00F63E96"/>
    <w:rsid w:val="00F701E3"/>
    <w:rsid w:val="00F71F8C"/>
    <w:rsid w:val="00F80362"/>
    <w:rsid w:val="00F80D2E"/>
    <w:rsid w:val="00F8143B"/>
    <w:rsid w:val="00F85B7B"/>
    <w:rsid w:val="00F86AD4"/>
    <w:rsid w:val="00F90DD9"/>
    <w:rsid w:val="00F92EE4"/>
    <w:rsid w:val="00F97EC0"/>
    <w:rsid w:val="00FA0113"/>
    <w:rsid w:val="00FA12B2"/>
    <w:rsid w:val="00FA2C56"/>
    <w:rsid w:val="00FA67BB"/>
    <w:rsid w:val="00FA7610"/>
    <w:rsid w:val="00FB02BD"/>
    <w:rsid w:val="00FB2ED0"/>
    <w:rsid w:val="00FB398F"/>
    <w:rsid w:val="00FB4173"/>
    <w:rsid w:val="00FB4EF8"/>
    <w:rsid w:val="00FB6692"/>
    <w:rsid w:val="00FB78DD"/>
    <w:rsid w:val="00FC125E"/>
    <w:rsid w:val="00FC3C92"/>
    <w:rsid w:val="00FC3D6D"/>
    <w:rsid w:val="00FC3EF3"/>
    <w:rsid w:val="00FC790C"/>
    <w:rsid w:val="00FD2049"/>
    <w:rsid w:val="00FD2140"/>
    <w:rsid w:val="00FD5BDE"/>
    <w:rsid w:val="00FD68EC"/>
    <w:rsid w:val="00FE0476"/>
    <w:rsid w:val="00FE24A5"/>
    <w:rsid w:val="00FE31E5"/>
    <w:rsid w:val="00FF188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kypridak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29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Trade__Wholesal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2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A41A-19F4-4F6B-9F18-0A9BC484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4886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204</cp:revision>
  <cp:lastPrinted>2016-09-28T08:24:00Z</cp:lastPrinted>
  <dcterms:created xsi:type="dcterms:W3CDTF">2023-12-20T13:54:00Z</dcterms:created>
  <dcterms:modified xsi:type="dcterms:W3CDTF">2026-03-16T08:30:00Z</dcterms:modified>
</cp:coreProperties>
</file>